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E5E8ED" w:themeColor="accent4" w:themeTint="33"/>
  <w:body>
    <w:p w14:paraId="793E897D" w14:textId="2CA9EF59" w:rsidR="00B52BC1" w:rsidRPr="00BB28A0" w:rsidRDefault="00252072">
      <w:pPr>
        <w:rPr>
          <w:lang w:val="en-GB"/>
        </w:rPr>
      </w:pPr>
      <w:r w:rsidRPr="00BB28A0">
        <w:rPr>
          <w:noProof/>
        </w:rPr>
        <mc:AlternateContent>
          <mc:Choice Requires="wpg">
            <w:drawing>
              <wp:anchor distT="0" distB="0" distL="114300" distR="114300" simplePos="0" relativeHeight="251661312" behindDoc="1" locked="0" layoutInCell="1" allowOverlap="1" wp14:anchorId="3F660533" wp14:editId="5408B5BE">
                <wp:simplePos x="0" y="0"/>
                <wp:positionH relativeFrom="column">
                  <wp:posOffset>-552450</wp:posOffset>
                </wp:positionH>
                <wp:positionV relativeFrom="paragraph">
                  <wp:posOffset>-374015</wp:posOffset>
                </wp:positionV>
                <wp:extent cx="6724650" cy="9972675"/>
                <wp:effectExtent l="0" t="0" r="0" b="9525"/>
                <wp:wrapNone/>
                <wp:docPr id="1597740336" name="Group 10"/>
                <wp:cNvGraphicFramePr/>
                <a:graphic xmlns:a="http://schemas.openxmlformats.org/drawingml/2006/main">
                  <a:graphicData uri="http://schemas.microsoft.com/office/word/2010/wordprocessingGroup">
                    <wpg:wgp>
                      <wpg:cNvGrpSpPr/>
                      <wpg:grpSpPr>
                        <a:xfrm>
                          <a:off x="0" y="0"/>
                          <a:ext cx="6724650" cy="9972675"/>
                          <a:chOff x="161922" y="-304800"/>
                          <a:chExt cx="6724658" cy="9829800"/>
                        </a:xfrm>
                      </wpg:grpSpPr>
                      <wps:wsp>
                        <wps:cNvPr id="1612132522" name="Rectangle 1612132522"/>
                        <wps:cNvSpPr/>
                        <wps:spPr>
                          <a:xfrm>
                            <a:off x="161922" y="-304800"/>
                            <a:ext cx="6724658" cy="9829800"/>
                          </a:xfrm>
                          <a:prstGeom prst="rect">
                            <a:avLst/>
                          </a:prstGeom>
                          <a:gradFill>
                            <a:gsLst>
                              <a:gs pos="10000">
                                <a:schemeClr val="dk2">
                                  <a:tint val="97000"/>
                                  <a:hueMod val="92000"/>
                                  <a:satMod val="169000"/>
                                  <a:lumMod val="164000"/>
                                </a:schemeClr>
                              </a:gs>
                              <a:gs pos="100000">
                                <a:schemeClr val="dk2">
                                  <a:shade val="96000"/>
                                  <a:satMod val="120000"/>
                                  <a:lumMod val="90000"/>
                                </a:schemeClr>
                              </a:gs>
                            </a:gsLst>
                            <a:lin ang="6120000" scaled="1"/>
                          </a:gradFill>
                          <a:ln>
                            <a:noFill/>
                          </a:ln>
                        </wps:spPr>
                        <wps:style>
                          <a:lnRef idx="2">
                            <a:schemeClr val="accent1">
                              <a:shade val="50000"/>
                            </a:schemeClr>
                          </a:lnRef>
                          <a:fillRef idx="1002">
                            <a:schemeClr val="dk2"/>
                          </a:fillRef>
                          <a:effectRef idx="0">
                            <a:schemeClr val="accent1"/>
                          </a:effectRef>
                          <a:fontRef idx="minor">
                            <a:schemeClr val="lt1"/>
                          </a:fontRef>
                        </wps:style>
                        <wps:txbx>
                          <w:txbxContent>
                            <w:p w14:paraId="19E3FA15" w14:textId="77777777" w:rsidR="006C2DCA" w:rsidRDefault="006C2DCA" w:rsidP="00891945">
                              <w:pPr>
                                <w:pStyle w:val="NoSpacing"/>
                                <w:rPr>
                                  <w:color w:val="FFFFFF" w:themeColor="background1"/>
                                  <w:sz w:val="48"/>
                                  <w:szCs w:val="48"/>
                                </w:rPr>
                              </w:pPr>
                            </w:p>
                            <w:p w14:paraId="23C4708C" w14:textId="77777777" w:rsidR="006C2DCA" w:rsidRDefault="006C2DCA">
                              <w:pPr>
                                <w:pStyle w:val="NoSpacing"/>
                                <w:rPr>
                                  <w:color w:val="FFFFFF" w:themeColor="background1"/>
                                  <w:sz w:val="48"/>
                                  <w:szCs w:val="48"/>
                                  <w:lang w:val="mk-MK"/>
                                </w:rPr>
                              </w:pPr>
                            </w:p>
                            <w:p w14:paraId="2AADE56B" w14:textId="77777777" w:rsidR="006C2DCA" w:rsidRDefault="006C2DCA">
                              <w:pPr>
                                <w:pStyle w:val="NoSpacing"/>
                                <w:rPr>
                                  <w:color w:val="FFFFFF" w:themeColor="background1"/>
                                  <w:sz w:val="48"/>
                                  <w:szCs w:val="48"/>
                                  <w:lang w:val="mk-MK"/>
                                </w:rPr>
                              </w:pPr>
                            </w:p>
                            <w:p w14:paraId="40D9CFCC" w14:textId="07E7CA89" w:rsidR="006C2DCA" w:rsidRPr="00244B8E" w:rsidRDefault="006C2DCA" w:rsidP="0041164B">
                              <w:pPr>
                                <w:pStyle w:val="NoSpacing"/>
                                <w:rPr>
                                  <w:color w:val="FFFFFF" w:themeColor="background1"/>
                                  <w:sz w:val="48"/>
                                  <w:szCs w:val="48"/>
                                  <w:lang w:val="mk-MK"/>
                                </w:rPr>
                              </w:pPr>
                              <w:r>
                                <w:rPr>
                                  <w:color w:val="FFFFFF" w:themeColor="background1"/>
                                  <w:sz w:val="48"/>
                                  <w:szCs w:val="48"/>
                                  <w:lang w:val="mk-MK"/>
                                </w:rPr>
                                <w:t xml:space="preserve">                   </w:t>
                              </w:r>
                            </w:p>
                          </w:txbxContent>
                        </wps:txbx>
                        <wps:bodyPr rot="0" spcFirstLastPara="0" vertOverflow="overflow" horzOverflow="overflow" vert="horz" wrap="square" lIns="827999" tIns="685800" rIns="914400" bIns="4572000" numCol="1" spcCol="0" rtlCol="0" fromWordArt="0" anchor="b" anchorCtr="0" forceAA="0" compatLnSpc="1">
                          <a:prstTxWarp prst="textNoShape">
                            <a:avLst/>
                          </a:prstTxWarp>
                          <a:noAutofit/>
                        </wps:bodyPr>
                      </wps:wsp>
                      <wpg:grpSp>
                        <wpg:cNvPr id="1328048203" name="Group 2"/>
                        <wpg:cNvGrpSpPr/>
                        <wpg:grpSpPr>
                          <a:xfrm>
                            <a:off x="2524125" y="0"/>
                            <a:ext cx="4329113" cy="4491038"/>
                            <a:chOff x="0" y="0"/>
                            <a:chExt cx="4329113" cy="4491038"/>
                          </a:xfrm>
                          <a:solidFill>
                            <a:schemeClr val="bg1"/>
                          </a:solidFill>
                        </wpg:grpSpPr>
                        <wps:wsp>
                          <wps:cNvPr id="1676889173" name="Freeform 56"/>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827999" tIns="45720" rIns="91440" bIns="45720" numCol="1" anchor="b" anchorCtr="0" compatLnSpc="1">
                            <a:prstTxWarp prst="textNoShape">
                              <a:avLst/>
                            </a:prstTxWarp>
                          </wps:bodyPr>
                        </wps:wsp>
                        <wps:wsp>
                          <wps:cNvPr id="998388301" name="Freeform 58"/>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827999" tIns="45720" rIns="91440" bIns="45720" numCol="1" anchor="b" anchorCtr="0" compatLnSpc="1">
                            <a:prstTxWarp prst="textNoShape">
                              <a:avLst/>
                            </a:prstTxWarp>
                          </wps:bodyPr>
                        </wps:wsp>
                        <wps:wsp>
                          <wps:cNvPr id="1338677477" name="Freeform 59"/>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827999" tIns="45720" rIns="91440" bIns="45720" numCol="1" anchor="b" anchorCtr="0" compatLnSpc="1">
                            <a:prstTxWarp prst="textNoShape">
                              <a:avLst/>
                            </a:prstTxWarp>
                          </wps:bodyPr>
                        </wps:wsp>
                        <wps:wsp>
                          <wps:cNvPr id="1886088026" name="Freeform 60"/>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827999" tIns="45720" rIns="91440" bIns="45720" numCol="1" anchor="b" anchorCtr="0" compatLnSpc="1">
                            <a:prstTxWarp prst="textNoShape">
                              <a:avLst/>
                            </a:prstTxWarp>
                          </wps:bodyPr>
                        </wps:wsp>
                      </wpg:grpSp>
                    </wpg:wgp>
                  </a:graphicData>
                </a:graphic>
                <wp14:sizeRelH relativeFrom="margin">
                  <wp14:pctWidth>0</wp14:pctWidth>
                </wp14:sizeRelH>
                <wp14:sizeRelV relativeFrom="margin">
                  <wp14:pctHeight>0</wp14:pctHeight>
                </wp14:sizeRelV>
              </wp:anchor>
            </w:drawing>
          </mc:Choice>
          <mc:Fallback>
            <w:pict>
              <v:group w14:anchorId="3F660533" id="Group 10" o:spid="_x0000_s1026" style="position:absolute;margin-left:-43.5pt;margin-top:-29.45pt;width:529.5pt;height:785.25pt;z-index:-251655168;mso-width-relative:margin;mso-height-relative:margin" coordorigin="1619,-3048" coordsize="67246,98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">
                <v:rect id="Rectangle 1612132522" o:spid="_x0000_s1027" style="position:absolute;left:1619;top:-3048;width:67246;height:9829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" fillcolor="#272c5a [3122]" stroked="f" strokeweight="2pt">
                  <v:fill color2="#202349 [2882]" angle="348" colors="0 #5275ad;6554f #5275ad" focus="100%" type="gradient"/>
                  <v:textbox inset="22.99997mm,54pt,1in,5in">
                    <w:txbxContent>
                      <w:p w14:paraId="19E3FA15" w14:textId="77777777" w:rsidR="006C2DCA" w:rsidRDefault="006C2DCA" w:rsidP="00891945">
                        <w:pPr>
                          <w:pStyle w:val="NoSpacing"/>
                          <w:rPr>
                            <w:color w:val="FFFFFF" w:themeColor="background1"/>
                            <w:sz w:val="48"/>
                            <w:szCs w:val="48"/>
                          </w:rPr>
                        </w:pPr>
                      </w:p>
                      <w:p w14:paraId="23C4708C" w14:textId="77777777" w:rsidR="006C2DCA" w:rsidRDefault="006C2DCA">
                        <w:pPr>
                          <w:pStyle w:val="NoSpacing"/>
                          <w:rPr>
                            <w:color w:val="FFFFFF" w:themeColor="background1"/>
                            <w:sz w:val="48"/>
                            <w:szCs w:val="48"/>
                            <w:lang w:val="mk-MK"/>
                          </w:rPr>
                        </w:pPr>
                      </w:p>
                      <w:p w14:paraId="2AADE56B" w14:textId="77777777" w:rsidR="006C2DCA" w:rsidRDefault="006C2DCA">
                        <w:pPr>
                          <w:pStyle w:val="NoSpacing"/>
                          <w:rPr>
                            <w:color w:val="FFFFFF" w:themeColor="background1"/>
                            <w:sz w:val="48"/>
                            <w:szCs w:val="48"/>
                            <w:lang w:val="mk-MK"/>
                          </w:rPr>
                        </w:pPr>
                      </w:p>
                      <w:p w14:paraId="40D9CFCC" w14:textId="07E7CA89" w:rsidR="006C2DCA" w:rsidRPr="00244B8E" w:rsidRDefault="006C2DCA" w:rsidP="0041164B">
                        <w:pPr>
                          <w:pStyle w:val="NoSpacing"/>
                          <w:rPr>
                            <w:color w:val="FFFFFF" w:themeColor="background1"/>
                            <w:sz w:val="48"/>
                            <w:szCs w:val="48"/>
                            <w:lang w:val="mk-MK"/>
                          </w:rPr>
                        </w:pPr>
                        <w:r>
                          <w:rPr>
                            <w:color w:val="FFFFFF" w:themeColor="background1"/>
                            <w:sz w:val="48"/>
                            <w:szCs w:val="48"/>
                            <w:lang w:val="mk-MK"/>
                          </w:rPr>
                          <w:t xml:space="preserve">                   </w:t>
                        </w:r>
                      </w:p>
                    </w:txbxContent>
                  </v:textbox>
                </v:rect>
                <v:group id="Group 2" o:spid="_x0000_s1028" style="position:absolute;left:25241;width:43291;height:44910" coordsize="43291,44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">
                  <v:shape id="Freeform 56" o:spid="_x0000_s1029" style="position:absolute;left:15017;width:28274;height:28352;visibility:visible;mso-wrap-style:square;v-text-anchor:bottom"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" path="m4,1786l,1782,1776,r5,5l4,1786xe" filled="f" stroked="f">
                    <v:path arrowok="t" o:connecttype="custom" o:connectlocs="6350,2835275;0,2828925;2819400,0;2827338,7938;6350,2835275" o:connectangles="0,0,0,0,0"/>
                  </v:shape>
                  <v:shape id="Freeform 58" o:spid="_x0000_s1030" style="position:absolute;left:8413;top:1095;width:34878;height:34877;visibility:visible;mso-wrap-style:square;v-text-anchor:bottom"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" path="m9,2197l,2193,2188,r9,10l9,2197xe" filled="f" stroked="f">
                    <v:path arrowok="t" o:connecttype="custom" o:connectlocs="14288,3487738;0,3481388;3473450,0;3487738,15875;14288,3487738" o:connectangles="0,0,0,0,0"/>
                  </v:shape>
                  <v:shape id="Freeform 59" o:spid="_x0000_s1031" style="position:absolute;left:12160;top:4984;width:31131;height:31211;visibility:visible;mso-wrap-style:square;v-text-anchor:bottom"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" path="m9,1966l,1957,1952,r9,9l9,1966xe" filled="f" stroked="f">
                    <v:path arrowok="t" o:connecttype="custom" o:connectlocs="14288,3121025;0,3106738;3098800,0;3113088,14288;14288,3121025" o:connectangles="0,0,0,0,0"/>
                  </v:shape>
                  <v:shape id="Freeform 60" o:spid="_x0000_s1032" style="position:absolute;top:1539;width:43291;height:43371;visibility:visible;mso-wrap-style:square;v-text-anchor:bottom"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" path="m,2732r,-4l2722,r5,5l,2732xe" filled="f" stroked="f">
                    <v:path arrowok="t" o:connecttype="custom" o:connectlocs="0,4337050;0,4330700;4321175,0;4329113,7938;0,4337050" o:connectangles="0,0,0,0,0"/>
                  </v:shape>
                </v:group>
              </v:group>
            </w:pict>
          </mc:Fallback>
        </mc:AlternateContent>
      </w:r>
      <w:r w:rsidR="00B52BC1" w:rsidRPr="00BB28A0">
        <w:rPr>
          <w:lang w:val="en-GB"/>
        </w:rPr>
        <w:t xml:space="preserve"> </w:t>
      </w:r>
    </w:p>
    <w:p w14:paraId="06CCC0D0" w14:textId="46D483CA" w:rsidR="00EA3688" w:rsidRPr="00BB28A0" w:rsidRDefault="00464773" w:rsidP="00891945">
      <w:pPr>
        <w:tabs>
          <w:tab w:val="left" w:pos="2696"/>
        </w:tabs>
        <w:rPr>
          <w:rFonts w:ascii="StobiSerif Regular" w:hAnsi="StobiSerif Regular"/>
          <w:b/>
          <w:bCs/>
          <w:outline/>
          <w:color w:val="5AA2AE" w:themeColor="accent5"/>
          <w:sz w:val="72"/>
          <w:szCs w:val="72"/>
          <w:lang w:val="en-GB"/>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BB28A0">
        <w:rPr>
          <w:noProof/>
        </w:rPr>
        <mc:AlternateContent>
          <mc:Choice Requires="wps">
            <w:drawing>
              <wp:anchor distT="0" distB="0" distL="114300" distR="114300" simplePos="0" relativeHeight="251678720" behindDoc="0" locked="0" layoutInCell="1" allowOverlap="1" wp14:anchorId="649C6F0C" wp14:editId="4ECF4334">
                <wp:simplePos x="0" y="0"/>
                <wp:positionH relativeFrom="column">
                  <wp:posOffset>333375</wp:posOffset>
                </wp:positionH>
                <wp:positionV relativeFrom="paragraph">
                  <wp:posOffset>6350</wp:posOffset>
                </wp:positionV>
                <wp:extent cx="6724650" cy="4905375"/>
                <wp:effectExtent l="0" t="0" r="0" b="9525"/>
                <wp:wrapNone/>
                <wp:docPr id="1555840088" name="Text Box 1"/>
                <wp:cNvGraphicFramePr/>
                <a:graphic xmlns:a="http://schemas.openxmlformats.org/drawingml/2006/main">
                  <a:graphicData uri="http://schemas.microsoft.com/office/word/2010/wordprocessingShape">
                    <wps:wsp>
                      <wps:cNvSpPr txBox="1"/>
                      <wps:spPr>
                        <a:xfrm>
                          <a:off x="0" y="0"/>
                          <a:ext cx="6724650" cy="4905375"/>
                        </a:xfrm>
                        <a:prstGeom prst="rect">
                          <a:avLst/>
                        </a:prstGeom>
                        <a:noFill/>
                        <a:ln>
                          <a:noFill/>
                        </a:ln>
                      </wps:spPr>
                      <wps:txbx>
                        <w:txbxContent>
                          <w:p w14:paraId="65569B93" w14:textId="259706B2" w:rsidR="006C2DCA" w:rsidRDefault="006C2DCA" w:rsidP="00464773">
                            <w:pPr>
                              <w:jc w:val="center"/>
                            </w:pPr>
                            <w:r>
                              <w:rPr>
                                <w:b/>
                                <w:color w:val="ACCBF9" w:themeColor="background2"/>
                                <w:spacing w:val="10"/>
                                <w:sz w:val="72"/>
                                <w:szCs w:val="72"/>
                                <w:u w:val="single"/>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REVISED </w:t>
                            </w:r>
                            <w:r w:rsidRPr="000E4CD7">
                              <w:rPr>
                                <w:b/>
                                <w:color w:val="ACCBF9" w:themeColor="background2"/>
                                <w:spacing w:val="10"/>
                                <w:sz w:val="72"/>
                                <w:szCs w:val="72"/>
                                <w:u w:val="single"/>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RESEARCH INFRASTRUCTURE ROADMAP OF REPUBLIC OF NORTH MACEDONIA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49C6F0C" id="_x0000_t202" coordsize="21600,21600" o:spt="202" path="m,l,21600r21600,l21600,xe">
                <v:stroke joinstyle="miter"/>
                <v:path gradientshapeok="t" o:connecttype="rect"/>
              </v:shapetype>
              <v:shape id="Text Box 1" o:spid="_x0000_s1033" type="#_x0000_t202" style="position:absolute;margin-left:26.25pt;margin-top:.5pt;width:529.5pt;height:386.25pt;z-index:2516787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" filled="f" stroked="f">
                <v:textbox>
                  <w:txbxContent>
                    <w:p w14:paraId="65569B93" w14:textId="259706B2" w:rsidR="006C2DCA" w:rsidRDefault="006C2DCA" w:rsidP="00464773">
                      <w:pPr>
                        <w:jc w:val="center"/>
                      </w:pPr>
                      <w:r>
                        <w:rPr>
                          <w:b/>
                          <w:color w:val="ACCBF9" w:themeColor="background2"/>
                          <w:spacing w:val="10"/>
                          <w:sz w:val="72"/>
                          <w:szCs w:val="72"/>
                          <w:u w:val="single"/>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REVISED </w:t>
                      </w:r>
                      <w:r w:rsidRPr="000E4CD7">
                        <w:rPr>
                          <w:b/>
                          <w:color w:val="ACCBF9" w:themeColor="background2"/>
                          <w:spacing w:val="10"/>
                          <w:sz w:val="72"/>
                          <w:szCs w:val="72"/>
                          <w:u w:val="single"/>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RESEARCH INFRASTRUCTURE ROADMAP OF REPUBLIC OF NORTH MACEDONIA </w:t>
                      </w:r>
                    </w:p>
                  </w:txbxContent>
                </v:textbox>
              </v:shape>
            </w:pict>
          </mc:Fallback>
        </mc:AlternateContent>
      </w:r>
    </w:p>
    <w:p w14:paraId="017A2C29" w14:textId="3409AF97" w:rsidR="00EA3688" w:rsidRPr="00BB28A0" w:rsidRDefault="00EA3688" w:rsidP="00891945">
      <w:pPr>
        <w:tabs>
          <w:tab w:val="left" w:pos="2696"/>
        </w:tabs>
        <w:rPr>
          <w:rFonts w:ascii="StobiSerif Regular" w:hAnsi="StobiSerif Regular"/>
          <w:b/>
          <w:bCs/>
          <w:outline/>
          <w:color w:val="5AA2AE" w:themeColor="accent5"/>
          <w:sz w:val="72"/>
          <w:szCs w:val="72"/>
          <w:lang w:val="en-GB"/>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6E0DB75D" w14:textId="091C9C09" w:rsidR="00891945" w:rsidRPr="00BB28A0" w:rsidRDefault="00891945" w:rsidP="00891945">
      <w:pPr>
        <w:tabs>
          <w:tab w:val="left" w:pos="2696"/>
        </w:tabs>
        <w:rPr>
          <w:rFonts w:ascii="StobiSerif Regular" w:hAnsi="StobiSerif Regular"/>
          <w:b/>
          <w:bCs/>
          <w:outline/>
          <w:color w:val="5AA2AE" w:themeColor="accent5"/>
          <w:sz w:val="72"/>
          <w:szCs w:val="72"/>
          <w:lang w:val="en-GB"/>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BB28A0">
        <w:rPr>
          <w:rFonts w:ascii="StobiSerif Regular" w:hAnsi="StobiSerif Regular"/>
          <w:b/>
          <w:bCs/>
          <w:outline/>
          <w:color w:val="5AA2AE" w:themeColor="accent5"/>
          <w:sz w:val="72"/>
          <w:szCs w:val="72"/>
          <w:lang w:val="en-GB"/>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b/>
      </w:r>
    </w:p>
    <w:p w14:paraId="24223D66" w14:textId="106DFB15" w:rsidR="00891945" w:rsidRPr="00BB28A0" w:rsidRDefault="00891945" w:rsidP="00891945">
      <w:pPr>
        <w:tabs>
          <w:tab w:val="left" w:pos="2696"/>
        </w:tabs>
        <w:rPr>
          <w:rFonts w:ascii="StobiSerif Regular" w:hAnsi="StobiSerif Regular"/>
          <w:b/>
          <w:bCs/>
          <w:outline/>
          <w:color w:val="5AA2AE" w:themeColor="accent5"/>
          <w:sz w:val="72"/>
          <w:szCs w:val="72"/>
          <w:lang w:val="en-GB"/>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5554E9EA" w14:textId="602A037C" w:rsidR="00891945" w:rsidRPr="00BB28A0" w:rsidRDefault="00891945">
      <w:pPr>
        <w:rPr>
          <w:rFonts w:ascii="StobiSerif Regular" w:hAnsi="StobiSerif Regular"/>
          <w:b/>
          <w:bCs/>
          <w:outline/>
          <w:color w:val="5AA2AE" w:themeColor="accent5"/>
          <w:sz w:val="72"/>
          <w:szCs w:val="72"/>
          <w:lang w:val="en-GB"/>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20DB942B" w14:textId="4AD3EDFC" w:rsidR="00891945" w:rsidRPr="00BB28A0" w:rsidRDefault="00891945" w:rsidP="00244B8E">
      <w:pPr>
        <w:jc w:val="right"/>
        <w:rPr>
          <w:rFonts w:ascii="StobiSerif Regular" w:hAnsi="StobiSerif Regular"/>
          <w:b/>
          <w:bCs/>
          <w:outline/>
          <w:color w:val="5AA2AE" w:themeColor="accent5"/>
          <w:sz w:val="72"/>
          <w:szCs w:val="72"/>
          <w:lang w:val="en-GB"/>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1EB2444C" w14:textId="24FC0639" w:rsidR="00891945" w:rsidRPr="00BB28A0" w:rsidRDefault="00DD2F6C" w:rsidP="00244B8E">
      <w:pPr>
        <w:tabs>
          <w:tab w:val="left" w:pos="8250"/>
        </w:tabs>
        <w:rPr>
          <w:rFonts w:ascii="StobiSerif Regular" w:hAnsi="StobiSerif Regular"/>
          <w:b/>
          <w:bCs/>
          <w:outline/>
          <w:color w:val="5AA2AE" w:themeColor="accent5"/>
          <w:sz w:val="72"/>
          <w:szCs w:val="72"/>
          <w:lang w:val="en-GB"/>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BB28A0">
        <w:rPr>
          <w:rFonts w:ascii="StobiSerif Regular" w:hAnsi="StobiSerif Regular"/>
          <w:b/>
          <w:bCs/>
          <w:outline/>
          <w:color w:val="5AA2AE" w:themeColor="accent5"/>
          <w:sz w:val="72"/>
          <w:szCs w:val="72"/>
          <w:lang w:val="en-GB"/>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b/>
      </w:r>
    </w:p>
    <w:p w14:paraId="7B319C75" w14:textId="4DA8F4B5" w:rsidR="00891945" w:rsidRPr="00BB28A0" w:rsidRDefault="00891945" w:rsidP="00464773">
      <w:pPr>
        <w:jc w:val="right"/>
        <w:rPr>
          <w:rFonts w:ascii="StobiSerif Regular" w:hAnsi="StobiSerif Regular"/>
          <w:b/>
          <w:bCs/>
          <w:outline/>
          <w:color w:val="5AA2AE" w:themeColor="accent5"/>
          <w:sz w:val="72"/>
          <w:szCs w:val="72"/>
          <w:lang w:val="en-GB"/>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2C01BC63" w14:textId="65C0AB27" w:rsidR="00252072" w:rsidRPr="00BB28A0" w:rsidRDefault="00DD2F6C">
      <w:pPr>
        <w:rPr>
          <w:rFonts w:ascii="StobiSerif Regular" w:hAnsi="StobiSerif Regular"/>
          <w:b/>
          <w:bCs/>
          <w:outline/>
          <w:color w:val="5AA2AE" w:themeColor="accent5"/>
          <w:sz w:val="72"/>
          <w:szCs w:val="72"/>
          <w:lang w:val="en-GB"/>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BB28A0">
        <w:rPr>
          <w:noProof/>
        </w:rPr>
        <mc:AlternateContent>
          <mc:Choice Requires="wps">
            <w:drawing>
              <wp:anchor distT="0" distB="0" distL="114300" distR="114300" simplePos="0" relativeHeight="251676672" behindDoc="0" locked="0" layoutInCell="1" allowOverlap="1" wp14:anchorId="4F03D28F" wp14:editId="67DF6B11">
                <wp:simplePos x="0" y="0"/>
                <wp:positionH relativeFrom="column">
                  <wp:posOffset>2066925</wp:posOffset>
                </wp:positionH>
                <wp:positionV relativeFrom="paragraph">
                  <wp:posOffset>13335</wp:posOffset>
                </wp:positionV>
                <wp:extent cx="4908550" cy="957580"/>
                <wp:effectExtent l="0" t="0" r="0" b="0"/>
                <wp:wrapNone/>
                <wp:docPr id="580340981" name="Text Box 1"/>
                <wp:cNvGraphicFramePr/>
                <a:graphic xmlns:a="http://schemas.openxmlformats.org/drawingml/2006/main">
                  <a:graphicData uri="http://schemas.microsoft.com/office/word/2010/wordprocessingShape">
                    <wps:wsp>
                      <wps:cNvSpPr txBox="1"/>
                      <wps:spPr>
                        <a:xfrm>
                          <a:off x="0" y="0"/>
                          <a:ext cx="4908550" cy="957580"/>
                        </a:xfrm>
                        <a:prstGeom prst="rect">
                          <a:avLst/>
                        </a:prstGeom>
                        <a:noFill/>
                        <a:ln>
                          <a:noFill/>
                        </a:ln>
                      </wps:spPr>
                      <wps:txbx>
                        <w:txbxContent>
                          <w:p w14:paraId="4FD90A04" w14:textId="77777777" w:rsidR="006C2DCA" w:rsidRPr="00244B8E" w:rsidRDefault="006C2DCA" w:rsidP="00244B8E">
                            <w:pPr>
                              <w:pStyle w:val="NoSpacing"/>
                              <w:jc w:val="center"/>
                              <w:rPr>
                                <w:b/>
                                <w:color w:val="ACCBF9" w:themeColor="background2"/>
                                <w:spacing w:val="10"/>
                                <w:sz w:val="56"/>
                                <w:szCs w:val="56"/>
                                <w:lang w:val="mk-MK"/>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244B8E">
                              <w:rPr>
                                <w:b/>
                                <w:color w:val="ACCBF9" w:themeColor="background2"/>
                                <w:spacing w:val="10"/>
                                <w:sz w:val="56"/>
                                <w:szCs w:val="56"/>
                                <w:lang w:val="mk-MK"/>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2022-2024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F03D28F" id="_x0000_s1034" type="#_x0000_t202" style="position:absolute;margin-left:162.75pt;margin-top:1.05pt;width:386.5pt;height:75.4pt;z-index:2516766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" filled="f" stroked="f">
                <v:textbox style="mso-fit-shape-to-text:t">
                  <w:txbxContent>
                    <w:p w14:paraId="4FD90A04" w14:textId="77777777" w:rsidR="006C2DCA" w:rsidRPr="00244B8E" w:rsidRDefault="006C2DCA" w:rsidP="00244B8E">
                      <w:pPr>
                        <w:pStyle w:val="NoSpacing"/>
                        <w:jc w:val="center"/>
                        <w:rPr>
                          <w:b/>
                          <w:color w:val="ACCBF9" w:themeColor="background2"/>
                          <w:spacing w:val="10"/>
                          <w:sz w:val="56"/>
                          <w:szCs w:val="56"/>
                          <w:lang w:val="mk-MK"/>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244B8E">
                        <w:rPr>
                          <w:b/>
                          <w:color w:val="ACCBF9" w:themeColor="background2"/>
                          <w:spacing w:val="10"/>
                          <w:sz w:val="56"/>
                          <w:szCs w:val="56"/>
                          <w:lang w:val="mk-MK"/>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2022-2024</w:t>
                      </w:r>
                    </w:p>
                  </w:txbxContent>
                </v:textbox>
              </v:shape>
            </w:pict>
          </mc:Fallback>
        </mc:AlternateContent>
      </w:r>
      <w:r w:rsidR="0041164B" w:rsidRPr="00BB28A0">
        <w:rPr>
          <w:noProof/>
        </w:rPr>
        <mc:AlternateContent>
          <mc:Choice Requires="wps">
            <w:drawing>
              <wp:anchor distT="0" distB="0" distL="114300" distR="114300" simplePos="0" relativeHeight="251674624" behindDoc="0" locked="0" layoutInCell="1" allowOverlap="1" wp14:anchorId="6C3E6CD6" wp14:editId="6D99D981">
                <wp:simplePos x="0" y="0"/>
                <wp:positionH relativeFrom="margin">
                  <wp:posOffset>734060</wp:posOffset>
                </wp:positionH>
                <wp:positionV relativeFrom="paragraph">
                  <wp:posOffset>1299210</wp:posOffset>
                </wp:positionV>
                <wp:extent cx="6724650" cy="9972675"/>
                <wp:effectExtent l="0" t="0" r="0" b="0"/>
                <wp:wrapNone/>
                <wp:docPr id="655620096" name="Text Box 1"/>
                <wp:cNvGraphicFramePr/>
                <a:graphic xmlns:a="http://schemas.openxmlformats.org/drawingml/2006/main">
                  <a:graphicData uri="http://schemas.microsoft.com/office/word/2010/wordprocessingShape">
                    <wps:wsp>
                      <wps:cNvSpPr txBox="1"/>
                      <wps:spPr>
                        <a:xfrm>
                          <a:off x="0" y="0"/>
                          <a:ext cx="6724650" cy="9972675"/>
                        </a:xfrm>
                        <a:prstGeom prst="rect">
                          <a:avLst/>
                        </a:prstGeom>
                        <a:noFill/>
                        <a:ln>
                          <a:noFill/>
                        </a:ln>
                      </wps:spPr>
                      <wps:txbx>
                        <w:txbxContent>
                          <w:p w14:paraId="774A098C" w14:textId="4ACC8A56" w:rsidR="006C2DCA" w:rsidRPr="00332859" w:rsidRDefault="006C2DCA" w:rsidP="00244B8E">
                            <w:pPr>
                              <w:pStyle w:val="NoSpacing"/>
                              <w:jc w:val="center"/>
                              <w:rPr>
                                <w:b/>
                                <w:i/>
                                <w:iCs/>
                                <w:color w:val="ACCBF9" w:themeColor="background2"/>
                                <w:spacing w:val="10"/>
                                <w:sz w:val="40"/>
                                <w:szCs w:val="40"/>
                                <w:lang w:val="mk-MK"/>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b/>
                                <w:i/>
                                <w:iCs/>
                                <w:color w:val="ACCBF9" w:themeColor="background2"/>
                                <w:spacing w:val="10"/>
                                <w:sz w:val="40"/>
                                <w:szCs w:val="4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Ministry of Education and Science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C3E6CD6" id="_x0000_s1035" type="#_x0000_t202" style="position:absolute;margin-left:57.8pt;margin-top:102.3pt;width:529.5pt;height:785.25pt;z-index:25167462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" filled="f" stroked="f">
                <v:textbox style="mso-fit-shape-to-text:t">
                  <w:txbxContent>
                    <w:p w14:paraId="774A098C" w14:textId="4ACC8A56" w:rsidR="006C2DCA" w:rsidRPr="00332859" w:rsidRDefault="006C2DCA" w:rsidP="00244B8E">
                      <w:pPr>
                        <w:pStyle w:val="NoSpacing"/>
                        <w:jc w:val="center"/>
                        <w:rPr>
                          <w:b/>
                          <w:i/>
                          <w:iCs/>
                          <w:color w:val="ACCBF9" w:themeColor="background2"/>
                          <w:spacing w:val="10"/>
                          <w:sz w:val="40"/>
                          <w:szCs w:val="40"/>
                          <w:lang w:val="mk-MK"/>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b/>
                          <w:i/>
                          <w:iCs/>
                          <w:color w:val="ACCBF9" w:themeColor="background2"/>
                          <w:spacing w:val="10"/>
                          <w:sz w:val="40"/>
                          <w:szCs w:val="4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Ministry of Education and Science</w:t>
                      </w:r>
                    </w:p>
                  </w:txbxContent>
                </v:textbox>
                <w10:wrap anchorx="margin"/>
              </v:shape>
            </w:pict>
          </mc:Fallback>
        </mc:AlternateContent>
      </w:r>
      <w:r w:rsidR="00252072" w:rsidRPr="00BB28A0">
        <w:rPr>
          <w:rFonts w:ascii="StobiSerif Regular" w:hAnsi="StobiSerif Regular"/>
          <w:b/>
          <w:bCs/>
          <w:outline/>
          <w:color w:val="5AA2AE" w:themeColor="accent5"/>
          <w:sz w:val="72"/>
          <w:szCs w:val="72"/>
          <w:lang w:val="en-GB"/>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br w:type="page"/>
      </w:r>
    </w:p>
    <w:p w14:paraId="69CADF8D" w14:textId="7971651D" w:rsidR="00842491" w:rsidRPr="00BB28A0" w:rsidRDefault="003E33CD" w:rsidP="00DB5DE4">
      <w:pPr>
        <w:spacing w:after="0" w:line="240" w:lineRule="auto"/>
        <w:jc w:val="both"/>
        <w:rPr>
          <w:rFonts w:ascii="StobiSerif Regular" w:hAnsi="StobiSerif Regular"/>
          <w:color w:val="374C80" w:themeColor="accent1" w:themeShade="BF"/>
          <w:sz w:val="24"/>
          <w:szCs w:val="24"/>
          <w:lang w:val="en-GB"/>
        </w:rPr>
      </w:pPr>
      <w:r w:rsidRPr="00BB28A0">
        <w:rPr>
          <w:rFonts w:ascii="StobiSerif Regular" w:hAnsi="StobiSerif Regular"/>
          <w:color w:val="374C80" w:themeColor="accent1" w:themeShade="BF"/>
          <w:sz w:val="24"/>
          <w:szCs w:val="24"/>
          <w:lang w:val="en-GB"/>
        </w:rPr>
        <w:lastRenderedPageBreak/>
        <w:t xml:space="preserve">ACRONIMS AND ABBREVITIONS </w:t>
      </w:r>
    </w:p>
    <w:p w14:paraId="1875F5EA" w14:textId="77777777" w:rsidR="00273AF9" w:rsidRPr="00BB28A0" w:rsidRDefault="00273AF9" w:rsidP="00DB5DE4">
      <w:pPr>
        <w:spacing w:after="0" w:line="240" w:lineRule="auto"/>
        <w:jc w:val="both"/>
        <w:rPr>
          <w:rFonts w:ascii="StobiSerif Regular" w:hAnsi="StobiSerif Regular"/>
          <w:sz w:val="24"/>
          <w:szCs w:val="24"/>
          <w:lang w:val="en-GB"/>
        </w:rPr>
      </w:pPr>
    </w:p>
    <w:p w14:paraId="6F205A20" w14:textId="77777777" w:rsidR="000E4CD7" w:rsidRPr="00BB28A0" w:rsidRDefault="000E4CD7" w:rsidP="000E4CD7">
      <w:pPr>
        <w:spacing w:after="0" w:line="240" w:lineRule="auto"/>
        <w:jc w:val="both"/>
        <w:rPr>
          <w:rFonts w:ascii="StobiSerif Regular" w:hAnsi="StobiSerif Regular"/>
          <w:sz w:val="20"/>
          <w:szCs w:val="20"/>
          <w:lang w:val="en-GB"/>
        </w:rPr>
      </w:pPr>
      <w:r w:rsidRPr="00BB28A0">
        <w:rPr>
          <w:rFonts w:ascii="StobiSerif Regular" w:hAnsi="StobiSerif Regular"/>
          <w:sz w:val="20"/>
          <w:szCs w:val="20"/>
          <w:lang w:val="en-GB"/>
        </w:rPr>
        <w:t>CESAER – Conference of European Schools for Advanced Engineering Education and Research</w:t>
      </w:r>
    </w:p>
    <w:p w14:paraId="472E8279" w14:textId="77777777" w:rsidR="000E4CD7" w:rsidRPr="00BB28A0" w:rsidRDefault="000E4CD7" w:rsidP="000E4CD7">
      <w:pPr>
        <w:spacing w:after="0" w:line="240" w:lineRule="auto"/>
        <w:jc w:val="both"/>
        <w:rPr>
          <w:rFonts w:ascii="StobiSerif Regular" w:hAnsi="StobiSerif Regular"/>
          <w:sz w:val="20"/>
          <w:szCs w:val="20"/>
          <w:lang w:val="en-GB"/>
        </w:rPr>
      </w:pPr>
      <w:r w:rsidRPr="00BB28A0">
        <w:rPr>
          <w:rFonts w:ascii="StobiSerif Regular" w:hAnsi="StobiSerif Regular"/>
          <w:sz w:val="20"/>
          <w:szCs w:val="20"/>
          <w:lang w:val="en-GB"/>
        </w:rPr>
        <w:t>CESSDA – Consortium of European Social Science Data Archives</w:t>
      </w:r>
    </w:p>
    <w:p w14:paraId="5E5037BE" w14:textId="77777777" w:rsidR="000E4CD7" w:rsidRPr="00BB28A0" w:rsidRDefault="000E4CD7" w:rsidP="000E4CD7">
      <w:pPr>
        <w:spacing w:after="0" w:line="240" w:lineRule="auto"/>
        <w:jc w:val="both"/>
        <w:rPr>
          <w:rFonts w:ascii="StobiSerif Regular" w:hAnsi="StobiSerif Regular"/>
          <w:sz w:val="20"/>
          <w:szCs w:val="20"/>
          <w:lang w:val="en-GB"/>
        </w:rPr>
      </w:pPr>
      <w:r w:rsidRPr="00BB28A0">
        <w:rPr>
          <w:rFonts w:ascii="StobiSerif Regular" w:hAnsi="StobiSerif Regular"/>
          <w:sz w:val="20"/>
          <w:szCs w:val="20"/>
          <w:lang w:val="en-GB"/>
        </w:rPr>
        <w:t>CSIC – The Spanish National Research Council</w:t>
      </w:r>
    </w:p>
    <w:p w14:paraId="4677616B" w14:textId="77777777" w:rsidR="000E4CD7" w:rsidRPr="00BB28A0" w:rsidRDefault="000E4CD7" w:rsidP="000E4CD7">
      <w:pPr>
        <w:spacing w:after="0" w:line="240" w:lineRule="auto"/>
        <w:jc w:val="both"/>
        <w:rPr>
          <w:rFonts w:ascii="StobiSerif Regular" w:hAnsi="StobiSerif Regular"/>
          <w:sz w:val="20"/>
          <w:szCs w:val="20"/>
          <w:lang w:val="en-GB"/>
        </w:rPr>
      </w:pPr>
      <w:r w:rsidRPr="00BB28A0">
        <w:rPr>
          <w:rFonts w:ascii="StobiSerif Regular" w:hAnsi="StobiSerif Regular"/>
          <w:sz w:val="20"/>
          <w:szCs w:val="20"/>
          <w:lang w:val="en-GB"/>
        </w:rPr>
        <w:t>E-CRIS – Current Research Information Systems</w:t>
      </w:r>
    </w:p>
    <w:p w14:paraId="6CE12733" w14:textId="6412A82E" w:rsidR="000E4CD7" w:rsidRPr="00BB28A0" w:rsidRDefault="000E4CD7" w:rsidP="000E4CD7">
      <w:pPr>
        <w:spacing w:after="0" w:line="240" w:lineRule="auto"/>
        <w:jc w:val="both"/>
        <w:rPr>
          <w:rFonts w:ascii="StobiSerif Regular" w:hAnsi="StobiSerif Regular"/>
          <w:sz w:val="20"/>
          <w:szCs w:val="20"/>
          <w:lang w:val="en-GB"/>
        </w:rPr>
      </w:pPr>
      <w:r w:rsidRPr="00BB28A0">
        <w:rPr>
          <w:rFonts w:ascii="StobiSerif Regular" w:hAnsi="StobiSerif Regular"/>
          <w:sz w:val="20"/>
          <w:szCs w:val="20"/>
          <w:lang w:val="en-GB"/>
        </w:rPr>
        <w:t>EOSC – European Open Science Cloud</w:t>
      </w:r>
    </w:p>
    <w:p w14:paraId="14A9CDDC" w14:textId="77777777" w:rsidR="000E4CD7" w:rsidRPr="00BB28A0" w:rsidRDefault="000E4CD7" w:rsidP="000E4CD7">
      <w:pPr>
        <w:spacing w:after="0" w:line="240" w:lineRule="auto"/>
        <w:jc w:val="both"/>
        <w:rPr>
          <w:rFonts w:ascii="StobiSerif Regular" w:hAnsi="StobiSerif Regular"/>
          <w:sz w:val="20"/>
          <w:szCs w:val="20"/>
          <w:lang w:val="en-GB"/>
        </w:rPr>
      </w:pPr>
      <w:r w:rsidRPr="00BB28A0">
        <w:rPr>
          <w:rFonts w:ascii="StobiSerif Regular" w:hAnsi="StobiSerif Regular"/>
          <w:sz w:val="20"/>
          <w:szCs w:val="20"/>
          <w:lang w:val="en-GB"/>
        </w:rPr>
        <w:t>ERA – European Research Area</w:t>
      </w:r>
    </w:p>
    <w:p w14:paraId="514B2DFD" w14:textId="77777777" w:rsidR="000E4CD7" w:rsidRPr="00BB28A0" w:rsidRDefault="000E4CD7" w:rsidP="000E4CD7">
      <w:pPr>
        <w:spacing w:after="0" w:line="240" w:lineRule="auto"/>
        <w:jc w:val="both"/>
        <w:rPr>
          <w:rFonts w:ascii="StobiSerif Regular" w:hAnsi="StobiSerif Regular"/>
          <w:sz w:val="20"/>
          <w:szCs w:val="20"/>
          <w:lang w:val="en-GB"/>
        </w:rPr>
      </w:pPr>
      <w:r w:rsidRPr="00BB28A0">
        <w:rPr>
          <w:rFonts w:ascii="StobiSerif Regular" w:hAnsi="StobiSerif Regular"/>
          <w:sz w:val="20"/>
          <w:szCs w:val="20"/>
          <w:lang w:val="en-GB"/>
        </w:rPr>
        <w:t xml:space="preserve">ERIC – European Research Infrastructure Consortium </w:t>
      </w:r>
    </w:p>
    <w:p w14:paraId="4C301E2C" w14:textId="77777777" w:rsidR="000E4CD7" w:rsidRPr="00BB28A0" w:rsidRDefault="000E4CD7" w:rsidP="000E4CD7">
      <w:pPr>
        <w:spacing w:after="0" w:line="240" w:lineRule="auto"/>
        <w:jc w:val="both"/>
        <w:rPr>
          <w:rFonts w:ascii="StobiSerif Regular" w:hAnsi="StobiSerif Regular"/>
          <w:sz w:val="20"/>
          <w:szCs w:val="20"/>
          <w:lang w:val="en-GB"/>
        </w:rPr>
      </w:pPr>
      <w:r w:rsidRPr="00BB28A0">
        <w:rPr>
          <w:rFonts w:ascii="StobiSerif Regular" w:hAnsi="StobiSerif Regular"/>
          <w:sz w:val="20"/>
          <w:szCs w:val="20"/>
          <w:lang w:val="en-GB"/>
        </w:rPr>
        <w:t>ESFRI – European Strategy Forum on Research Infrastructures</w:t>
      </w:r>
    </w:p>
    <w:p w14:paraId="193BF267" w14:textId="77777777" w:rsidR="000E4CD7" w:rsidRPr="00BB28A0" w:rsidRDefault="000E4CD7" w:rsidP="000E4CD7">
      <w:pPr>
        <w:spacing w:after="0" w:line="240" w:lineRule="auto"/>
        <w:jc w:val="both"/>
        <w:rPr>
          <w:rFonts w:ascii="StobiSerif Regular" w:hAnsi="StobiSerif Regular"/>
          <w:sz w:val="20"/>
          <w:szCs w:val="20"/>
          <w:lang w:val="en-GB"/>
        </w:rPr>
      </w:pPr>
      <w:r w:rsidRPr="00BB28A0">
        <w:rPr>
          <w:rFonts w:ascii="StobiSerif Regular" w:hAnsi="StobiSerif Regular"/>
          <w:sz w:val="20"/>
          <w:szCs w:val="20"/>
          <w:lang w:val="en-GB"/>
        </w:rPr>
        <w:t xml:space="preserve">ESS – European social survey </w:t>
      </w:r>
    </w:p>
    <w:p w14:paraId="242BFD85" w14:textId="77777777" w:rsidR="000E4CD7" w:rsidRPr="00BB28A0" w:rsidRDefault="000E4CD7" w:rsidP="000E4CD7">
      <w:pPr>
        <w:spacing w:after="0" w:line="240" w:lineRule="auto"/>
        <w:jc w:val="both"/>
        <w:rPr>
          <w:rFonts w:ascii="StobiSerif Regular" w:hAnsi="StobiSerif Regular"/>
          <w:sz w:val="20"/>
          <w:szCs w:val="20"/>
          <w:lang w:val="en-GB"/>
        </w:rPr>
      </w:pPr>
      <w:proofErr w:type="spellStart"/>
      <w:r w:rsidRPr="00BB28A0">
        <w:rPr>
          <w:rFonts w:ascii="StobiSerif Regular" w:hAnsi="StobiSerif Regular"/>
          <w:sz w:val="20"/>
          <w:szCs w:val="20"/>
          <w:lang w:val="en-GB"/>
        </w:rPr>
        <w:t>EuroHPC</w:t>
      </w:r>
      <w:proofErr w:type="spellEnd"/>
      <w:r w:rsidRPr="00BB28A0">
        <w:rPr>
          <w:rFonts w:ascii="StobiSerif Regular" w:hAnsi="StobiSerif Regular"/>
          <w:sz w:val="20"/>
          <w:szCs w:val="20"/>
          <w:lang w:val="en-GB"/>
        </w:rPr>
        <w:t xml:space="preserve"> JU – European High Performance Computing Joint Undertaking</w:t>
      </w:r>
    </w:p>
    <w:p w14:paraId="46A9A1DF" w14:textId="77777777" w:rsidR="000E4CD7" w:rsidRPr="00BB28A0" w:rsidRDefault="000E4CD7" w:rsidP="000E4CD7">
      <w:pPr>
        <w:spacing w:after="0" w:line="240" w:lineRule="auto"/>
        <w:jc w:val="both"/>
        <w:rPr>
          <w:rFonts w:ascii="StobiSerif Regular" w:hAnsi="StobiSerif Regular"/>
          <w:sz w:val="20"/>
          <w:szCs w:val="20"/>
          <w:lang w:val="en-GB"/>
        </w:rPr>
      </w:pPr>
      <w:r w:rsidRPr="00BB28A0">
        <w:rPr>
          <w:rFonts w:ascii="StobiSerif Regular" w:hAnsi="StobiSerif Regular"/>
          <w:sz w:val="20"/>
          <w:szCs w:val="20"/>
          <w:lang w:val="en-GB"/>
        </w:rPr>
        <w:t xml:space="preserve">FASF – Faculty of Agricultural Sciences and Food </w:t>
      </w:r>
    </w:p>
    <w:p w14:paraId="74B3B795" w14:textId="77777777" w:rsidR="000E4CD7" w:rsidRPr="00BB28A0" w:rsidRDefault="000E4CD7" w:rsidP="000E4CD7">
      <w:pPr>
        <w:spacing w:after="0" w:line="240" w:lineRule="auto"/>
        <w:jc w:val="both"/>
        <w:rPr>
          <w:rFonts w:ascii="StobiSerif Regular" w:hAnsi="StobiSerif Regular"/>
          <w:sz w:val="20"/>
          <w:szCs w:val="20"/>
          <w:lang w:val="en-GB"/>
        </w:rPr>
      </w:pPr>
      <w:r w:rsidRPr="00BB28A0">
        <w:rPr>
          <w:rFonts w:ascii="StobiSerif Regular" w:hAnsi="StobiSerif Regular"/>
          <w:sz w:val="20"/>
          <w:szCs w:val="20"/>
          <w:lang w:val="en-GB"/>
        </w:rPr>
        <w:t>FCSE – Faculty of Computer Science and Engineering</w:t>
      </w:r>
    </w:p>
    <w:p w14:paraId="2D96CB96" w14:textId="77777777" w:rsidR="000E4CD7" w:rsidRPr="00BB28A0" w:rsidRDefault="000E4CD7" w:rsidP="000E4CD7">
      <w:pPr>
        <w:spacing w:after="0" w:line="240" w:lineRule="auto"/>
        <w:jc w:val="both"/>
        <w:rPr>
          <w:rFonts w:ascii="StobiSerif Regular" w:hAnsi="StobiSerif Regular"/>
          <w:sz w:val="20"/>
          <w:szCs w:val="20"/>
          <w:lang w:val="en-GB"/>
        </w:rPr>
      </w:pPr>
      <w:r w:rsidRPr="00BB28A0">
        <w:rPr>
          <w:rFonts w:ascii="StobiSerif Regular" w:hAnsi="StobiSerif Regular"/>
          <w:sz w:val="20"/>
          <w:szCs w:val="20"/>
          <w:lang w:val="en-GB"/>
        </w:rPr>
        <w:t>FEEIT– Faculty of Electrical Engineering and Information Technologies</w:t>
      </w:r>
    </w:p>
    <w:p w14:paraId="0D0D0818" w14:textId="77777777" w:rsidR="000E4CD7" w:rsidRPr="00BB28A0" w:rsidRDefault="000E4CD7" w:rsidP="000E4CD7">
      <w:pPr>
        <w:spacing w:after="0" w:line="240" w:lineRule="auto"/>
        <w:jc w:val="both"/>
        <w:rPr>
          <w:rFonts w:ascii="StobiSerif Regular" w:hAnsi="StobiSerif Regular"/>
          <w:sz w:val="20"/>
          <w:szCs w:val="20"/>
          <w:lang w:val="en-GB"/>
        </w:rPr>
      </w:pPr>
      <w:r w:rsidRPr="00BB28A0">
        <w:rPr>
          <w:rFonts w:ascii="StobiSerif Regular" w:hAnsi="StobiSerif Regular"/>
          <w:sz w:val="20"/>
          <w:szCs w:val="20"/>
          <w:lang w:val="en-GB"/>
        </w:rPr>
        <w:t xml:space="preserve">FP7 – Seventh Framework Programme </w:t>
      </w:r>
    </w:p>
    <w:p w14:paraId="47FC48F3" w14:textId="77777777" w:rsidR="000E4CD7" w:rsidRPr="00BB28A0" w:rsidRDefault="000E4CD7" w:rsidP="000E4CD7">
      <w:pPr>
        <w:spacing w:after="0" w:line="240" w:lineRule="auto"/>
        <w:jc w:val="both"/>
        <w:rPr>
          <w:rFonts w:ascii="StobiSerif Regular" w:hAnsi="StobiSerif Regular"/>
          <w:sz w:val="20"/>
          <w:szCs w:val="20"/>
          <w:lang w:val="en-GB"/>
        </w:rPr>
      </w:pPr>
      <w:r w:rsidRPr="00BB28A0">
        <w:rPr>
          <w:rFonts w:ascii="StobiSerif Regular" w:hAnsi="StobiSerif Regular"/>
          <w:sz w:val="20"/>
          <w:szCs w:val="20"/>
          <w:lang w:val="en-GB"/>
        </w:rPr>
        <w:t>GARR – Italian National Computer Network for Universities and Research</w:t>
      </w:r>
    </w:p>
    <w:p w14:paraId="34877003" w14:textId="77777777" w:rsidR="000E4CD7" w:rsidRPr="00BB28A0" w:rsidRDefault="000E4CD7" w:rsidP="000E4CD7">
      <w:pPr>
        <w:spacing w:after="0" w:line="240" w:lineRule="auto"/>
        <w:jc w:val="both"/>
        <w:rPr>
          <w:rFonts w:ascii="StobiSerif Regular" w:hAnsi="StobiSerif Regular"/>
          <w:sz w:val="20"/>
          <w:szCs w:val="20"/>
          <w:lang w:val="en-GB"/>
        </w:rPr>
      </w:pPr>
      <w:r w:rsidRPr="00BB28A0">
        <w:rPr>
          <w:rFonts w:ascii="StobiSerif Regular" w:hAnsi="StobiSerif Regular"/>
          <w:sz w:val="20"/>
          <w:szCs w:val="20"/>
          <w:lang w:val="en-GB"/>
        </w:rPr>
        <w:t>GDP – Gross Domestic Product</w:t>
      </w:r>
    </w:p>
    <w:p w14:paraId="6AD1C40F" w14:textId="77777777" w:rsidR="000E4CD7" w:rsidRPr="00BB28A0" w:rsidRDefault="000E4CD7" w:rsidP="000E4CD7">
      <w:pPr>
        <w:spacing w:after="0" w:line="240" w:lineRule="auto"/>
        <w:jc w:val="both"/>
        <w:rPr>
          <w:rFonts w:ascii="StobiSerif Regular" w:hAnsi="StobiSerif Regular"/>
          <w:sz w:val="20"/>
          <w:szCs w:val="20"/>
          <w:lang w:val="en-GB"/>
        </w:rPr>
      </w:pPr>
      <w:r w:rsidRPr="00BB28A0">
        <w:rPr>
          <w:rFonts w:ascii="StobiSerif Regular" w:hAnsi="StobiSerif Regular"/>
          <w:sz w:val="20"/>
          <w:szCs w:val="20"/>
          <w:lang w:val="en-GB"/>
        </w:rPr>
        <w:t xml:space="preserve">GERD – Gross Domestic Expenditures on Research and Development </w:t>
      </w:r>
    </w:p>
    <w:p w14:paraId="00FCE946" w14:textId="64796650" w:rsidR="00DB5DE4" w:rsidRPr="00BB28A0" w:rsidRDefault="005A0672" w:rsidP="00DB5DE4">
      <w:pPr>
        <w:spacing w:after="0" w:line="240" w:lineRule="auto"/>
        <w:jc w:val="both"/>
        <w:rPr>
          <w:rFonts w:ascii="StobiSerif Regular" w:hAnsi="StobiSerif Regular"/>
          <w:sz w:val="20"/>
          <w:szCs w:val="20"/>
          <w:lang w:val="en-GB"/>
        </w:rPr>
      </w:pPr>
      <w:r w:rsidRPr="00BB28A0">
        <w:rPr>
          <w:rFonts w:ascii="StobiSerif Regular" w:hAnsi="StobiSerif Regular"/>
          <w:sz w:val="20"/>
          <w:szCs w:val="20"/>
          <w:lang w:val="en-GB"/>
        </w:rPr>
        <w:t>HE</w:t>
      </w:r>
      <w:r w:rsidR="00DB5DE4" w:rsidRPr="00BB28A0">
        <w:rPr>
          <w:rFonts w:ascii="StobiSerif Regular" w:hAnsi="StobiSerif Regular"/>
          <w:sz w:val="20"/>
          <w:szCs w:val="20"/>
          <w:lang w:val="en-GB"/>
        </w:rPr>
        <w:t xml:space="preserve"> </w:t>
      </w:r>
      <w:r w:rsidR="000E4CD7" w:rsidRPr="00BB28A0">
        <w:rPr>
          <w:rFonts w:ascii="StobiSerif Regular" w:hAnsi="StobiSerif Regular"/>
          <w:sz w:val="20"/>
          <w:szCs w:val="20"/>
          <w:lang w:val="en-GB"/>
        </w:rPr>
        <w:t>–</w:t>
      </w:r>
      <w:r w:rsidR="00DB5DE4" w:rsidRPr="00BB28A0">
        <w:rPr>
          <w:rFonts w:ascii="StobiSerif Regular" w:hAnsi="StobiSerif Regular"/>
          <w:sz w:val="20"/>
          <w:szCs w:val="20"/>
          <w:lang w:val="en-GB"/>
        </w:rPr>
        <w:t xml:space="preserve"> </w:t>
      </w:r>
      <w:r w:rsidR="000E4CD7" w:rsidRPr="00BB28A0">
        <w:rPr>
          <w:rFonts w:ascii="StobiSerif Regular" w:hAnsi="StobiSerif Regular"/>
          <w:sz w:val="20"/>
          <w:szCs w:val="20"/>
          <w:lang w:val="en-GB"/>
        </w:rPr>
        <w:t xml:space="preserve">Horizon Europe </w:t>
      </w:r>
    </w:p>
    <w:p w14:paraId="7326F842" w14:textId="77777777" w:rsidR="000E4CD7" w:rsidRPr="00BB28A0" w:rsidRDefault="000E4CD7" w:rsidP="000E4CD7">
      <w:pPr>
        <w:spacing w:after="0" w:line="240" w:lineRule="auto"/>
        <w:jc w:val="both"/>
        <w:rPr>
          <w:rFonts w:ascii="StobiSerif Regular" w:hAnsi="StobiSerif Regular"/>
          <w:sz w:val="20"/>
          <w:szCs w:val="20"/>
          <w:lang w:val="en-GB"/>
        </w:rPr>
      </w:pPr>
      <w:r w:rsidRPr="00BB28A0">
        <w:rPr>
          <w:rFonts w:ascii="StobiSerif Regular" w:hAnsi="StobiSerif Regular"/>
          <w:sz w:val="20"/>
          <w:szCs w:val="20"/>
          <w:lang w:val="en-GB"/>
        </w:rPr>
        <w:t>HPC – High Performance Computing</w:t>
      </w:r>
    </w:p>
    <w:p w14:paraId="390F0373" w14:textId="77777777" w:rsidR="000E4CD7" w:rsidRPr="00BB28A0" w:rsidRDefault="000E4CD7" w:rsidP="000E4CD7">
      <w:pPr>
        <w:spacing w:after="0" w:line="240" w:lineRule="auto"/>
        <w:jc w:val="both"/>
        <w:rPr>
          <w:rFonts w:ascii="StobiSerif Regular" w:hAnsi="StobiSerif Regular"/>
          <w:sz w:val="20"/>
          <w:szCs w:val="20"/>
          <w:lang w:val="en-GB"/>
        </w:rPr>
      </w:pPr>
      <w:r w:rsidRPr="00BB28A0">
        <w:rPr>
          <w:rFonts w:ascii="StobiSerif Regular" w:hAnsi="StobiSerif Regular"/>
          <w:sz w:val="20"/>
          <w:szCs w:val="20"/>
          <w:lang w:val="en-GB"/>
        </w:rPr>
        <w:t>HPDA – High Performance Data Analytics</w:t>
      </w:r>
    </w:p>
    <w:p w14:paraId="100415D7" w14:textId="77777777" w:rsidR="000E4CD7" w:rsidRPr="00BB28A0" w:rsidRDefault="000E4CD7" w:rsidP="000E4CD7">
      <w:pPr>
        <w:spacing w:after="0" w:line="240" w:lineRule="auto"/>
        <w:jc w:val="both"/>
        <w:rPr>
          <w:rFonts w:ascii="StobiSerif Regular" w:hAnsi="StobiSerif Regular"/>
          <w:sz w:val="20"/>
          <w:szCs w:val="20"/>
          <w:lang w:val="en-GB"/>
        </w:rPr>
      </w:pPr>
      <w:r w:rsidRPr="00BB28A0">
        <w:rPr>
          <w:rFonts w:ascii="StobiSerif Regular" w:hAnsi="StobiSerif Regular"/>
          <w:sz w:val="20"/>
          <w:szCs w:val="20"/>
          <w:lang w:val="en-GB"/>
        </w:rPr>
        <w:t xml:space="preserve">INCF – International </w:t>
      </w:r>
      <w:proofErr w:type="spellStart"/>
      <w:r w:rsidRPr="00BB28A0">
        <w:rPr>
          <w:rFonts w:ascii="StobiSerif Regular" w:hAnsi="StobiSerif Regular"/>
          <w:sz w:val="20"/>
          <w:szCs w:val="20"/>
          <w:lang w:val="en-GB"/>
        </w:rPr>
        <w:t>Neuroinformatics</w:t>
      </w:r>
      <w:proofErr w:type="spellEnd"/>
      <w:r w:rsidRPr="00BB28A0">
        <w:rPr>
          <w:rFonts w:ascii="StobiSerif Regular" w:hAnsi="StobiSerif Regular"/>
          <w:sz w:val="20"/>
          <w:szCs w:val="20"/>
          <w:lang w:val="en-GB"/>
        </w:rPr>
        <w:t xml:space="preserve"> Coordinating Facility </w:t>
      </w:r>
    </w:p>
    <w:p w14:paraId="07C6A264" w14:textId="77777777" w:rsidR="000E4CD7" w:rsidRPr="00BB28A0" w:rsidRDefault="000E4CD7" w:rsidP="000E4CD7">
      <w:pPr>
        <w:spacing w:after="0" w:line="240" w:lineRule="auto"/>
        <w:jc w:val="both"/>
        <w:rPr>
          <w:rFonts w:ascii="StobiSerif Regular" w:hAnsi="StobiSerif Regular"/>
          <w:sz w:val="20"/>
          <w:szCs w:val="20"/>
          <w:lang w:val="en-GB"/>
        </w:rPr>
      </w:pPr>
      <w:r w:rsidRPr="00BB28A0">
        <w:rPr>
          <w:rFonts w:ascii="StobiSerif Regular" w:hAnsi="StobiSerif Regular"/>
          <w:sz w:val="20"/>
          <w:szCs w:val="20"/>
          <w:lang w:val="en-GB"/>
        </w:rPr>
        <w:t>IZUM – Institute of Information Science in Maribor</w:t>
      </w:r>
    </w:p>
    <w:p w14:paraId="6A507C2A" w14:textId="77777777" w:rsidR="000E4CD7" w:rsidRPr="00BB28A0" w:rsidRDefault="000E4CD7" w:rsidP="000E4CD7">
      <w:pPr>
        <w:spacing w:after="0" w:line="240" w:lineRule="auto"/>
        <w:jc w:val="both"/>
        <w:rPr>
          <w:rFonts w:ascii="StobiSerif Regular" w:hAnsi="StobiSerif Regular"/>
          <w:sz w:val="20"/>
          <w:szCs w:val="20"/>
          <w:lang w:val="en-GB"/>
        </w:rPr>
      </w:pPr>
      <w:r w:rsidRPr="00BB28A0">
        <w:rPr>
          <w:rFonts w:ascii="StobiSerif Regular" w:hAnsi="StobiSerif Regular"/>
          <w:sz w:val="20"/>
          <w:szCs w:val="20"/>
          <w:lang w:val="en-GB"/>
        </w:rPr>
        <w:t xml:space="preserve">JRC – Joint Research Centre </w:t>
      </w:r>
    </w:p>
    <w:p w14:paraId="2CB84D0C" w14:textId="77777777" w:rsidR="000E4CD7" w:rsidRPr="00BB28A0" w:rsidRDefault="000E4CD7" w:rsidP="000E4CD7">
      <w:pPr>
        <w:spacing w:after="0" w:line="240" w:lineRule="auto"/>
        <w:jc w:val="both"/>
        <w:rPr>
          <w:rFonts w:ascii="StobiSerif Regular" w:hAnsi="StobiSerif Regular"/>
          <w:sz w:val="20"/>
          <w:szCs w:val="20"/>
          <w:lang w:val="en-GB"/>
        </w:rPr>
      </w:pPr>
      <w:proofErr w:type="spellStart"/>
      <w:r w:rsidRPr="00BB28A0">
        <w:rPr>
          <w:rFonts w:ascii="StobiSerif Regular" w:hAnsi="StobiSerif Regular"/>
          <w:sz w:val="20"/>
          <w:szCs w:val="20"/>
          <w:lang w:val="en-GB"/>
        </w:rPr>
        <w:t>MARNet</w:t>
      </w:r>
      <w:proofErr w:type="spellEnd"/>
      <w:r w:rsidRPr="00BB28A0">
        <w:rPr>
          <w:rFonts w:ascii="StobiSerif Regular" w:hAnsi="StobiSerif Regular"/>
          <w:sz w:val="20"/>
          <w:szCs w:val="20"/>
          <w:lang w:val="en-GB"/>
        </w:rPr>
        <w:t xml:space="preserve"> – Macedonian Research and Academic Network</w:t>
      </w:r>
    </w:p>
    <w:p w14:paraId="35708D84" w14:textId="77777777" w:rsidR="000E4CD7" w:rsidRPr="00BB28A0" w:rsidRDefault="000E4CD7" w:rsidP="000E4CD7">
      <w:pPr>
        <w:spacing w:after="0" w:line="240" w:lineRule="auto"/>
        <w:jc w:val="both"/>
        <w:rPr>
          <w:rFonts w:ascii="StobiSerif Regular" w:hAnsi="StobiSerif Regular"/>
          <w:sz w:val="20"/>
          <w:szCs w:val="20"/>
          <w:lang w:val="en-GB"/>
        </w:rPr>
      </w:pPr>
      <w:r w:rsidRPr="00BB28A0">
        <w:rPr>
          <w:rFonts w:ascii="StobiSerif Regular" w:hAnsi="StobiSerif Regular"/>
          <w:sz w:val="20"/>
          <w:szCs w:val="20"/>
          <w:lang w:val="en-GB"/>
        </w:rPr>
        <w:t xml:space="preserve">MASA - Macedonian Academy of Sciences and Arts </w:t>
      </w:r>
    </w:p>
    <w:p w14:paraId="39F1D7B9" w14:textId="77777777" w:rsidR="000E4CD7" w:rsidRPr="002D2D57" w:rsidRDefault="000E4CD7" w:rsidP="000E4CD7">
      <w:pPr>
        <w:spacing w:after="0" w:line="240" w:lineRule="auto"/>
        <w:jc w:val="both"/>
        <w:rPr>
          <w:rFonts w:ascii="StobiSerif Regular" w:hAnsi="StobiSerif Regular"/>
          <w:sz w:val="20"/>
          <w:szCs w:val="20"/>
          <w:lang w:val="de-DE"/>
        </w:rPr>
      </w:pPr>
      <w:r w:rsidRPr="002D2D57">
        <w:rPr>
          <w:rFonts w:ascii="StobiSerif Regular" w:hAnsi="StobiSerif Regular"/>
          <w:sz w:val="20"/>
          <w:szCs w:val="20"/>
          <w:lang w:val="de-DE"/>
        </w:rPr>
        <w:t xml:space="preserve">MVDSI – Max van der Stoel Institute </w:t>
      </w:r>
    </w:p>
    <w:p w14:paraId="0DED94B9" w14:textId="77777777" w:rsidR="000E4CD7" w:rsidRPr="00BB28A0" w:rsidRDefault="000E4CD7" w:rsidP="000E4CD7">
      <w:pPr>
        <w:spacing w:after="0" w:line="240" w:lineRule="auto"/>
        <w:jc w:val="both"/>
        <w:rPr>
          <w:rFonts w:ascii="StobiSerif Regular" w:hAnsi="StobiSerif Regular"/>
          <w:sz w:val="20"/>
          <w:szCs w:val="20"/>
          <w:lang w:val="en-GB"/>
        </w:rPr>
      </w:pPr>
      <w:r w:rsidRPr="00BB28A0">
        <w:rPr>
          <w:rFonts w:ascii="StobiSerif Regular" w:hAnsi="StobiSerif Regular"/>
          <w:sz w:val="20"/>
          <w:szCs w:val="20"/>
          <w:lang w:val="en-GB"/>
        </w:rPr>
        <w:t>NOSCI – National Open Science Cloud Initiative</w:t>
      </w:r>
    </w:p>
    <w:p w14:paraId="6E6F3FBE" w14:textId="77777777" w:rsidR="000E4CD7" w:rsidRPr="00BB28A0" w:rsidRDefault="000E4CD7" w:rsidP="000E4CD7">
      <w:pPr>
        <w:spacing w:after="0" w:line="240" w:lineRule="auto"/>
        <w:jc w:val="both"/>
        <w:rPr>
          <w:rFonts w:ascii="StobiSerif Regular" w:hAnsi="StobiSerif Regular"/>
          <w:sz w:val="20"/>
          <w:szCs w:val="20"/>
          <w:lang w:val="en-GB"/>
        </w:rPr>
      </w:pPr>
      <w:r w:rsidRPr="00BB28A0">
        <w:rPr>
          <w:rFonts w:ascii="StobiSerif Regular" w:hAnsi="StobiSerif Regular"/>
          <w:sz w:val="20"/>
          <w:szCs w:val="20"/>
          <w:lang w:val="en-GB"/>
        </w:rPr>
        <w:t>NRENs – National Research and Education Networks</w:t>
      </w:r>
    </w:p>
    <w:p w14:paraId="51B30ECC" w14:textId="77777777" w:rsidR="000E4CD7" w:rsidRPr="00BB28A0" w:rsidRDefault="000E4CD7" w:rsidP="000E4CD7">
      <w:pPr>
        <w:spacing w:after="0" w:line="240" w:lineRule="auto"/>
        <w:jc w:val="both"/>
        <w:rPr>
          <w:rFonts w:ascii="StobiSerif Regular" w:hAnsi="StobiSerif Regular"/>
          <w:sz w:val="20"/>
          <w:szCs w:val="20"/>
          <w:lang w:val="en-GB"/>
        </w:rPr>
      </w:pPr>
      <w:r w:rsidRPr="00BB28A0">
        <w:rPr>
          <w:rFonts w:ascii="StobiSerif Regular" w:hAnsi="StobiSerif Regular"/>
          <w:sz w:val="20"/>
          <w:szCs w:val="20"/>
          <w:lang w:val="en-GB"/>
        </w:rPr>
        <w:t>R&amp;D – Research and Development</w:t>
      </w:r>
    </w:p>
    <w:p w14:paraId="7A1782A8" w14:textId="77777777" w:rsidR="009545BA" w:rsidRPr="00BB28A0" w:rsidRDefault="009545BA" w:rsidP="009545BA">
      <w:pPr>
        <w:spacing w:after="0" w:line="240" w:lineRule="auto"/>
        <w:jc w:val="both"/>
        <w:rPr>
          <w:rFonts w:ascii="StobiSerif Regular" w:hAnsi="StobiSerif Regular"/>
          <w:sz w:val="20"/>
          <w:szCs w:val="20"/>
          <w:lang w:val="en-GB"/>
        </w:rPr>
      </w:pPr>
      <w:r w:rsidRPr="00BB28A0">
        <w:rPr>
          <w:rFonts w:ascii="StobiSerif Regular" w:hAnsi="StobiSerif Regular"/>
          <w:sz w:val="20"/>
          <w:szCs w:val="20"/>
          <w:lang w:val="en-GB"/>
        </w:rPr>
        <w:t xml:space="preserve">RCC– Regional Cooperation Council </w:t>
      </w:r>
    </w:p>
    <w:p w14:paraId="72FC691B" w14:textId="77777777" w:rsidR="009545BA" w:rsidRPr="00BB28A0" w:rsidRDefault="009545BA" w:rsidP="009545BA">
      <w:pPr>
        <w:spacing w:after="0" w:line="240" w:lineRule="auto"/>
        <w:jc w:val="both"/>
        <w:rPr>
          <w:rFonts w:ascii="StobiSerif Regular" w:hAnsi="StobiSerif Regular"/>
          <w:sz w:val="20"/>
          <w:szCs w:val="20"/>
          <w:lang w:val="en-GB"/>
        </w:rPr>
      </w:pPr>
      <w:r w:rsidRPr="00BB28A0">
        <w:rPr>
          <w:rFonts w:ascii="StobiSerif Regular" w:hAnsi="StobiSerif Regular"/>
          <w:sz w:val="20"/>
          <w:szCs w:val="20"/>
          <w:lang w:val="en-GB"/>
        </w:rPr>
        <w:t>RI – Research Infrastructure</w:t>
      </w:r>
    </w:p>
    <w:p w14:paraId="5859173C" w14:textId="77777777" w:rsidR="009545BA" w:rsidRPr="00BB28A0" w:rsidRDefault="009545BA" w:rsidP="009545BA">
      <w:pPr>
        <w:spacing w:after="0" w:line="240" w:lineRule="auto"/>
        <w:jc w:val="both"/>
        <w:rPr>
          <w:rFonts w:ascii="StobiSerif Regular" w:hAnsi="StobiSerif Regular"/>
          <w:sz w:val="20"/>
          <w:szCs w:val="20"/>
          <w:lang w:val="en-GB"/>
        </w:rPr>
      </w:pPr>
      <w:r w:rsidRPr="00BB28A0">
        <w:rPr>
          <w:rFonts w:ascii="StobiSerif Regular" w:hAnsi="StobiSerif Regular"/>
          <w:sz w:val="20"/>
          <w:szCs w:val="20"/>
          <w:lang w:val="en-GB"/>
        </w:rPr>
        <w:t>R&amp;I – Research and Innovation</w:t>
      </w:r>
    </w:p>
    <w:p w14:paraId="6CDD3E53" w14:textId="77777777" w:rsidR="009545BA" w:rsidRPr="00BB28A0" w:rsidRDefault="009545BA" w:rsidP="009545BA">
      <w:pPr>
        <w:spacing w:after="0" w:line="240" w:lineRule="auto"/>
        <w:jc w:val="both"/>
        <w:rPr>
          <w:rFonts w:ascii="StobiSerif Regular" w:hAnsi="StobiSerif Regular"/>
          <w:sz w:val="20"/>
          <w:szCs w:val="20"/>
          <w:lang w:val="en-GB"/>
        </w:rPr>
      </w:pPr>
      <w:r w:rsidRPr="00BB28A0">
        <w:rPr>
          <w:rFonts w:ascii="StobiSerif Regular" w:hAnsi="StobiSerif Regular"/>
          <w:sz w:val="20"/>
          <w:szCs w:val="20"/>
          <w:lang w:val="en-GB"/>
        </w:rPr>
        <w:t>S3 – Smart Specialisation Strategy</w:t>
      </w:r>
    </w:p>
    <w:p w14:paraId="7EACD4B5" w14:textId="77777777" w:rsidR="009545BA" w:rsidRPr="00BB28A0" w:rsidRDefault="009545BA" w:rsidP="009545BA">
      <w:pPr>
        <w:spacing w:after="0" w:line="240" w:lineRule="auto"/>
        <w:jc w:val="both"/>
        <w:rPr>
          <w:rFonts w:ascii="StobiSerif Regular" w:hAnsi="StobiSerif Regular"/>
          <w:sz w:val="20"/>
          <w:szCs w:val="20"/>
          <w:lang w:val="en-GB"/>
        </w:rPr>
      </w:pPr>
      <w:r w:rsidRPr="00BB28A0">
        <w:rPr>
          <w:rFonts w:ascii="StobiSerif Regular" w:hAnsi="StobiSerif Regular"/>
          <w:sz w:val="20"/>
          <w:szCs w:val="20"/>
          <w:lang w:val="en-GB"/>
        </w:rPr>
        <w:t>SEE – South East Europe</w:t>
      </w:r>
    </w:p>
    <w:p w14:paraId="47692CF3" w14:textId="77777777" w:rsidR="009545BA" w:rsidRPr="00BB28A0" w:rsidRDefault="009545BA" w:rsidP="009545BA">
      <w:pPr>
        <w:spacing w:after="0" w:line="240" w:lineRule="auto"/>
        <w:jc w:val="both"/>
        <w:rPr>
          <w:rFonts w:ascii="StobiSerif Regular" w:hAnsi="StobiSerif Regular"/>
          <w:sz w:val="20"/>
          <w:szCs w:val="20"/>
          <w:lang w:val="en-GB"/>
        </w:rPr>
      </w:pPr>
      <w:r w:rsidRPr="00BB28A0">
        <w:rPr>
          <w:rFonts w:ascii="StobiSerif Regular" w:hAnsi="StobiSerif Regular"/>
          <w:sz w:val="20"/>
          <w:szCs w:val="20"/>
          <w:lang w:val="en-GB"/>
        </w:rPr>
        <w:t>SEEM – Southeast Europe and the Eastern Mediterranean</w:t>
      </w:r>
    </w:p>
    <w:p w14:paraId="7E28C19F" w14:textId="21ABBC59" w:rsidR="000E4CD7" w:rsidRPr="00BB28A0" w:rsidRDefault="009545BA" w:rsidP="009545BA">
      <w:pPr>
        <w:spacing w:after="0" w:line="240" w:lineRule="auto"/>
        <w:jc w:val="both"/>
        <w:rPr>
          <w:rFonts w:ascii="StobiSerif Regular" w:hAnsi="StobiSerif Regular"/>
          <w:sz w:val="20"/>
          <w:szCs w:val="20"/>
          <w:lang w:val="en-GB"/>
        </w:rPr>
      </w:pPr>
      <w:r w:rsidRPr="00BB28A0">
        <w:rPr>
          <w:rFonts w:ascii="StobiSerif Regular" w:hAnsi="StobiSerif Regular"/>
          <w:sz w:val="20"/>
          <w:szCs w:val="20"/>
          <w:lang w:val="en-GB"/>
        </w:rPr>
        <w:t>VRE – Virtual Research Environment</w:t>
      </w:r>
    </w:p>
    <w:p w14:paraId="4EF7034E" w14:textId="0C21A5A3" w:rsidR="0002525A" w:rsidRPr="00BB28A0" w:rsidRDefault="009545BA" w:rsidP="00DB5DE4">
      <w:pPr>
        <w:spacing w:after="0" w:line="240" w:lineRule="auto"/>
        <w:jc w:val="both"/>
        <w:rPr>
          <w:rFonts w:ascii="StobiSerif Regular" w:hAnsi="StobiSerif Regular"/>
          <w:sz w:val="20"/>
          <w:szCs w:val="20"/>
          <w:lang w:val="en-GB"/>
        </w:rPr>
      </w:pPr>
      <w:r w:rsidRPr="00BB28A0">
        <w:rPr>
          <w:rFonts w:ascii="StobiSerif Regular" w:hAnsi="StobiSerif Regular"/>
          <w:sz w:val="20"/>
          <w:szCs w:val="20"/>
          <w:lang w:val="en-GB"/>
        </w:rPr>
        <w:t xml:space="preserve">NPAA - National Programme for Adoption of the European Union Acquis </w:t>
      </w:r>
    </w:p>
    <w:p w14:paraId="64D901C0" w14:textId="77777777" w:rsidR="001B4135" w:rsidRPr="00BB28A0" w:rsidRDefault="001B4135" w:rsidP="00DB5DE4">
      <w:pPr>
        <w:spacing w:after="0" w:line="240" w:lineRule="auto"/>
        <w:jc w:val="both"/>
        <w:rPr>
          <w:rFonts w:ascii="StobiSerif Regular" w:hAnsi="StobiSerif Regular"/>
          <w:sz w:val="20"/>
          <w:szCs w:val="20"/>
          <w:lang w:val="en-GB"/>
        </w:rPr>
      </w:pPr>
    </w:p>
    <w:p w14:paraId="13DE6729" w14:textId="64F4F471" w:rsidR="001B4135" w:rsidRPr="00BB28A0" w:rsidRDefault="00152ADA" w:rsidP="00842491">
      <w:pPr>
        <w:jc w:val="both"/>
        <w:rPr>
          <w:rFonts w:ascii="StobiSerif Regular" w:hAnsi="StobiSerif Regular"/>
          <w:color w:val="374C80" w:themeColor="accent1" w:themeShade="BF"/>
          <w:sz w:val="24"/>
          <w:szCs w:val="24"/>
          <w:lang w:val="en-GB"/>
        </w:rPr>
      </w:pPr>
      <w:r w:rsidRPr="00BB28A0">
        <w:rPr>
          <w:rFonts w:ascii="StobiSerif Regular" w:hAnsi="StobiSerif Regular"/>
          <w:color w:val="374C80" w:themeColor="accent1" w:themeShade="BF"/>
          <w:sz w:val="24"/>
          <w:szCs w:val="24"/>
          <w:lang w:val="en-GB"/>
        </w:rPr>
        <w:br w:type="column"/>
      </w:r>
      <w:r w:rsidR="001B7346" w:rsidRPr="00BB28A0">
        <w:rPr>
          <w:rFonts w:ascii="StobiSerif Regular" w:hAnsi="StobiSerif Regular"/>
          <w:color w:val="374C80" w:themeColor="accent1" w:themeShade="BF"/>
          <w:sz w:val="24"/>
          <w:szCs w:val="24"/>
          <w:lang w:val="en-GB"/>
        </w:rPr>
        <w:lastRenderedPageBreak/>
        <w:t>FOREWORD</w:t>
      </w:r>
    </w:p>
    <w:p w14:paraId="60D8E9AA" w14:textId="77777777" w:rsidR="001B7346" w:rsidRPr="00BB28A0" w:rsidRDefault="001B7346" w:rsidP="00B80E0C">
      <w:pPr>
        <w:jc w:val="both"/>
        <w:rPr>
          <w:rFonts w:ascii="StobiSerif Regular" w:hAnsi="StobiSerif Regular"/>
          <w:sz w:val="24"/>
          <w:szCs w:val="24"/>
          <w:lang w:val="en-GB"/>
        </w:rPr>
      </w:pPr>
      <w:r w:rsidRPr="00BB28A0">
        <w:rPr>
          <w:rFonts w:ascii="StobiSerif Regular" w:hAnsi="StobiSerif Regular"/>
          <w:sz w:val="24"/>
          <w:szCs w:val="24"/>
          <w:lang w:val="en-GB"/>
        </w:rPr>
        <w:t>The Republic of North Macedonia recognizes the importance of investing in the modernization of its research infrastructure to enhance its competitiveness within the global scientific community. This initiative entails a sustained increase in funding for research equipment, the support of ongoing activities, and the recruitment of specialized personnel.</w:t>
      </w:r>
    </w:p>
    <w:p w14:paraId="6C532903" w14:textId="5834F084" w:rsidR="00131CB8" w:rsidRPr="00BB28A0" w:rsidRDefault="001B7346" w:rsidP="00897530">
      <w:pPr>
        <w:jc w:val="both"/>
        <w:rPr>
          <w:rFonts w:ascii="StobiSerif Regular" w:hAnsi="StobiSerif Regular"/>
          <w:sz w:val="24"/>
          <w:szCs w:val="24"/>
          <w:lang w:val="en-GB"/>
        </w:rPr>
      </w:pPr>
      <w:r w:rsidRPr="00BB28A0">
        <w:rPr>
          <w:rFonts w:ascii="StobiSerif Regular" w:hAnsi="StobiSerif Regular"/>
          <w:sz w:val="24"/>
          <w:szCs w:val="24"/>
          <w:lang w:val="en-GB"/>
        </w:rPr>
        <w:t xml:space="preserve">In 2024, the Ministry of Education and Science initiated a comprehensive mapping of the entire research infrastructure available throughout the Republic of North Macedonia. The national research infrastructure reflects the North Macedonia’s potential to contribute to the European Research Area. The insights gained from this revision will provide invaluable data for the Ministry of Education and Science, offering a detailed overview of the current state of laboratories. This will enable informed predictions regarding future investments of public funds and </w:t>
      </w:r>
      <w:r w:rsidR="00342580" w:rsidRPr="00BB28A0">
        <w:rPr>
          <w:rFonts w:ascii="StobiSerif Regular" w:hAnsi="StobiSerif Regular"/>
          <w:sz w:val="24"/>
          <w:szCs w:val="24"/>
          <w:lang w:val="en-GB"/>
        </w:rPr>
        <w:t xml:space="preserve">provide </w:t>
      </w:r>
      <w:r w:rsidRPr="00BB28A0">
        <w:rPr>
          <w:rFonts w:ascii="StobiSerif Regular" w:hAnsi="StobiSerif Regular"/>
          <w:sz w:val="24"/>
          <w:szCs w:val="24"/>
          <w:lang w:val="en-GB"/>
        </w:rPr>
        <w:t xml:space="preserve">strategic directions for integrating into international research infrastructures. </w:t>
      </w:r>
      <w:r w:rsidR="00131CB8" w:rsidRPr="00BB28A0">
        <w:rPr>
          <w:rFonts w:ascii="StobiSerif Regular" w:hAnsi="StobiSerif Regular"/>
          <w:sz w:val="24"/>
          <w:szCs w:val="24"/>
          <w:lang w:val="en-GB"/>
        </w:rPr>
        <w:t>The assessment of the current state and the overall current research infrastructure available in the country will serve as the basis for the development of a new Research Infrastructure Roadmap</w:t>
      </w:r>
      <w:r w:rsidR="004616B0" w:rsidRPr="00BB28A0">
        <w:rPr>
          <w:rFonts w:ascii="StobiSerif Regular" w:hAnsi="StobiSerif Regular"/>
          <w:sz w:val="24"/>
          <w:szCs w:val="24"/>
          <w:lang w:val="en-GB"/>
        </w:rPr>
        <w:t xml:space="preserve"> that </w:t>
      </w:r>
      <w:r w:rsidR="00131CB8" w:rsidRPr="00BB28A0">
        <w:rPr>
          <w:rFonts w:ascii="StobiSerif Regular" w:hAnsi="StobiSerif Regular"/>
          <w:sz w:val="24"/>
          <w:szCs w:val="24"/>
          <w:lang w:val="en-GB"/>
        </w:rPr>
        <w:t>will align with the objectives and priorities outlined in the Smart Specialization Strategy and will include an action plan detailing specific activities, implementation period, timelines, responsible institutions and funding requirements for infrastructure development.</w:t>
      </w:r>
    </w:p>
    <w:p w14:paraId="19069232" w14:textId="77777777" w:rsidR="00131CB8" w:rsidRPr="00BB28A0" w:rsidRDefault="00131CB8" w:rsidP="00897530">
      <w:pPr>
        <w:jc w:val="both"/>
        <w:rPr>
          <w:rFonts w:ascii="StobiSerif Regular" w:hAnsi="StobiSerif Regular"/>
          <w:sz w:val="24"/>
          <w:szCs w:val="24"/>
          <w:lang w:val="en-GB"/>
        </w:rPr>
      </w:pPr>
      <w:r w:rsidRPr="00BB28A0">
        <w:rPr>
          <w:rFonts w:ascii="StobiSerif Regular" w:hAnsi="StobiSerif Regular"/>
          <w:sz w:val="24"/>
          <w:szCs w:val="24"/>
          <w:lang w:val="en-GB"/>
        </w:rPr>
        <w:t>These measures are intended to strengthen international partnerships and support Macedonian researchers in the global scientific and research community, thereby facilitating research cooperation, knowledge sharing, and access to advanced facilities.</w:t>
      </w:r>
    </w:p>
    <w:p w14:paraId="7DF6E518" w14:textId="54983C7D" w:rsidR="008F45EC" w:rsidRPr="00BB28A0" w:rsidRDefault="004616B0" w:rsidP="00897530">
      <w:pPr>
        <w:jc w:val="both"/>
        <w:rPr>
          <w:rFonts w:ascii="StobiSerif Regular" w:hAnsi="StobiSerif Regular"/>
          <w:sz w:val="24"/>
          <w:szCs w:val="24"/>
          <w:lang w:val="en-GB"/>
        </w:rPr>
      </w:pPr>
      <w:r w:rsidRPr="00BB28A0">
        <w:rPr>
          <w:rFonts w:ascii="StobiSerif Regular" w:hAnsi="StobiSerif Regular"/>
          <w:sz w:val="24"/>
          <w:szCs w:val="24"/>
          <w:lang w:val="en-GB"/>
        </w:rPr>
        <w:t>The revision of our current R</w:t>
      </w:r>
      <w:r w:rsidR="00131CB8" w:rsidRPr="00BB28A0">
        <w:rPr>
          <w:rFonts w:ascii="StobiSerif Regular" w:hAnsi="StobiSerif Regular"/>
          <w:sz w:val="24"/>
          <w:szCs w:val="24"/>
          <w:lang w:val="en-GB"/>
        </w:rPr>
        <w:t xml:space="preserve">oadmap presents an opportunity to align our scientific development with European and global trends, </w:t>
      </w:r>
      <w:r w:rsidR="003E33CD" w:rsidRPr="00BB28A0">
        <w:rPr>
          <w:rFonts w:ascii="StobiSerif Regular" w:hAnsi="StobiSerif Regular"/>
          <w:sz w:val="24"/>
          <w:szCs w:val="24"/>
          <w:lang w:val="en-GB"/>
        </w:rPr>
        <w:t>ensuring a proactive approach to emerging challenges</w:t>
      </w:r>
      <w:r w:rsidR="00131CB8" w:rsidRPr="00BB28A0">
        <w:rPr>
          <w:rFonts w:ascii="StobiSerif Regular" w:hAnsi="StobiSerif Regular"/>
          <w:sz w:val="24"/>
          <w:szCs w:val="24"/>
          <w:lang w:val="en-GB"/>
        </w:rPr>
        <w:t xml:space="preserve">. </w:t>
      </w:r>
      <w:r w:rsidR="003E33CD" w:rsidRPr="00BB28A0">
        <w:rPr>
          <w:rFonts w:ascii="StobiSerif Regular" w:hAnsi="StobiSerif Regular"/>
          <w:sz w:val="24"/>
          <w:szCs w:val="24"/>
          <w:lang w:val="en-GB"/>
        </w:rPr>
        <w:t>This effort will lay a</w:t>
      </w:r>
      <w:r w:rsidRPr="00BB28A0">
        <w:rPr>
          <w:rFonts w:ascii="StobiSerif Regular" w:hAnsi="StobiSerif Regular"/>
          <w:sz w:val="24"/>
          <w:szCs w:val="24"/>
          <w:lang w:val="en-GB"/>
        </w:rPr>
        <w:t xml:space="preserve"> strong foundation for the new R</w:t>
      </w:r>
      <w:r w:rsidR="003E33CD" w:rsidRPr="00BB28A0">
        <w:rPr>
          <w:rFonts w:ascii="StobiSerif Regular" w:hAnsi="StobiSerif Regular"/>
          <w:sz w:val="24"/>
          <w:szCs w:val="24"/>
          <w:lang w:val="en-GB"/>
        </w:rPr>
        <w:t xml:space="preserve">oadmap </w:t>
      </w:r>
      <w:r w:rsidR="00131CB8" w:rsidRPr="00BB28A0">
        <w:rPr>
          <w:rFonts w:ascii="StobiSerif Regular" w:hAnsi="StobiSerif Regular"/>
          <w:sz w:val="24"/>
          <w:szCs w:val="24"/>
          <w:lang w:val="en-GB"/>
        </w:rPr>
        <w:t>that will guide our efforts from 2025 to 2029.</w:t>
      </w:r>
    </w:p>
    <w:p w14:paraId="2B947390" w14:textId="77777777" w:rsidR="003E33CD" w:rsidRPr="00BB28A0" w:rsidRDefault="003E33CD" w:rsidP="00897530">
      <w:pPr>
        <w:jc w:val="both"/>
        <w:rPr>
          <w:rFonts w:ascii="StobiSerif Regular" w:hAnsi="StobiSerif Regular"/>
          <w:sz w:val="24"/>
          <w:szCs w:val="24"/>
          <w:lang w:val="en-GB"/>
        </w:rPr>
      </w:pPr>
    </w:p>
    <w:p w14:paraId="0E33B323" w14:textId="77777777" w:rsidR="00804343" w:rsidRPr="00BB28A0" w:rsidRDefault="00804343" w:rsidP="00804343">
      <w:pPr>
        <w:jc w:val="both"/>
        <w:rPr>
          <w:rFonts w:ascii="StobiSerif Regular" w:hAnsi="StobiSerif Regular"/>
          <w:lang w:val="en-GB"/>
        </w:rPr>
      </w:pPr>
      <w:r w:rsidRPr="00BB28A0">
        <w:rPr>
          <w:rFonts w:ascii="StobiSerif Regular" w:hAnsi="StobiSerif Regular"/>
          <w:lang w:val="en-GB"/>
        </w:rPr>
        <w:t>Minister of Education and Science</w:t>
      </w:r>
    </w:p>
    <w:p w14:paraId="70361132" w14:textId="77777777" w:rsidR="00804343" w:rsidRPr="00BB28A0" w:rsidRDefault="00804343" w:rsidP="00804343">
      <w:pPr>
        <w:jc w:val="both"/>
        <w:rPr>
          <w:rFonts w:ascii="StobiSerif Regular" w:hAnsi="StobiSerif Regular"/>
          <w:lang w:val="en-GB"/>
        </w:rPr>
      </w:pPr>
      <w:proofErr w:type="spellStart"/>
      <w:r w:rsidRPr="00BB28A0">
        <w:rPr>
          <w:rFonts w:ascii="StobiSerif Regular" w:hAnsi="StobiSerif Regular"/>
          <w:lang w:val="en-GB"/>
        </w:rPr>
        <w:t>Prof.</w:t>
      </w:r>
      <w:proofErr w:type="spellEnd"/>
      <w:r w:rsidRPr="00BB28A0">
        <w:rPr>
          <w:rFonts w:ascii="StobiSerif Regular" w:hAnsi="StobiSerif Regular"/>
          <w:lang w:val="en-GB"/>
        </w:rPr>
        <w:t xml:space="preserve"> </w:t>
      </w:r>
      <w:proofErr w:type="spellStart"/>
      <w:r w:rsidRPr="00BB28A0">
        <w:rPr>
          <w:rFonts w:ascii="StobiSerif Regular" w:hAnsi="StobiSerif Regular"/>
          <w:lang w:val="en-GB"/>
        </w:rPr>
        <w:t>Dr.</w:t>
      </w:r>
      <w:proofErr w:type="spellEnd"/>
      <w:r w:rsidRPr="00BB28A0">
        <w:rPr>
          <w:rFonts w:ascii="StobiSerif Regular" w:hAnsi="StobiSerif Regular"/>
          <w:lang w:val="en-GB"/>
        </w:rPr>
        <w:t xml:space="preserve"> </w:t>
      </w:r>
      <w:proofErr w:type="spellStart"/>
      <w:r w:rsidRPr="00BB28A0">
        <w:rPr>
          <w:rFonts w:ascii="StobiSerif Regular" w:hAnsi="StobiSerif Regular"/>
          <w:lang w:val="en-GB"/>
        </w:rPr>
        <w:t>Vesna</w:t>
      </w:r>
      <w:proofErr w:type="spellEnd"/>
      <w:r w:rsidRPr="00BB28A0">
        <w:rPr>
          <w:rFonts w:ascii="StobiSerif Regular" w:hAnsi="StobiSerif Regular"/>
          <w:lang w:val="en-GB"/>
        </w:rPr>
        <w:t xml:space="preserve"> </w:t>
      </w:r>
      <w:proofErr w:type="spellStart"/>
      <w:r w:rsidRPr="00BB28A0">
        <w:rPr>
          <w:rFonts w:ascii="StobiSerif Regular" w:hAnsi="StobiSerif Regular"/>
          <w:lang w:val="en-GB"/>
        </w:rPr>
        <w:t>Janevska</w:t>
      </w:r>
      <w:proofErr w:type="spellEnd"/>
    </w:p>
    <w:p w14:paraId="2AE9DE30" w14:textId="16509416" w:rsidR="00ED2FC8" w:rsidRPr="00BB28A0" w:rsidRDefault="009C6FD8" w:rsidP="00532BF8">
      <w:pPr>
        <w:pStyle w:val="Heading1"/>
        <w:jc w:val="center"/>
        <w:rPr>
          <w:lang w:val="en-GB"/>
        </w:rPr>
      </w:pPr>
      <w:r w:rsidRPr="00BB28A0">
        <w:rPr>
          <w:lang w:val="en-GB"/>
        </w:rPr>
        <w:br w:type="column"/>
      </w:r>
      <w:r w:rsidR="000D661A" w:rsidRPr="00BB28A0">
        <w:rPr>
          <w:lang w:val="en-GB"/>
        </w:rPr>
        <w:lastRenderedPageBreak/>
        <w:t>Contents</w:t>
      </w:r>
    </w:p>
    <w:p w14:paraId="6533BD3C" w14:textId="05D71FE7" w:rsidR="00ED2FC8" w:rsidRPr="00BB28A0" w:rsidRDefault="00ED2FC8" w:rsidP="00931AED">
      <w:pPr>
        <w:spacing w:after="0" w:line="240" w:lineRule="auto"/>
        <w:jc w:val="both"/>
        <w:rPr>
          <w:rFonts w:ascii="StobiSerif Regular" w:hAnsi="StobiSerif Regular"/>
          <w:sz w:val="24"/>
          <w:szCs w:val="24"/>
          <w:lang w:val="en-GB"/>
        </w:rPr>
      </w:pPr>
      <w:r w:rsidRPr="00BB28A0">
        <w:rPr>
          <w:rFonts w:ascii="StobiSerif Regular" w:hAnsi="StobiSerif Regular"/>
          <w:sz w:val="24"/>
          <w:szCs w:val="24"/>
          <w:lang w:val="en-GB"/>
        </w:rPr>
        <w:t>1.</w:t>
      </w:r>
      <w:r w:rsidRPr="00BB28A0">
        <w:rPr>
          <w:rFonts w:ascii="StobiSerif Regular" w:hAnsi="StobiSerif Regular"/>
          <w:sz w:val="24"/>
          <w:szCs w:val="24"/>
          <w:lang w:val="en-GB"/>
        </w:rPr>
        <w:tab/>
      </w:r>
      <w:r w:rsidR="000D661A" w:rsidRPr="00BB28A0">
        <w:rPr>
          <w:rFonts w:ascii="StobiSerif Regular" w:hAnsi="StobiSerif Regular"/>
          <w:sz w:val="24"/>
          <w:szCs w:val="24"/>
          <w:lang w:val="en-GB"/>
        </w:rPr>
        <w:t>Introduction</w:t>
      </w:r>
      <w:r w:rsidR="00531BEB" w:rsidRPr="00BB28A0">
        <w:rPr>
          <w:rFonts w:ascii="StobiSerif Regular" w:hAnsi="StobiSerif Regular"/>
          <w:sz w:val="24"/>
          <w:szCs w:val="24"/>
          <w:lang w:val="en-GB"/>
        </w:rPr>
        <w:tab/>
      </w:r>
      <w:r w:rsidR="00531BEB" w:rsidRPr="00BB28A0">
        <w:rPr>
          <w:rFonts w:ascii="StobiSerif Regular" w:hAnsi="StobiSerif Regular"/>
          <w:sz w:val="24"/>
          <w:szCs w:val="24"/>
          <w:lang w:val="en-GB"/>
        </w:rPr>
        <w:tab/>
      </w:r>
      <w:r w:rsidR="00531BEB" w:rsidRPr="00BB28A0">
        <w:rPr>
          <w:rFonts w:ascii="StobiSerif Regular" w:hAnsi="StobiSerif Regular"/>
          <w:sz w:val="24"/>
          <w:szCs w:val="24"/>
          <w:lang w:val="en-GB"/>
        </w:rPr>
        <w:tab/>
      </w:r>
      <w:r w:rsidR="00531BEB" w:rsidRPr="00BB28A0">
        <w:rPr>
          <w:rFonts w:ascii="StobiSerif Regular" w:hAnsi="StobiSerif Regular"/>
          <w:sz w:val="24"/>
          <w:szCs w:val="24"/>
          <w:lang w:val="en-GB"/>
        </w:rPr>
        <w:tab/>
      </w:r>
      <w:r w:rsidR="00531BEB" w:rsidRPr="00BB28A0">
        <w:rPr>
          <w:rFonts w:ascii="StobiSerif Regular" w:hAnsi="StobiSerif Regular"/>
          <w:sz w:val="24"/>
          <w:szCs w:val="24"/>
          <w:lang w:val="en-GB"/>
        </w:rPr>
        <w:tab/>
      </w:r>
      <w:r w:rsidR="00531BEB" w:rsidRPr="00BB28A0">
        <w:rPr>
          <w:rFonts w:ascii="StobiSerif Regular" w:hAnsi="StobiSerif Regular"/>
          <w:sz w:val="24"/>
          <w:szCs w:val="24"/>
          <w:lang w:val="en-GB"/>
        </w:rPr>
        <w:tab/>
      </w:r>
      <w:r w:rsidR="00531BEB" w:rsidRPr="00BB28A0">
        <w:rPr>
          <w:rFonts w:ascii="StobiSerif Regular" w:hAnsi="StobiSerif Regular"/>
          <w:sz w:val="24"/>
          <w:szCs w:val="24"/>
          <w:lang w:val="en-GB"/>
        </w:rPr>
        <w:tab/>
      </w:r>
      <w:r w:rsidR="00531BEB" w:rsidRPr="00BB28A0">
        <w:rPr>
          <w:rFonts w:ascii="StobiSerif Regular" w:hAnsi="StobiSerif Regular"/>
          <w:sz w:val="24"/>
          <w:szCs w:val="24"/>
          <w:lang w:val="en-GB"/>
        </w:rPr>
        <w:tab/>
      </w:r>
      <w:r w:rsidR="00531BEB" w:rsidRPr="00BB28A0">
        <w:rPr>
          <w:rFonts w:ascii="StobiSerif Regular" w:hAnsi="StobiSerif Regular"/>
          <w:sz w:val="24"/>
          <w:szCs w:val="24"/>
          <w:lang w:val="en-GB"/>
        </w:rPr>
        <w:tab/>
      </w:r>
      <w:r w:rsidR="009243DF" w:rsidRPr="00BB28A0">
        <w:rPr>
          <w:rFonts w:ascii="StobiSerif Regular" w:hAnsi="StobiSerif Regular"/>
          <w:sz w:val="24"/>
          <w:szCs w:val="24"/>
          <w:lang w:val="en-GB"/>
        </w:rPr>
        <w:t>4</w:t>
      </w:r>
    </w:p>
    <w:p w14:paraId="0CEF8942" w14:textId="2A72EA52" w:rsidR="00ED2FC8" w:rsidRPr="00BB28A0" w:rsidRDefault="00ED2FC8" w:rsidP="00931AED">
      <w:pPr>
        <w:spacing w:after="0" w:line="240" w:lineRule="auto"/>
        <w:jc w:val="both"/>
        <w:rPr>
          <w:rFonts w:ascii="StobiSerif Regular" w:hAnsi="StobiSerif Regular"/>
          <w:sz w:val="24"/>
          <w:szCs w:val="24"/>
          <w:lang w:val="en-GB"/>
        </w:rPr>
      </w:pPr>
      <w:r w:rsidRPr="00BB28A0">
        <w:rPr>
          <w:rFonts w:ascii="StobiSerif Regular" w:hAnsi="StobiSerif Regular"/>
          <w:sz w:val="24"/>
          <w:szCs w:val="24"/>
          <w:lang w:val="en-GB"/>
        </w:rPr>
        <w:t>2.</w:t>
      </w:r>
      <w:r w:rsidRPr="00BB28A0">
        <w:rPr>
          <w:rFonts w:ascii="StobiSerif Regular" w:hAnsi="StobiSerif Regular"/>
          <w:sz w:val="24"/>
          <w:szCs w:val="24"/>
          <w:lang w:val="en-GB"/>
        </w:rPr>
        <w:tab/>
      </w:r>
      <w:r w:rsidR="000D661A" w:rsidRPr="00BB28A0">
        <w:rPr>
          <w:rFonts w:ascii="StobiSerif Regular" w:hAnsi="StobiSerif Regular"/>
          <w:sz w:val="24"/>
          <w:szCs w:val="24"/>
          <w:lang w:val="en-GB"/>
        </w:rPr>
        <w:t>Need for revision/update</w:t>
      </w:r>
      <w:r w:rsidR="000D661A" w:rsidRPr="00BB28A0">
        <w:rPr>
          <w:rFonts w:ascii="StobiSerif Regular" w:hAnsi="StobiSerif Regular"/>
          <w:sz w:val="24"/>
          <w:szCs w:val="24"/>
          <w:lang w:val="en-GB"/>
        </w:rPr>
        <w:tab/>
      </w:r>
      <w:r w:rsidR="000D661A" w:rsidRPr="00BB28A0">
        <w:rPr>
          <w:rFonts w:ascii="StobiSerif Regular" w:hAnsi="StobiSerif Regular"/>
          <w:sz w:val="24"/>
          <w:szCs w:val="24"/>
          <w:lang w:val="en-GB"/>
        </w:rPr>
        <w:tab/>
      </w:r>
      <w:r w:rsidR="00531BEB" w:rsidRPr="00BB28A0">
        <w:rPr>
          <w:rFonts w:ascii="StobiSerif Regular" w:hAnsi="StobiSerif Regular"/>
          <w:sz w:val="24"/>
          <w:szCs w:val="24"/>
          <w:lang w:val="en-GB"/>
        </w:rPr>
        <w:tab/>
      </w:r>
      <w:r w:rsidR="00A20C18" w:rsidRPr="00BB28A0">
        <w:rPr>
          <w:rFonts w:ascii="StobiSerif Regular" w:hAnsi="StobiSerif Regular"/>
          <w:sz w:val="24"/>
          <w:szCs w:val="24"/>
          <w:lang w:val="en-GB"/>
        </w:rPr>
        <w:tab/>
      </w:r>
      <w:r w:rsidR="000D661A" w:rsidRPr="00BB28A0">
        <w:rPr>
          <w:rFonts w:ascii="StobiSerif Regular" w:hAnsi="StobiSerif Regular"/>
          <w:sz w:val="24"/>
          <w:szCs w:val="24"/>
          <w:lang w:val="en-GB"/>
        </w:rPr>
        <w:tab/>
      </w:r>
      <w:r w:rsidR="000D661A" w:rsidRPr="00BB28A0">
        <w:rPr>
          <w:rFonts w:ascii="StobiSerif Regular" w:hAnsi="StobiSerif Regular"/>
          <w:sz w:val="24"/>
          <w:szCs w:val="24"/>
          <w:lang w:val="en-GB"/>
        </w:rPr>
        <w:tab/>
      </w:r>
      <w:r w:rsidR="000D661A" w:rsidRPr="00BB28A0">
        <w:rPr>
          <w:rFonts w:ascii="StobiSerif Regular" w:hAnsi="StobiSerif Regular"/>
          <w:sz w:val="24"/>
          <w:szCs w:val="24"/>
          <w:lang w:val="en-GB"/>
        </w:rPr>
        <w:tab/>
      </w:r>
      <w:r w:rsidR="006C71CB" w:rsidRPr="00BB28A0">
        <w:rPr>
          <w:rFonts w:ascii="StobiSerif Regular" w:hAnsi="StobiSerif Regular"/>
          <w:sz w:val="24"/>
          <w:szCs w:val="24"/>
          <w:lang w:val="en-GB"/>
        </w:rPr>
        <w:t>4</w:t>
      </w:r>
    </w:p>
    <w:p w14:paraId="5C715003" w14:textId="3797064C" w:rsidR="00ED2FC8" w:rsidRPr="00BB28A0" w:rsidRDefault="00ED2FC8" w:rsidP="00931AED">
      <w:pPr>
        <w:spacing w:after="0" w:line="240" w:lineRule="auto"/>
        <w:jc w:val="both"/>
        <w:rPr>
          <w:rFonts w:ascii="StobiSerif Regular" w:hAnsi="StobiSerif Regular"/>
          <w:sz w:val="24"/>
          <w:szCs w:val="24"/>
          <w:lang w:val="en-GB"/>
        </w:rPr>
      </w:pPr>
      <w:r w:rsidRPr="00BB28A0">
        <w:rPr>
          <w:rFonts w:ascii="StobiSerif Regular" w:hAnsi="StobiSerif Regular"/>
          <w:sz w:val="24"/>
          <w:szCs w:val="24"/>
          <w:lang w:val="en-GB"/>
        </w:rPr>
        <w:t>3.</w:t>
      </w:r>
      <w:r w:rsidRPr="00BB28A0">
        <w:rPr>
          <w:rFonts w:ascii="StobiSerif Regular" w:hAnsi="StobiSerif Regular"/>
          <w:sz w:val="24"/>
          <w:szCs w:val="24"/>
          <w:lang w:val="en-GB"/>
        </w:rPr>
        <w:tab/>
      </w:r>
      <w:r w:rsidR="006C71CB" w:rsidRPr="00BB28A0">
        <w:rPr>
          <w:rFonts w:ascii="StobiSerif Regular" w:hAnsi="StobiSerif Regular"/>
          <w:sz w:val="24"/>
          <w:szCs w:val="24"/>
          <w:lang w:val="en-GB"/>
        </w:rPr>
        <w:t xml:space="preserve">What are research infrastructures </w:t>
      </w:r>
      <w:r w:rsidR="006C71CB" w:rsidRPr="00BB28A0">
        <w:rPr>
          <w:rFonts w:ascii="StobiSerif Regular" w:hAnsi="StobiSerif Regular"/>
          <w:sz w:val="24"/>
          <w:szCs w:val="24"/>
          <w:lang w:val="en-GB"/>
        </w:rPr>
        <w:tab/>
      </w:r>
      <w:r w:rsidR="006C71CB" w:rsidRPr="00BB28A0">
        <w:rPr>
          <w:rFonts w:ascii="StobiSerif Regular" w:hAnsi="StobiSerif Regular"/>
          <w:sz w:val="24"/>
          <w:szCs w:val="24"/>
          <w:lang w:val="en-GB"/>
        </w:rPr>
        <w:tab/>
      </w:r>
      <w:r w:rsidR="006C71CB" w:rsidRPr="00BB28A0">
        <w:rPr>
          <w:rFonts w:ascii="StobiSerif Regular" w:hAnsi="StobiSerif Regular"/>
          <w:sz w:val="24"/>
          <w:szCs w:val="24"/>
          <w:lang w:val="en-GB"/>
        </w:rPr>
        <w:tab/>
      </w:r>
      <w:r w:rsidR="00531BEB" w:rsidRPr="00BB28A0">
        <w:rPr>
          <w:rFonts w:ascii="StobiSerif Regular" w:hAnsi="StobiSerif Regular"/>
          <w:sz w:val="24"/>
          <w:szCs w:val="24"/>
          <w:lang w:val="en-GB"/>
        </w:rPr>
        <w:tab/>
      </w:r>
      <w:r w:rsidR="00531BEB" w:rsidRPr="00BB28A0">
        <w:rPr>
          <w:rFonts w:ascii="StobiSerif Regular" w:hAnsi="StobiSerif Regular"/>
          <w:sz w:val="24"/>
          <w:szCs w:val="24"/>
          <w:lang w:val="en-GB"/>
        </w:rPr>
        <w:tab/>
      </w:r>
      <w:r w:rsidR="009C6FD8" w:rsidRPr="00BB28A0">
        <w:rPr>
          <w:rFonts w:ascii="StobiSerif Regular" w:hAnsi="StobiSerif Regular"/>
          <w:sz w:val="24"/>
          <w:szCs w:val="24"/>
          <w:lang w:val="en-GB"/>
        </w:rPr>
        <w:tab/>
      </w:r>
      <w:r w:rsidR="006C71CB" w:rsidRPr="00BB28A0">
        <w:rPr>
          <w:rFonts w:ascii="StobiSerif Regular" w:hAnsi="StobiSerif Regular"/>
          <w:sz w:val="24"/>
          <w:szCs w:val="24"/>
          <w:lang w:val="en-GB"/>
        </w:rPr>
        <w:t>5</w:t>
      </w:r>
    </w:p>
    <w:p w14:paraId="1A2AD01A" w14:textId="00677694" w:rsidR="006C71CB" w:rsidRPr="00BB28A0" w:rsidRDefault="00ED2FC8" w:rsidP="006C71CB">
      <w:pPr>
        <w:spacing w:after="0" w:line="240" w:lineRule="auto"/>
        <w:ind w:firstLine="720"/>
        <w:jc w:val="both"/>
        <w:rPr>
          <w:rFonts w:ascii="StobiSerif Regular" w:hAnsi="StobiSerif Regular"/>
          <w:sz w:val="24"/>
          <w:szCs w:val="24"/>
          <w:lang w:val="en-GB"/>
        </w:rPr>
      </w:pPr>
      <w:r w:rsidRPr="00BB28A0">
        <w:rPr>
          <w:rFonts w:ascii="StobiSerif Regular" w:hAnsi="StobiSerif Regular"/>
          <w:sz w:val="24"/>
          <w:szCs w:val="24"/>
          <w:lang w:val="en-GB"/>
        </w:rPr>
        <w:t xml:space="preserve">3.1 </w:t>
      </w:r>
      <w:r w:rsidRPr="00BB28A0">
        <w:rPr>
          <w:rFonts w:ascii="StobiSerif Regular" w:hAnsi="StobiSerif Regular"/>
          <w:sz w:val="24"/>
          <w:szCs w:val="24"/>
          <w:lang w:val="en-GB"/>
        </w:rPr>
        <w:tab/>
      </w:r>
      <w:r w:rsidR="006C71CB" w:rsidRPr="00BB28A0">
        <w:rPr>
          <w:rFonts w:ascii="StobiSerif Regular" w:hAnsi="StobiSerif Regular"/>
          <w:sz w:val="24"/>
          <w:szCs w:val="24"/>
          <w:lang w:val="en-GB"/>
        </w:rPr>
        <w:t>Basis and methodology for the revision of the</w:t>
      </w:r>
      <w:r w:rsidR="006C71CB" w:rsidRPr="00BB28A0">
        <w:rPr>
          <w:rFonts w:ascii="StobiSerif Regular" w:hAnsi="StobiSerif Regular"/>
          <w:sz w:val="24"/>
          <w:szCs w:val="24"/>
          <w:lang w:val="en-GB"/>
        </w:rPr>
        <w:tab/>
        <w:t xml:space="preserve"> </w:t>
      </w:r>
      <w:r w:rsidR="006C71CB" w:rsidRPr="00BB28A0">
        <w:rPr>
          <w:rFonts w:ascii="StobiSerif Regular" w:hAnsi="StobiSerif Regular"/>
          <w:sz w:val="24"/>
          <w:szCs w:val="24"/>
          <w:lang w:val="en-GB"/>
        </w:rPr>
        <w:tab/>
      </w:r>
      <w:r w:rsidR="006C71CB" w:rsidRPr="00BB28A0">
        <w:rPr>
          <w:rFonts w:ascii="StobiSerif Regular" w:hAnsi="StobiSerif Regular"/>
          <w:sz w:val="24"/>
          <w:szCs w:val="24"/>
          <w:lang w:val="en-GB"/>
        </w:rPr>
        <w:tab/>
        <w:t>7</w:t>
      </w:r>
    </w:p>
    <w:p w14:paraId="3F4965F2" w14:textId="0942CDE6" w:rsidR="004B1FE3" w:rsidRPr="00BB28A0" w:rsidRDefault="006C71CB" w:rsidP="006C71CB">
      <w:pPr>
        <w:spacing w:after="0" w:line="240" w:lineRule="auto"/>
        <w:ind w:firstLine="720"/>
        <w:jc w:val="both"/>
        <w:rPr>
          <w:rFonts w:ascii="StobiSerif Regular" w:hAnsi="StobiSerif Regular"/>
          <w:sz w:val="24"/>
          <w:szCs w:val="24"/>
          <w:lang w:val="en-GB"/>
        </w:rPr>
      </w:pPr>
      <w:r w:rsidRPr="00BB28A0">
        <w:rPr>
          <w:rFonts w:ascii="StobiSerif Regular" w:hAnsi="StobiSerif Regular"/>
          <w:sz w:val="24"/>
          <w:szCs w:val="24"/>
          <w:lang w:val="en-GB"/>
        </w:rPr>
        <w:t xml:space="preserve">            Research Infrastructure Roadmap </w:t>
      </w:r>
    </w:p>
    <w:p w14:paraId="21B49F4F" w14:textId="726A627D" w:rsidR="004B1FE3" w:rsidRPr="00BB28A0" w:rsidRDefault="00ED2FC8" w:rsidP="00A20C18">
      <w:pPr>
        <w:spacing w:after="0" w:line="240" w:lineRule="auto"/>
        <w:ind w:left="720"/>
        <w:jc w:val="both"/>
        <w:rPr>
          <w:rFonts w:ascii="StobiSerif Regular" w:hAnsi="StobiSerif Regular"/>
          <w:sz w:val="24"/>
          <w:szCs w:val="24"/>
          <w:lang w:val="en-GB"/>
        </w:rPr>
      </w:pPr>
      <w:r w:rsidRPr="00BB28A0">
        <w:rPr>
          <w:rFonts w:ascii="StobiSerif Regular" w:hAnsi="StobiSerif Regular"/>
          <w:sz w:val="24"/>
          <w:szCs w:val="24"/>
          <w:lang w:val="en-GB"/>
        </w:rPr>
        <w:t xml:space="preserve">3.2 </w:t>
      </w:r>
      <w:r w:rsidRPr="00BB28A0">
        <w:rPr>
          <w:rFonts w:ascii="StobiSerif Regular" w:hAnsi="StobiSerif Regular"/>
          <w:sz w:val="24"/>
          <w:szCs w:val="24"/>
          <w:lang w:val="en-GB"/>
        </w:rPr>
        <w:tab/>
      </w:r>
      <w:r w:rsidR="005A1772" w:rsidRPr="00BB28A0">
        <w:rPr>
          <w:rFonts w:ascii="StobiSerif Regular" w:hAnsi="StobiSerif Regular"/>
          <w:sz w:val="24"/>
          <w:szCs w:val="24"/>
          <w:lang w:val="en-GB"/>
        </w:rPr>
        <w:t>Current legal and policy framework for the development</w:t>
      </w:r>
      <w:r w:rsidR="00042992" w:rsidRPr="00BB28A0">
        <w:rPr>
          <w:rFonts w:ascii="StobiSerif Regular" w:hAnsi="StobiSerif Regular"/>
          <w:sz w:val="24"/>
          <w:szCs w:val="24"/>
          <w:lang w:val="en-GB"/>
        </w:rPr>
        <w:tab/>
      </w:r>
      <w:r w:rsidR="00042992" w:rsidRPr="00BB28A0">
        <w:rPr>
          <w:rFonts w:ascii="StobiSerif Regular" w:hAnsi="StobiSerif Regular"/>
          <w:sz w:val="24"/>
          <w:szCs w:val="24"/>
          <w:lang w:val="en-GB"/>
        </w:rPr>
        <w:tab/>
      </w:r>
      <w:r w:rsidR="005A1772" w:rsidRPr="00BB28A0">
        <w:rPr>
          <w:rFonts w:ascii="StobiSerif Regular" w:hAnsi="StobiSerif Regular"/>
          <w:sz w:val="24"/>
          <w:szCs w:val="24"/>
          <w:lang w:val="en-GB"/>
        </w:rPr>
        <w:t>8</w:t>
      </w:r>
    </w:p>
    <w:p w14:paraId="58FB1E1A" w14:textId="2D7891C1" w:rsidR="00ED2FC8" w:rsidRPr="00BB28A0" w:rsidRDefault="005A1772" w:rsidP="009F7CA6">
      <w:pPr>
        <w:spacing w:after="0" w:line="240" w:lineRule="auto"/>
        <w:ind w:left="720" w:firstLine="720"/>
        <w:jc w:val="both"/>
        <w:rPr>
          <w:rFonts w:ascii="StobiSerif Regular" w:hAnsi="StobiSerif Regular"/>
          <w:sz w:val="24"/>
          <w:szCs w:val="24"/>
          <w:lang w:val="en-GB"/>
        </w:rPr>
      </w:pPr>
      <w:r w:rsidRPr="00BB28A0">
        <w:rPr>
          <w:rFonts w:ascii="StobiSerif Regular" w:hAnsi="StobiSerif Regular"/>
          <w:sz w:val="24"/>
          <w:szCs w:val="24"/>
          <w:lang w:val="en-GB"/>
        </w:rPr>
        <w:t>of research infrastructure</w:t>
      </w:r>
      <w:r w:rsidR="00531BEB" w:rsidRPr="00BB28A0">
        <w:rPr>
          <w:rFonts w:ascii="StobiSerif Regular" w:hAnsi="StobiSerif Regular"/>
          <w:sz w:val="24"/>
          <w:szCs w:val="24"/>
          <w:lang w:val="en-GB"/>
        </w:rPr>
        <w:tab/>
      </w:r>
      <w:r w:rsidR="00531BEB" w:rsidRPr="00BB28A0">
        <w:rPr>
          <w:rFonts w:ascii="StobiSerif Regular" w:hAnsi="StobiSerif Regular"/>
          <w:sz w:val="24"/>
          <w:szCs w:val="24"/>
          <w:lang w:val="en-GB"/>
        </w:rPr>
        <w:tab/>
      </w:r>
      <w:r w:rsidR="00531BEB" w:rsidRPr="00BB28A0">
        <w:rPr>
          <w:rFonts w:ascii="StobiSerif Regular" w:hAnsi="StobiSerif Regular"/>
          <w:sz w:val="24"/>
          <w:szCs w:val="24"/>
          <w:lang w:val="en-GB"/>
        </w:rPr>
        <w:tab/>
      </w:r>
      <w:r w:rsidR="00531BEB" w:rsidRPr="00BB28A0">
        <w:rPr>
          <w:rFonts w:ascii="StobiSerif Regular" w:hAnsi="StobiSerif Regular"/>
          <w:sz w:val="24"/>
          <w:szCs w:val="24"/>
          <w:lang w:val="en-GB"/>
        </w:rPr>
        <w:tab/>
      </w:r>
      <w:r w:rsidR="00531BEB" w:rsidRPr="00BB28A0">
        <w:rPr>
          <w:rFonts w:ascii="StobiSerif Regular" w:hAnsi="StobiSerif Regular"/>
          <w:sz w:val="24"/>
          <w:szCs w:val="24"/>
          <w:lang w:val="en-GB"/>
        </w:rPr>
        <w:tab/>
      </w:r>
    </w:p>
    <w:p w14:paraId="552EF782" w14:textId="680AA5F8" w:rsidR="00D32976" w:rsidRPr="00BB28A0" w:rsidRDefault="00ED2FC8" w:rsidP="009F7CA6">
      <w:pPr>
        <w:spacing w:after="0" w:line="240" w:lineRule="auto"/>
        <w:ind w:firstLine="720"/>
        <w:jc w:val="both"/>
        <w:rPr>
          <w:rFonts w:ascii="StobiSerif Regular" w:hAnsi="StobiSerif Regular"/>
          <w:sz w:val="24"/>
          <w:szCs w:val="24"/>
          <w:lang w:val="en-GB"/>
        </w:rPr>
      </w:pPr>
      <w:r w:rsidRPr="00BB28A0">
        <w:rPr>
          <w:rFonts w:ascii="StobiSerif Regular" w:hAnsi="StobiSerif Regular"/>
          <w:sz w:val="24"/>
          <w:szCs w:val="24"/>
          <w:lang w:val="en-GB"/>
        </w:rPr>
        <w:t>3.2.1</w:t>
      </w:r>
      <w:r w:rsidRPr="00BB28A0">
        <w:rPr>
          <w:rFonts w:ascii="StobiSerif Regular" w:hAnsi="StobiSerif Regular"/>
          <w:sz w:val="24"/>
          <w:szCs w:val="24"/>
          <w:lang w:val="en-GB"/>
        </w:rPr>
        <w:tab/>
      </w:r>
      <w:r w:rsidR="005A1772" w:rsidRPr="00BB28A0">
        <w:rPr>
          <w:rFonts w:ascii="StobiSerif Regular" w:hAnsi="StobiSerif Regular"/>
          <w:sz w:val="24"/>
          <w:szCs w:val="24"/>
          <w:lang w:val="en-GB"/>
        </w:rPr>
        <w:t>Smart Specialization Strategy</w:t>
      </w:r>
      <w:r w:rsidR="005A1772" w:rsidRPr="00BB28A0">
        <w:rPr>
          <w:rFonts w:ascii="StobiSerif Regular" w:hAnsi="StobiSerif Regular"/>
          <w:sz w:val="24"/>
          <w:szCs w:val="24"/>
          <w:lang w:val="en-GB"/>
        </w:rPr>
        <w:tab/>
      </w:r>
      <w:r w:rsidR="005A1772" w:rsidRPr="00BB28A0">
        <w:rPr>
          <w:rFonts w:ascii="StobiSerif Regular" w:hAnsi="StobiSerif Regular"/>
          <w:sz w:val="24"/>
          <w:szCs w:val="24"/>
          <w:lang w:val="en-GB"/>
        </w:rPr>
        <w:tab/>
      </w:r>
      <w:r w:rsidR="00CF2B20" w:rsidRPr="00BB28A0">
        <w:rPr>
          <w:rFonts w:ascii="StobiSerif Regular" w:hAnsi="StobiSerif Regular"/>
          <w:sz w:val="24"/>
          <w:szCs w:val="24"/>
          <w:lang w:val="en-GB"/>
        </w:rPr>
        <w:tab/>
      </w:r>
      <w:r w:rsidR="00CF2B20" w:rsidRPr="00BB28A0">
        <w:rPr>
          <w:rFonts w:ascii="StobiSerif Regular" w:hAnsi="StobiSerif Regular"/>
          <w:sz w:val="24"/>
          <w:szCs w:val="24"/>
          <w:lang w:val="en-GB"/>
        </w:rPr>
        <w:tab/>
      </w:r>
      <w:r w:rsidR="00D32976" w:rsidRPr="00BB28A0">
        <w:rPr>
          <w:rFonts w:ascii="StobiSerif Regular" w:hAnsi="StobiSerif Regular"/>
          <w:sz w:val="24"/>
          <w:szCs w:val="24"/>
          <w:lang w:val="en-GB"/>
        </w:rPr>
        <w:tab/>
      </w:r>
      <w:r w:rsidR="00D32976" w:rsidRPr="00BB28A0">
        <w:rPr>
          <w:rFonts w:ascii="StobiSerif Regular" w:hAnsi="StobiSerif Regular"/>
          <w:sz w:val="24"/>
          <w:szCs w:val="24"/>
          <w:lang w:val="en-GB"/>
        </w:rPr>
        <w:tab/>
      </w:r>
      <w:r w:rsidR="005A1772" w:rsidRPr="00BB28A0">
        <w:rPr>
          <w:rFonts w:ascii="StobiSerif Regular" w:hAnsi="StobiSerif Regular"/>
          <w:sz w:val="24"/>
          <w:szCs w:val="24"/>
          <w:lang w:val="en-GB"/>
        </w:rPr>
        <w:t>10</w:t>
      </w:r>
    </w:p>
    <w:p w14:paraId="39F94BF8" w14:textId="5621D029" w:rsidR="00D32976" w:rsidRPr="00BB28A0" w:rsidRDefault="00ED2FC8" w:rsidP="009F7CA6">
      <w:pPr>
        <w:spacing w:after="0" w:line="240" w:lineRule="auto"/>
        <w:ind w:firstLine="720"/>
        <w:jc w:val="both"/>
        <w:rPr>
          <w:rFonts w:ascii="StobiSerif Regular" w:hAnsi="StobiSerif Regular"/>
          <w:sz w:val="24"/>
          <w:szCs w:val="24"/>
          <w:lang w:val="en-GB"/>
        </w:rPr>
      </w:pPr>
      <w:r w:rsidRPr="00BB28A0">
        <w:rPr>
          <w:rFonts w:ascii="StobiSerif Regular" w:hAnsi="StobiSerif Regular"/>
          <w:sz w:val="24"/>
          <w:szCs w:val="24"/>
          <w:lang w:val="en-GB"/>
        </w:rPr>
        <w:t>3.2.2</w:t>
      </w:r>
      <w:r w:rsidRPr="00BB28A0">
        <w:rPr>
          <w:rFonts w:ascii="StobiSerif Regular" w:hAnsi="StobiSerif Regular"/>
          <w:sz w:val="24"/>
          <w:szCs w:val="24"/>
          <w:lang w:val="en-GB"/>
        </w:rPr>
        <w:tab/>
      </w:r>
      <w:r w:rsidR="005A1772" w:rsidRPr="00BB28A0">
        <w:rPr>
          <w:rFonts w:ascii="StobiSerif Regular" w:hAnsi="StobiSerif Regular"/>
          <w:sz w:val="24"/>
          <w:szCs w:val="24"/>
          <w:lang w:val="en-GB"/>
        </w:rPr>
        <w:t>Participation of the Republic of North Macedonia in</w:t>
      </w:r>
      <w:r w:rsidR="005A1772" w:rsidRPr="00BB28A0">
        <w:rPr>
          <w:rFonts w:ascii="StobiSerif Regular" w:hAnsi="StobiSerif Regular"/>
          <w:sz w:val="24"/>
          <w:szCs w:val="24"/>
          <w:lang w:val="en-GB"/>
        </w:rPr>
        <w:tab/>
      </w:r>
      <w:r w:rsidR="005A1772" w:rsidRPr="00BB28A0">
        <w:rPr>
          <w:rFonts w:ascii="StobiSerif Regular" w:hAnsi="StobiSerif Regular"/>
          <w:sz w:val="24"/>
          <w:szCs w:val="24"/>
          <w:lang w:val="en-GB"/>
        </w:rPr>
        <w:tab/>
      </w:r>
      <w:r w:rsidR="005A1772" w:rsidRPr="00BB28A0">
        <w:rPr>
          <w:rFonts w:ascii="StobiSerif Regular" w:hAnsi="StobiSerif Regular"/>
          <w:sz w:val="24"/>
          <w:szCs w:val="24"/>
          <w:lang w:val="en-GB"/>
        </w:rPr>
        <w:tab/>
        <w:t>11</w:t>
      </w:r>
    </w:p>
    <w:p w14:paraId="1147E527" w14:textId="30183AB8" w:rsidR="00ED2FC8" w:rsidRPr="00BB28A0" w:rsidRDefault="005A1772" w:rsidP="009F7CA6">
      <w:pPr>
        <w:spacing w:after="0" w:line="240" w:lineRule="auto"/>
        <w:ind w:left="720" w:firstLine="720"/>
        <w:jc w:val="both"/>
        <w:rPr>
          <w:rFonts w:ascii="StobiSerif Regular" w:hAnsi="StobiSerif Regular"/>
          <w:sz w:val="24"/>
          <w:szCs w:val="24"/>
          <w:lang w:val="en-GB"/>
        </w:rPr>
      </w:pPr>
      <w:r w:rsidRPr="00BB28A0">
        <w:rPr>
          <w:rFonts w:ascii="StobiSerif Regular" w:hAnsi="StobiSerif Regular"/>
          <w:sz w:val="24"/>
          <w:szCs w:val="24"/>
          <w:lang w:val="en-GB"/>
        </w:rPr>
        <w:t>European Union research programmes</w:t>
      </w:r>
      <w:r w:rsidR="00CF2B20" w:rsidRPr="00BB28A0">
        <w:rPr>
          <w:rFonts w:ascii="StobiSerif Regular" w:hAnsi="StobiSerif Regular"/>
          <w:sz w:val="24"/>
          <w:szCs w:val="24"/>
          <w:lang w:val="en-GB"/>
        </w:rPr>
        <w:tab/>
      </w:r>
      <w:r w:rsidR="00CF2B20" w:rsidRPr="00BB28A0">
        <w:rPr>
          <w:rFonts w:ascii="StobiSerif Regular" w:hAnsi="StobiSerif Regular"/>
          <w:sz w:val="24"/>
          <w:szCs w:val="24"/>
          <w:lang w:val="en-GB"/>
        </w:rPr>
        <w:tab/>
      </w:r>
      <w:r w:rsidR="00CF2B20" w:rsidRPr="00BB28A0">
        <w:rPr>
          <w:rFonts w:ascii="StobiSerif Regular" w:hAnsi="StobiSerif Regular"/>
          <w:sz w:val="24"/>
          <w:szCs w:val="24"/>
          <w:lang w:val="en-GB"/>
        </w:rPr>
        <w:tab/>
      </w:r>
    </w:p>
    <w:p w14:paraId="1025D7F4" w14:textId="58A45F20" w:rsidR="00A20C18" w:rsidRPr="00BB28A0" w:rsidRDefault="00ED2FC8" w:rsidP="005A1772">
      <w:pPr>
        <w:spacing w:after="0" w:line="240" w:lineRule="auto"/>
        <w:ind w:left="720"/>
        <w:jc w:val="both"/>
        <w:rPr>
          <w:rFonts w:ascii="StobiSerif Regular" w:hAnsi="StobiSerif Regular"/>
          <w:sz w:val="24"/>
          <w:szCs w:val="24"/>
          <w:lang w:val="en-GB"/>
        </w:rPr>
      </w:pPr>
      <w:r w:rsidRPr="00BB28A0">
        <w:rPr>
          <w:rFonts w:ascii="StobiSerif Regular" w:hAnsi="StobiSerif Regular"/>
          <w:sz w:val="24"/>
          <w:szCs w:val="24"/>
          <w:lang w:val="en-GB"/>
        </w:rPr>
        <w:t xml:space="preserve">3.3 </w:t>
      </w:r>
      <w:r w:rsidRPr="00BB28A0">
        <w:rPr>
          <w:rFonts w:ascii="StobiSerif Regular" w:hAnsi="StobiSerif Regular"/>
          <w:sz w:val="24"/>
          <w:szCs w:val="24"/>
          <w:lang w:val="en-GB"/>
        </w:rPr>
        <w:tab/>
      </w:r>
      <w:r w:rsidR="005A1772" w:rsidRPr="00BB28A0">
        <w:rPr>
          <w:rFonts w:ascii="StobiSerif Regular" w:hAnsi="StobiSerif Regular"/>
          <w:sz w:val="24"/>
          <w:szCs w:val="24"/>
          <w:lang w:val="en-GB"/>
        </w:rPr>
        <w:t>Funding of research activities and research infrastructures</w:t>
      </w:r>
      <w:r w:rsidR="005A1772" w:rsidRPr="00BB28A0">
        <w:rPr>
          <w:rFonts w:ascii="StobiSerif Regular" w:hAnsi="StobiSerif Regular"/>
          <w:sz w:val="24"/>
          <w:szCs w:val="24"/>
          <w:lang w:val="en-GB"/>
        </w:rPr>
        <w:tab/>
      </w:r>
      <w:r w:rsidR="005A1772" w:rsidRPr="00BB28A0">
        <w:rPr>
          <w:rFonts w:ascii="StobiSerif Regular" w:hAnsi="StobiSerif Regular"/>
          <w:sz w:val="24"/>
          <w:szCs w:val="24"/>
          <w:lang w:val="en-GB"/>
        </w:rPr>
        <w:tab/>
        <w:t>12</w:t>
      </w:r>
      <w:r w:rsidR="005A1772" w:rsidRPr="00BB28A0">
        <w:rPr>
          <w:rFonts w:ascii="StobiSerif Regular" w:hAnsi="StobiSerif Regular"/>
          <w:sz w:val="24"/>
          <w:szCs w:val="24"/>
          <w:lang w:val="en-GB"/>
        </w:rPr>
        <w:tab/>
      </w:r>
      <w:r w:rsidR="005A1772" w:rsidRPr="00BB28A0">
        <w:rPr>
          <w:rFonts w:ascii="StobiSerif Regular" w:hAnsi="StobiSerif Regular"/>
          <w:sz w:val="24"/>
          <w:szCs w:val="24"/>
          <w:lang w:val="en-GB"/>
        </w:rPr>
        <w:tab/>
      </w:r>
      <w:r w:rsidR="001F5A4D" w:rsidRPr="00BB28A0">
        <w:rPr>
          <w:rFonts w:ascii="StobiSerif Regular" w:hAnsi="StobiSerif Regular"/>
          <w:sz w:val="24"/>
          <w:szCs w:val="24"/>
          <w:lang w:val="en-GB"/>
        </w:rPr>
        <w:t>in the Republic of North Macedonia</w:t>
      </w:r>
      <w:r w:rsidR="00CF2B20" w:rsidRPr="00BB28A0">
        <w:rPr>
          <w:rFonts w:ascii="StobiSerif Regular" w:hAnsi="StobiSerif Regular"/>
          <w:sz w:val="24"/>
          <w:szCs w:val="24"/>
          <w:lang w:val="en-GB"/>
        </w:rPr>
        <w:tab/>
      </w:r>
      <w:r w:rsidR="004B1FE3" w:rsidRPr="00BB28A0">
        <w:rPr>
          <w:rFonts w:ascii="StobiSerif Regular" w:hAnsi="StobiSerif Regular"/>
          <w:sz w:val="24"/>
          <w:szCs w:val="24"/>
          <w:lang w:val="en-GB"/>
        </w:rPr>
        <w:tab/>
      </w:r>
      <w:r w:rsidR="004B1FE3" w:rsidRPr="00BB28A0">
        <w:rPr>
          <w:rFonts w:ascii="StobiSerif Regular" w:hAnsi="StobiSerif Regular"/>
          <w:sz w:val="24"/>
          <w:szCs w:val="24"/>
          <w:lang w:val="en-GB"/>
        </w:rPr>
        <w:tab/>
      </w:r>
      <w:r w:rsidR="004B1FE3" w:rsidRPr="00BB28A0">
        <w:rPr>
          <w:rFonts w:ascii="StobiSerif Regular" w:hAnsi="StobiSerif Regular"/>
          <w:sz w:val="24"/>
          <w:szCs w:val="24"/>
          <w:lang w:val="en-GB"/>
        </w:rPr>
        <w:tab/>
      </w:r>
    </w:p>
    <w:p w14:paraId="31E77CFC" w14:textId="73B6939D" w:rsidR="0074219D" w:rsidRPr="00BB28A0" w:rsidRDefault="00ED2FC8" w:rsidP="00A20C18">
      <w:pPr>
        <w:spacing w:after="0" w:line="240" w:lineRule="auto"/>
        <w:jc w:val="both"/>
        <w:rPr>
          <w:rFonts w:ascii="StobiSerif Regular" w:hAnsi="StobiSerif Regular"/>
          <w:color w:val="4A66AC" w:themeColor="accent1"/>
          <w:sz w:val="24"/>
          <w:szCs w:val="24"/>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B28A0">
        <w:rPr>
          <w:rFonts w:ascii="StobiSerif Regular" w:hAnsi="StobiSerif Regular"/>
          <w:sz w:val="24"/>
          <w:szCs w:val="24"/>
          <w:lang w:val="en-GB"/>
        </w:rPr>
        <w:t>4.</w:t>
      </w:r>
      <w:r w:rsidRPr="00BB28A0">
        <w:rPr>
          <w:rFonts w:ascii="StobiSerif Regular" w:hAnsi="StobiSerif Regular"/>
          <w:sz w:val="24"/>
          <w:szCs w:val="24"/>
          <w:lang w:val="en-GB"/>
        </w:rPr>
        <w:tab/>
      </w:r>
      <w:r w:rsidR="004562AF" w:rsidRPr="00BB28A0">
        <w:rPr>
          <w:rFonts w:ascii="StobiSerif Regular" w:hAnsi="StobiSerif Regular"/>
          <w:color w:val="4A66AC" w:themeColor="accent1"/>
          <w:sz w:val="24"/>
          <w:szCs w:val="24"/>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Analysis of existing research infrastructures in</w:t>
      </w:r>
      <w:r w:rsidR="0074219D" w:rsidRPr="00BB28A0">
        <w:rPr>
          <w:rFonts w:ascii="StobiSerif Regular" w:hAnsi="StobiSerif Regular"/>
          <w:color w:val="4A66AC" w:themeColor="accent1"/>
          <w:sz w:val="24"/>
          <w:szCs w:val="24"/>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A20C18" w:rsidRPr="00BB28A0">
        <w:rPr>
          <w:rFonts w:ascii="StobiSerif Regular" w:hAnsi="StobiSerif Regular"/>
          <w:color w:val="4A66AC" w:themeColor="accent1"/>
          <w:sz w:val="24"/>
          <w:szCs w:val="24"/>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4562AF" w:rsidRPr="00BB28A0">
        <w:rPr>
          <w:rFonts w:ascii="StobiSerif Regular" w:hAnsi="StobiSerif Regular"/>
          <w:color w:val="4A66AC" w:themeColor="accent1"/>
          <w:sz w:val="24"/>
          <w:szCs w:val="24"/>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4562AF" w:rsidRPr="00BB28A0">
        <w:rPr>
          <w:rFonts w:ascii="StobiSerif Regular" w:hAnsi="StobiSerif Regular"/>
          <w:color w:val="4A66AC" w:themeColor="accent1"/>
          <w:sz w:val="24"/>
          <w:szCs w:val="24"/>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 xml:space="preserve">          </w:t>
      </w:r>
      <w:r w:rsidR="0074219D" w:rsidRPr="00BB28A0">
        <w:rPr>
          <w:rFonts w:ascii="StobiSerif Regular" w:hAnsi="StobiSerif Regular"/>
          <w:color w:val="4A66AC" w:themeColor="accent1"/>
          <w:sz w:val="24"/>
          <w:szCs w:val="24"/>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r w:rsidR="004562AF" w:rsidRPr="00BB28A0">
        <w:rPr>
          <w:rFonts w:ascii="StobiSerif Regular" w:hAnsi="StobiSerif Regular"/>
          <w:color w:val="4A66AC" w:themeColor="accent1"/>
          <w:sz w:val="24"/>
          <w:szCs w:val="24"/>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38</w:t>
      </w:r>
    </w:p>
    <w:p w14:paraId="3543B25E" w14:textId="4BC63CC6" w:rsidR="00ED2FC8" w:rsidRPr="00BB28A0" w:rsidRDefault="004562AF" w:rsidP="009F7CA6">
      <w:pPr>
        <w:spacing w:after="0" w:line="240" w:lineRule="auto"/>
        <w:ind w:left="720"/>
        <w:jc w:val="both"/>
        <w:rPr>
          <w:rFonts w:ascii="StobiSerif Regular" w:hAnsi="StobiSerif Regular"/>
          <w:color w:val="4A66AC" w:themeColor="accent1"/>
          <w:sz w:val="24"/>
          <w:szCs w:val="24"/>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B28A0">
        <w:rPr>
          <w:rFonts w:ascii="StobiSerif Regular" w:hAnsi="StobiSerif Regular"/>
          <w:color w:val="4A66AC" w:themeColor="accent1"/>
          <w:sz w:val="24"/>
          <w:szCs w:val="24"/>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the Republic of North Macedonia 2024  </w:t>
      </w:r>
      <w:r w:rsidRPr="00BB28A0">
        <w:rPr>
          <w:rFonts w:ascii="StobiSerif Regular" w:hAnsi="StobiSerif Regular"/>
          <w:color w:val="4A66AC" w:themeColor="accent1"/>
          <w:sz w:val="24"/>
          <w:szCs w:val="24"/>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9F7CA6" w:rsidRPr="00BB28A0">
        <w:rPr>
          <w:rFonts w:ascii="StobiSerif Regular" w:hAnsi="StobiSerif Regular"/>
          <w:color w:val="4A66AC" w:themeColor="accent1"/>
          <w:sz w:val="24"/>
          <w:szCs w:val="24"/>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9F7CA6" w:rsidRPr="00BB28A0">
        <w:rPr>
          <w:rFonts w:ascii="StobiSerif Regular" w:hAnsi="StobiSerif Regular"/>
          <w:color w:val="4A66AC" w:themeColor="accent1"/>
          <w:sz w:val="24"/>
          <w:szCs w:val="24"/>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A20C18" w:rsidRPr="00BB28A0">
        <w:rPr>
          <w:rFonts w:ascii="StobiSerif Regular" w:hAnsi="StobiSerif Regular"/>
          <w:color w:val="4A66AC" w:themeColor="accent1"/>
          <w:sz w:val="24"/>
          <w:szCs w:val="24"/>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542173" w:rsidRPr="00BB28A0">
        <w:rPr>
          <w:rFonts w:ascii="StobiSerif Regular" w:hAnsi="StobiSerif Regular"/>
          <w:color w:val="4A66AC" w:themeColor="accent1"/>
          <w:sz w:val="24"/>
          <w:szCs w:val="24"/>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330A4A" w:rsidRPr="00BB28A0">
        <w:rPr>
          <w:rFonts w:ascii="StobiSerif Regular" w:hAnsi="StobiSerif Regular"/>
          <w:color w:val="4A66AC" w:themeColor="accent1"/>
          <w:sz w:val="24"/>
          <w:szCs w:val="24"/>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Appendix</w:t>
      </w:r>
      <w:r w:rsidRPr="00BB28A0">
        <w:rPr>
          <w:rFonts w:ascii="StobiSerif Regular" w:hAnsi="StobiSerif Regular"/>
          <w:color w:val="4A66AC" w:themeColor="accent1"/>
          <w:sz w:val="24"/>
          <w:szCs w:val="24"/>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9F7CA6" w:rsidRPr="00BB28A0">
        <w:rPr>
          <w:rFonts w:ascii="StobiSerif Regular" w:hAnsi="StobiSerif Regular"/>
          <w:color w:val="4A66AC" w:themeColor="accent1"/>
          <w:sz w:val="24"/>
          <w:szCs w:val="24"/>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r w:rsidR="00542173" w:rsidRPr="00BB28A0">
        <w:rPr>
          <w:rFonts w:ascii="StobiSerif Regular" w:hAnsi="StobiSerif Regular"/>
          <w:color w:val="4A66AC" w:themeColor="accent1"/>
          <w:sz w:val="24"/>
          <w:szCs w:val="24"/>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1983DB2A" w14:textId="69F1560D" w:rsidR="001F5A4D" w:rsidRPr="00BB28A0" w:rsidRDefault="00ED2FC8" w:rsidP="009F7CA6">
      <w:pPr>
        <w:spacing w:after="0" w:line="240" w:lineRule="auto"/>
        <w:jc w:val="both"/>
        <w:rPr>
          <w:rFonts w:ascii="StobiSerif Regular" w:hAnsi="StobiSerif Regular"/>
          <w:sz w:val="24"/>
          <w:szCs w:val="24"/>
          <w:lang w:val="en-GB"/>
        </w:rPr>
      </w:pPr>
      <w:r w:rsidRPr="00BB28A0">
        <w:rPr>
          <w:rFonts w:ascii="StobiSerif Regular" w:hAnsi="StobiSerif Regular"/>
          <w:sz w:val="24"/>
          <w:szCs w:val="24"/>
          <w:lang w:val="en-GB"/>
        </w:rPr>
        <w:tab/>
      </w:r>
      <w:r w:rsidR="004562AF" w:rsidRPr="00BB28A0">
        <w:rPr>
          <w:rFonts w:ascii="StobiSerif Regular" w:hAnsi="StobiSerif Regular"/>
          <w:color w:val="00B050"/>
          <w:sz w:val="24"/>
          <w:szCs w:val="24"/>
          <w:lang w:val="en-GB"/>
        </w:rPr>
        <w:t xml:space="preserve">4.1. </w:t>
      </w:r>
      <w:r w:rsidR="004562AF" w:rsidRPr="00BB28A0">
        <w:rPr>
          <w:rFonts w:ascii="StobiSerif Regular" w:hAnsi="StobiSerif Regular"/>
          <w:color w:val="00B050"/>
          <w:sz w:val="24"/>
          <w:szCs w:val="24"/>
          <w:lang w:val="en-GB"/>
        </w:rPr>
        <w:tab/>
        <w:t>Overview of research infrastructures</w:t>
      </w:r>
      <w:r w:rsidR="004562AF" w:rsidRPr="00BB28A0">
        <w:rPr>
          <w:rFonts w:ascii="StobiSerif Regular" w:hAnsi="StobiSerif Regular"/>
          <w:color w:val="00B050"/>
          <w:sz w:val="24"/>
          <w:szCs w:val="24"/>
          <w:lang w:val="en-GB"/>
        </w:rPr>
        <w:tab/>
      </w:r>
      <w:r w:rsidR="004562AF" w:rsidRPr="00BB28A0">
        <w:rPr>
          <w:rFonts w:ascii="StobiSerif Regular" w:hAnsi="StobiSerif Regular"/>
          <w:color w:val="00B050"/>
          <w:sz w:val="24"/>
          <w:szCs w:val="24"/>
          <w:lang w:val="en-GB"/>
        </w:rPr>
        <w:tab/>
      </w:r>
      <w:r w:rsidR="009F7CA6" w:rsidRPr="00BB28A0">
        <w:rPr>
          <w:rFonts w:ascii="StobiSerif Regular" w:hAnsi="StobiSerif Regular"/>
          <w:color w:val="00B050"/>
          <w:sz w:val="24"/>
          <w:szCs w:val="24"/>
          <w:lang w:val="en-GB"/>
        </w:rPr>
        <w:tab/>
      </w:r>
      <w:r w:rsidR="002967BE" w:rsidRPr="00BB28A0">
        <w:rPr>
          <w:rFonts w:ascii="StobiSerif Regular" w:hAnsi="StobiSerif Regular"/>
          <w:color w:val="00B050"/>
          <w:sz w:val="24"/>
          <w:szCs w:val="24"/>
          <w:lang w:val="en-GB"/>
        </w:rPr>
        <w:t xml:space="preserve">      </w:t>
      </w:r>
      <w:r w:rsidR="009F7CA6" w:rsidRPr="00BB28A0">
        <w:rPr>
          <w:rFonts w:ascii="StobiSerif Regular" w:hAnsi="StobiSerif Regular"/>
          <w:color w:val="00B050"/>
          <w:sz w:val="24"/>
          <w:szCs w:val="24"/>
          <w:lang w:val="en-GB"/>
        </w:rPr>
        <w:t xml:space="preserve"> </w:t>
      </w:r>
      <w:r w:rsidR="00330A4A" w:rsidRPr="00BB28A0">
        <w:rPr>
          <w:rFonts w:ascii="StobiSerif Regular" w:hAnsi="StobiSerif Regular"/>
          <w:color w:val="00B050"/>
          <w:sz w:val="24"/>
          <w:szCs w:val="24"/>
          <w:lang w:val="en-GB"/>
        </w:rPr>
        <w:t xml:space="preserve">    </w:t>
      </w:r>
      <w:r w:rsidR="00542173" w:rsidRPr="00BB28A0">
        <w:rPr>
          <w:rFonts w:ascii="StobiSerif Regular" w:hAnsi="StobiSerif Regular"/>
          <w:color w:val="00B050"/>
          <w:sz w:val="24"/>
          <w:szCs w:val="24"/>
          <w:lang w:val="en-GB"/>
        </w:rPr>
        <w:t>(</w:t>
      </w:r>
      <w:r w:rsidR="00330A4A" w:rsidRPr="00BB28A0">
        <w:rPr>
          <w:rFonts w:ascii="StobiSerif Regular" w:hAnsi="StobiSerif Regular"/>
          <w:color w:val="00B050"/>
          <w:sz w:val="24"/>
          <w:szCs w:val="24"/>
          <w:lang w:val="en-GB"/>
        </w:rPr>
        <w:t>Appendix</w:t>
      </w:r>
      <w:r w:rsidR="004562AF" w:rsidRPr="00BB28A0">
        <w:rPr>
          <w:rFonts w:ascii="StobiSerif Regular" w:hAnsi="StobiSerif Regular"/>
          <w:color w:val="00B050"/>
          <w:sz w:val="24"/>
          <w:szCs w:val="24"/>
          <w:lang w:val="en-GB"/>
        </w:rPr>
        <w:t xml:space="preserve"> 1</w:t>
      </w:r>
      <w:r w:rsidR="00542173" w:rsidRPr="00BB28A0">
        <w:rPr>
          <w:rFonts w:ascii="StobiSerif Regular" w:hAnsi="StobiSerif Regular"/>
          <w:color w:val="00B050"/>
          <w:sz w:val="24"/>
          <w:szCs w:val="24"/>
          <w:lang w:val="en-GB"/>
        </w:rPr>
        <w:t>)</w:t>
      </w:r>
      <w:r w:rsidRPr="00BB28A0">
        <w:rPr>
          <w:rFonts w:ascii="StobiSerif Regular" w:hAnsi="StobiSerif Regular"/>
          <w:sz w:val="24"/>
          <w:szCs w:val="24"/>
          <w:lang w:val="en-GB"/>
        </w:rPr>
        <w:tab/>
      </w:r>
    </w:p>
    <w:p w14:paraId="0E510D39" w14:textId="72DF73FE" w:rsidR="00ED2FC8" w:rsidRPr="00BB28A0" w:rsidRDefault="00ED2FC8" w:rsidP="009F7CA6">
      <w:pPr>
        <w:spacing w:after="0" w:line="240" w:lineRule="auto"/>
        <w:jc w:val="both"/>
        <w:rPr>
          <w:rFonts w:ascii="StobiSerif Regular" w:hAnsi="StobiSerif Regular"/>
          <w:sz w:val="24"/>
          <w:szCs w:val="24"/>
          <w:lang w:val="en-GB"/>
        </w:rPr>
      </w:pPr>
      <w:r w:rsidRPr="00BB28A0">
        <w:rPr>
          <w:rFonts w:ascii="StobiSerif Regular" w:hAnsi="StobiSerif Regular"/>
          <w:sz w:val="24"/>
          <w:szCs w:val="24"/>
          <w:lang w:val="en-GB"/>
        </w:rPr>
        <w:t xml:space="preserve">4.2 </w:t>
      </w:r>
      <w:r w:rsidRPr="00BB28A0">
        <w:rPr>
          <w:rFonts w:ascii="StobiSerif Regular" w:hAnsi="StobiSerif Regular"/>
          <w:sz w:val="24"/>
          <w:szCs w:val="24"/>
          <w:lang w:val="en-GB"/>
        </w:rPr>
        <w:tab/>
      </w:r>
      <w:r w:rsidR="001F5A4D" w:rsidRPr="00BB28A0">
        <w:rPr>
          <w:rFonts w:ascii="StobiSerif Regular" w:hAnsi="StobiSerif Regular"/>
          <w:sz w:val="24"/>
          <w:szCs w:val="24"/>
          <w:lang w:val="en-GB"/>
        </w:rPr>
        <w:t>Concluding observations</w:t>
      </w:r>
      <w:r w:rsidR="002967BE" w:rsidRPr="00BB28A0">
        <w:rPr>
          <w:rFonts w:ascii="StobiSerif Regular" w:hAnsi="StobiSerif Regular"/>
          <w:sz w:val="24"/>
          <w:szCs w:val="24"/>
          <w:lang w:val="en-GB"/>
        </w:rPr>
        <w:tab/>
      </w:r>
      <w:r w:rsidR="00877C3D" w:rsidRPr="00BB28A0">
        <w:rPr>
          <w:rFonts w:ascii="StobiSerif Regular" w:hAnsi="StobiSerif Regular"/>
          <w:sz w:val="24"/>
          <w:szCs w:val="24"/>
          <w:lang w:val="en-GB"/>
        </w:rPr>
        <w:tab/>
      </w:r>
      <w:r w:rsidR="00877C3D" w:rsidRPr="00BB28A0">
        <w:rPr>
          <w:rFonts w:ascii="StobiSerif Regular" w:hAnsi="StobiSerif Regular"/>
          <w:sz w:val="24"/>
          <w:szCs w:val="24"/>
          <w:lang w:val="en-GB"/>
        </w:rPr>
        <w:tab/>
      </w:r>
      <w:r w:rsidR="00877C3D" w:rsidRPr="00BB28A0">
        <w:rPr>
          <w:rFonts w:ascii="StobiSerif Regular" w:hAnsi="StobiSerif Regular"/>
          <w:sz w:val="24"/>
          <w:szCs w:val="24"/>
          <w:lang w:val="en-GB"/>
        </w:rPr>
        <w:tab/>
      </w:r>
      <w:r w:rsidR="00877C3D" w:rsidRPr="00BB28A0">
        <w:rPr>
          <w:rFonts w:ascii="StobiSerif Regular" w:hAnsi="StobiSerif Regular"/>
          <w:sz w:val="24"/>
          <w:szCs w:val="24"/>
          <w:lang w:val="en-GB"/>
        </w:rPr>
        <w:tab/>
      </w:r>
      <w:r w:rsidR="00877C3D" w:rsidRPr="00BB28A0">
        <w:rPr>
          <w:rFonts w:ascii="StobiSerif Regular" w:hAnsi="StobiSerif Regular"/>
          <w:sz w:val="24"/>
          <w:szCs w:val="24"/>
          <w:lang w:val="en-GB"/>
        </w:rPr>
        <w:tab/>
      </w:r>
      <w:r w:rsidR="00877C3D" w:rsidRPr="00BB28A0">
        <w:rPr>
          <w:rFonts w:ascii="StobiSerif Regular" w:hAnsi="StobiSerif Regular"/>
          <w:sz w:val="24"/>
          <w:szCs w:val="24"/>
          <w:lang w:val="en-GB"/>
        </w:rPr>
        <w:tab/>
      </w:r>
      <w:r w:rsidR="001F5A4D" w:rsidRPr="00BB28A0">
        <w:rPr>
          <w:rFonts w:ascii="StobiSerif Regular" w:hAnsi="StobiSerif Regular"/>
          <w:sz w:val="24"/>
          <w:szCs w:val="24"/>
          <w:lang w:val="en-GB"/>
        </w:rPr>
        <w:t>15</w:t>
      </w:r>
    </w:p>
    <w:p w14:paraId="5674FEAD" w14:textId="02D07DE2" w:rsidR="00ED2FC8" w:rsidRPr="00BB28A0" w:rsidRDefault="00ED2FC8" w:rsidP="009F7CA6">
      <w:pPr>
        <w:spacing w:after="0" w:line="240" w:lineRule="auto"/>
        <w:jc w:val="both"/>
        <w:rPr>
          <w:rFonts w:ascii="StobiSerif Regular" w:hAnsi="StobiSerif Regular"/>
          <w:sz w:val="24"/>
          <w:szCs w:val="24"/>
          <w:lang w:val="en-GB"/>
        </w:rPr>
      </w:pPr>
      <w:r w:rsidRPr="00BB28A0">
        <w:rPr>
          <w:rFonts w:ascii="StobiSerif Regular" w:hAnsi="StobiSerif Regular"/>
          <w:sz w:val="24"/>
          <w:szCs w:val="24"/>
          <w:lang w:val="en-GB"/>
        </w:rPr>
        <w:t>5.</w:t>
      </w:r>
      <w:r w:rsidRPr="00BB28A0">
        <w:rPr>
          <w:rFonts w:ascii="StobiSerif Regular" w:hAnsi="StobiSerif Regular"/>
          <w:sz w:val="24"/>
          <w:szCs w:val="24"/>
          <w:lang w:val="en-GB"/>
        </w:rPr>
        <w:tab/>
      </w:r>
      <w:r w:rsidR="001F5A4D" w:rsidRPr="00BB28A0">
        <w:rPr>
          <w:rFonts w:ascii="StobiSerif Regular" w:hAnsi="StobiSerif Regular"/>
          <w:sz w:val="24"/>
          <w:szCs w:val="24"/>
          <w:lang w:val="en-GB"/>
        </w:rPr>
        <w:t>Recommendations and measures</w:t>
      </w:r>
      <w:r w:rsidR="00A614BD" w:rsidRPr="00BB28A0">
        <w:rPr>
          <w:rFonts w:ascii="StobiSerif Regular" w:hAnsi="StobiSerif Regular"/>
          <w:sz w:val="24"/>
          <w:szCs w:val="24"/>
          <w:lang w:val="en-GB"/>
        </w:rPr>
        <w:tab/>
      </w:r>
      <w:r w:rsidR="00A614BD" w:rsidRPr="00BB28A0">
        <w:rPr>
          <w:rFonts w:ascii="StobiSerif Regular" w:hAnsi="StobiSerif Regular"/>
          <w:sz w:val="24"/>
          <w:szCs w:val="24"/>
          <w:lang w:val="en-GB"/>
        </w:rPr>
        <w:tab/>
      </w:r>
      <w:r w:rsidR="00A614BD" w:rsidRPr="00BB28A0">
        <w:rPr>
          <w:rFonts w:ascii="StobiSerif Regular" w:hAnsi="StobiSerif Regular"/>
          <w:sz w:val="24"/>
          <w:szCs w:val="24"/>
          <w:lang w:val="en-GB"/>
        </w:rPr>
        <w:tab/>
      </w:r>
      <w:r w:rsidR="00A614BD" w:rsidRPr="00BB28A0">
        <w:rPr>
          <w:rFonts w:ascii="StobiSerif Regular" w:hAnsi="StobiSerif Regular"/>
          <w:sz w:val="24"/>
          <w:szCs w:val="24"/>
          <w:lang w:val="en-GB"/>
        </w:rPr>
        <w:tab/>
      </w:r>
      <w:r w:rsidR="00A614BD" w:rsidRPr="00BB28A0">
        <w:rPr>
          <w:rFonts w:ascii="StobiSerif Regular" w:hAnsi="StobiSerif Regular"/>
          <w:sz w:val="24"/>
          <w:szCs w:val="24"/>
          <w:lang w:val="en-GB"/>
        </w:rPr>
        <w:tab/>
      </w:r>
      <w:r w:rsidR="00A614BD" w:rsidRPr="00BB28A0">
        <w:rPr>
          <w:rFonts w:ascii="StobiSerif Regular" w:hAnsi="StobiSerif Regular"/>
          <w:sz w:val="24"/>
          <w:szCs w:val="24"/>
          <w:lang w:val="en-GB"/>
        </w:rPr>
        <w:tab/>
        <w:t>2</w:t>
      </w:r>
      <w:r w:rsidR="001F5A4D" w:rsidRPr="00BB28A0">
        <w:rPr>
          <w:rFonts w:ascii="StobiSerif Regular" w:hAnsi="StobiSerif Regular"/>
          <w:sz w:val="24"/>
          <w:szCs w:val="24"/>
          <w:lang w:val="en-GB"/>
        </w:rPr>
        <w:t>0</w:t>
      </w:r>
      <w:r w:rsidR="00A614BD" w:rsidRPr="00BB28A0">
        <w:rPr>
          <w:rFonts w:ascii="StobiSerif Regular" w:hAnsi="StobiSerif Regular"/>
          <w:sz w:val="24"/>
          <w:szCs w:val="24"/>
          <w:lang w:val="en-GB"/>
        </w:rPr>
        <w:tab/>
      </w:r>
      <w:r w:rsidR="00A614BD" w:rsidRPr="00BB28A0">
        <w:rPr>
          <w:rFonts w:ascii="StobiSerif Regular" w:hAnsi="StobiSerif Regular"/>
          <w:sz w:val="24"/>
          <w:szCs w:val="24"/>
          <w:lang w:val="en-GB"/>
        </w:rPr>
        <w:tab/>
      </w:r>
      <w:r w:rsidR="00A614BD" w:rsidRPr="00BB28A0">
        <w:rPr>
          <w:rFonts w:ascii="StobiSerif Regular" w:hAnsi="StobiSerif Regular"/>
          <w:sz w:val="24"/>
          <w:szCs w:val="24"/>
          <w:lang w:val="en-GB"/>
        </w:rPr>
        <w:tab/>
      </w:r>
    </w:p>
    <w:p w14:paraId="36362DA8" w14:textId="4318783A" w:rsidR="001F5A4D" w:rsidRPr="00BB28A0" w:rsidRDefault="00ED2FC8" w:rsidP="001F5A4D">
      <w:pPr>
        <w:spacing w:after="0" w:line="240" w:lineRule="auto"/>
        <w:jc w:val="both"/>
        <w:rPr>
          <w:rFonts w:ascii="StobiSerif Regular" w:hAnsi="StobiSerif Regular"/>
          <w:sz w:val="24"/>
          <w:szCs w:val="24"/>
          <w:lang w:val="en-GB"/>
        </w:rPr>
      </w:pPr>
      <w:r w:rsidRPr="00BB28A0">
        <w:rPr>
          <w:rFonts w:ascii="StobiSerif Regular" w:hAnsi="StobiSerif Regular"/>
          <w:sz w:val="24"/>
          <w:szCs w:val="24"/>
          <w:lang w:val="en-GB"/>
        </w:rPr>
        <w:tab/>
        <w:t xml:space="preserve">5.1 </w:t>
      </w:r>
      <w:r w:rsidRPr="00BB28A0">
        <w:rPr>
          <w:rFonts w:ascii="StobiSerif Regular" w:hAnsi="StobiSerif Regular"/>
          <w:sz w:val="24"/>
          <w:szCs w:val="24"/>
          <w:lang w:val="en-GB"/>
        </w:rPr>
        <w:tab/>
      </w:r>
      <w:r w:rsidR="001F5A4D" w:rsidRPr="00BB28A0">
        <w:rPr>
          <w:rFonts w:ascii="StobiSerif Regular" w:hAnsi="StobiSerif Regular"/>
          <w:sz w:val="24"/>
          <w:szCs w:val="24"/>
          <w:lang w:val="en-GB"/>
        </w:rPr>
        <w:t>Establish a link between the ESFRI Roadmap and</w:t>
      </w:r>
      <w:r w:rsidR="001F5A4D" w:rsidRPr="00BB28A0">
        <w:rPr>
          <w:rFonts w:ascii="StobiSerif Regular" w:hAnsi="StobiSerif Regular"/>
          <w:sz w:val="24"/>
          <w:szCs w:val="24"/>
          <w:lang w:val="en-GB"/>
        </w:rPr>
        <w:tab/>
      </w:r>
      <w:r w:rsidR="001F5A4D" w:rsidRPr="00BB28A0">
        <w:rPr>
          <w:rFonts w:ascii="StobiSerif Regular" w:hAnsi="StobiSerif Regular"/>
          <w:sz w:val="24"/>
          <w:szCs w:val="24"/>
          <w:lang w:val="en-GB"/>
        </w:rPr>
        <w:tab/>
      </w:r>
      <w:r w:rsidR="001F5A4D" w:rsidRPr="00BB28A0">
        <w:rPr>
          <w:rFonts w:ascii="StobiSerif Regular" w:hAnsi="StobiSerif Regular"/>
          <w:sz w:val="24"/>
          <w:szCs w:val="24"/>
          <w:lang w:val="en-GB"/>
        </w:rPr>
        <w:tab/>
        <w:t>20</w:t>
      </w:r>
    </w:p>
    <w:p w14:paraId="3378D003" w14:textId="7A0073FE" w:rsidR="00A919B9" w:rsidRPr="00BB28A0" w:rsidRDefault="001F5A4D" w:rsidP="001F5A4D">
      <w:pPr>
        <w:spacing w:after="0" w:line="240" w:lineRule="auto"/>
        <w:ind w:left="720" w:firstLine="720"/>
        <w:jc w:val="both"/>
        <w:rPr>
          <w:rFonts w:ascii="StobiSerif Regular" w:hAnsi="StobiSerif Regular"/>
          <w:sz w:val="24"/>
          <w:szCs w:val="24"/>
          <w:lang w:val="en-GB"/>
        </w:rPr>
      </w:pPr>
      <w:r w:rsidRPr="00BB28A0">
        <w:rPr>
          <w:rFonts w:ascii="StobiSerif Regular" w:hAnsi="StobiSerif Regular"/>
          <w:sz w:val="24"/>
          <w:szCs w:val="24"/>
          <w:lang w:val="en-GB"/>
        </w:rPr>
        <w:t>the Smart Specialization Strategy</w:t>
      </w:r>
    </w:p>
    <w:p w14:paraId="63A8B84F" w14:textId="62DE4597" w:rsidR="00C00B06" w:rsidRPr="00BB28A0" w:rsidRDefault="00ED2FC8" w:rsidP="009F7CA6">
      <w:pPr>
        <w:spacing w:after="0" w:line="240" w:lineRule="auto"/>
        <w:ind w:left="1440" w:hanging="720"/>
        <w:jc w:val="both"/>
        <w:rPr>
          <w:rFonts w:ascii="StobiSerif Regular" w:hAnsi="StobiSerif Regular"/>
          <w:sz w:val="24"/>
          <w:szCs w:val="24"/>
          <w:lang w:val="en-GB"/>
        </w:rPr>
      </w:pPr>
      <w:r w:rsidRPr="00BB28A0">
        <w:rPr>
          <w:rFonts w:ascii="StobiSerif Regular" w:hAnsi="StobiSerif Regular"/>
          <w:sz w:val="24"/>
          <w:szCs w:val="24"/>
          <w:lang w:val="en-GB"/>
        </w:rPr>
        <w:t xml:space="preserve">5.2 </w:t>
      </w:r>
      <w:r w:rsidRPr="00BB28A0">
        <w:rPr>
          <w:rFonts w:ascii="StobiSerif Regular" w:hAnsi="StobiSerif Regular"/>
          <w:sz w:val="24"/>
          <w:szCs w:val="24"/>
          <w:lang w:val="en-GB"/>
        </w:rPr>
        <w:tab/>
      </w:r>
      <w:r w:rsidR="001F5A4D" w:rsidRPr="00BB28A0">
        <w:rPr>
          <w:rFonts w:ascii="StobiSerif Regular" w:hAnsi="StobiSerif Regular"/>
          <w:sz w:val="24"/>
          <w:szCs w:val="24"/>
          <w:lang w:val="en-GB"/>
        </w:rPr>
        <w:t>Develop an action plan for development</w:t>
      </w:r>
      <w:r w:rsidR="00C00B06" w:rsidRPr="00BB28A0">
        <w:rPr>
          <w:rFonts w:ascii="StobiSerif Regular" w:hAnsi="StobiSerif Regular"/>
          <w:sz w:val="24"/>
          <w:szCs w:val="24"/>
          <w:lang w:val="en-GB"/>
        </w:rPr>
        <w:tab/>
      </w:r>
      <w:r w:rsidR="00C00B06" w:rsidRPr="00BB28A0">
        <w:rPr>
          <w:rFonts w:ascii="StobiSerif Regular" w:hAnsi="StobiSerif Regular"/>
          <w:sz w:val="24"/>
          <w:szCs w:val="24"/>
          <w:lang w:val="en-GB"/>
        </w:rPr>
        <w:tab/>
      </w:r>
      <w:r w:rsidR="00C00B06" w:rsidRPr="00BB28A0">
        <w:rPr>
          <w:rFonts w:ascii="StobiSerif Regular" w:hAnsi="StobiSerif Regular"/>
          <w:sz w:val="24"/>
          <w:szCs w:val="24"/>
          <w:lang w:val="en-GB"/>
        </w:rPr>
        <w:tab/>
      </w:r>
      <w:r w:rsidR="00C00B06" w:rsidRPr="00BB28A0">
        <w:rPr>
          <w:rFonts w:ascii="StobiSerif Regular" w:hAnsi="StobiSerif Regular"/>
          <w:sz w:val="24"/>
          <w:szCs w:val="24"/>
          <w:lang w:val="en-GB"/>
        </w:rPr>
        <w:tab/>
        <w:t>2</w:t>
      </w:r>
      <w:r w:rsidR="001F5A4D" w:rsidRPr="00BB28A0">
        <w:rPr>
          <w:rFonts w:ascii="StobiSerif Regular" w:hAnsi="StobiSerif Regular"/>
          <w:sz w:val="24"/>
          <w:szCs w:val="24"/>
          <w:lang w:val="en-GB"/>
        </w:rPr>
        <w:t>0</w:t>
      </w:r>
    </w:p>
    <w:p w14:paraId="6DEE15B3" w14:textId="474F6FCB" w:rsidR="00D5545F" w:rsidRPr="00BB28A0" w:rsidRDefault="001F5A4D" w:rsidP="009F7CA6">
      <w:pPr>
        <w:spacing w:after="0" w:line="240" w:lineRule="auto"/>
        <w:ind w:left="1440"/>
        <w:jc w:val="both"/>
        <w:rPr>
          <w:rFonts w:ascii="StobiSerif Regular" w:hAnsi="StobiSerif Regular"/>
          <w:sz w:val="24"/>
          <w:szCs w:val="24"/>
          <w:lang w:val="en-GB"/>
        </w:rPr>
      </w:pPr>
      <w:r w:rsidRPr="00BB28A0">
        <w:rPr>
          <w:rFonts w:ascii="StobiSerif Regular" w:hAnsi="StobiSerif Regular"/>
          <w:sz w:val="24"/>
          <w:szCs w:val="24"/>
          <w:lang w:val="en-GB"/>
        </w:rPr>
        <w:t>of research infrastructure</w:t>
      </w:r>
      <w:r w:rsidR="00A614BD" w:rsidRPr="00BB28A0">
        <w:rPr>
          <w:rFonts w:ascii="StobiSerif Regular" w:hAnsi="StobiSerif Regular"/>
          <w:sz w:val="24"/>
          <w:szCs w:val="24"/>
          <w:lang w:val="en-GB"/>
        </w:rPr>
        <w:tab/>
      </w:r>
      <w:r w:rsidR="00A614BD" w:rsidRPr="00BB28A0">
        <w:rPr>
          <w:rFonts w:ascii="StobiSerif Regular" w:hAnsi="StobiSerif Regular"/>
          <w:sz w:val="24"/>
          <w:szCs w:val="24"/>
          <w:lang w:val="en-GB"/>
        </w:rPr>
        <w:tab/>
      </w:r>
      <w:r w:rsidR="00A614BD" w:rsidRPr="00BB28A0">
        <w:rPr>
          <w:rFonts w:ascii="StobiSerif Regular" w:hAnsi="StobiSerif Regular"/>
          <w:sz w:val="24"/>
          <w:szCs w:val="24"/>
          <w:lang w:val="en-GB"/>
        </w:rPr>
        <w:tab/>
      </w:r>
      <w:r w:rsidR="00A614BD" w:rsidRPr="00BB28A0">
        <w:rPr>
          <w:rFonts w:ascii="StobiSerif Regular" w:hAnsi="StobiSerif Regular"/>
          <w:sz w:val="24"/>
          <w:szCs w:val="24"/>
          <w:lang w:val="en-GB"/>
        </w:rPr>
        <w:tab/>
      </w:r>
      <w:r w:rsidR="00A614BD" w:rsidRPr="00BB28A0">
        <w:rPr>
          <w:rFonts w:ascii="StobiSerif Regular" w:hAnsi="StobiSerif Regular"/>
          <w:sz w:val="24"/>
          <w:szCs w:val="24"/>
          <w:lang w:val="en-GB"/>
        </w:rPr>
        <w:tab/>
      </w:r>
    </w:p>
    <w:p w14:paraId="373AE7EA" w14:textId="7BAB510B" w:rsidR="00C00B06" w:rsidRPr="00BB28A0" w:rsidRDefault="00ED2FC8" w:rsidP="009F7CA6">
      <w:pPr>
        <w:spacing w:after="0" w:line="240" w:lineRule="auto"/>
        <w:ind w:firstLine="720"/>
        <w:jc w:val="both"/>
        <w:rPr>
          <w:rFonts w:ascii="StobiSerif Regular" w:hAnsi="StobiSerif Regular"/>
          <w:sz w:val="24"/>
          <w:szCs w:val="24"/>
          <w:lang w:val="en-GB"/>
        </w:rPr>
      </w:pPr>
      <w:r w:rsidRPr="00BB28A0">
        <w:rPr>
          <w:rFonts w:ascii="StobiSerif Regular" w:hAnsi="StobiSerif Regular"/>
          <w:sz w:val="24"/>
          <w:szCs w:val="24"/>
          <w:lang w:val="en-GB"/>
        </w:rPr>
        <w:t xml:space="preserve">5.3 </w:t>
      </w:r>
      <w:r w:rsidRPr="00BB28A0">
        <w:rPr>
          <w:rFonts w:ascii="StobiSerif Regular" w:hAnsi="StobiSerif Regular"/>
          <w:sz w:val="24"/>
          <w:szCs w:val="24"/>
          <w:lang w:val="en-GB"/>
        </w:rPr>
        <w:tab/>
      </w:r>
      <w:r w:rsidR="001F5A4D" w:rsidRPr="00BB28A0">
        <w:rPr>
          <w:rFonts w:ascii="StobiSerif Regular" w:hAnsi="StobiSerif Regular"/>
          <w:sz w:val="24"/>
          <w:szCs w:val="24"/>
          <w:lang w:val="en-GB"/>
        </w:rPr>
        <w:t xml:space="preserve">Increase investments in research </w:t>
      </w:r>
      <w:proofErr w:type="spellStart"/>
      <w:r w:rsidR="001F5A4D" w:rsidRPr="00BB28A0">
        <w:rPr>
          <w:rFonts w:ascii="StobiSerif Regular" w:hAnsi="StobiSerif Regular"/>
          <w:sz w:val="24"/>
          <w:szCs w:val="24"/>
          <w:lang w:val="en-GB"/>
        </w:rPr>
        <w:t>infrastrcture</w:t>
      </w:r>
      <w:proofErr w:type="spellEnd"/>
      <w:r w:rsidR="00C00B06" w:rsidRPr="00BB28A0">
        <w:rPr>
          <w:rFonts w:ascii="StobiSerif Regular" w:hAnsi="StobiSerif Regular"/>
          <w:sz w:val="24"/>
          <w:szCs w:val="24"/>
          <w:lang w:val="en-GB"/>
        </w:rPr>
        <w:tab/>
      </w:r>
      <w:r w:rsidR="00C00B06" w:rsidRPr="00BB28A0">
        <w:rPr>
          <w:rFonts w:ascii="StobiSerif Regular" w:hAnsi="StobiSerif Regular"/>
          <w:sz w:val="24"/>
          <w:szCs w:val="24"/>
          <w:lang w:val="en-GB"/>
        </w:rPr>
        <w:tab/>
      </w:r>
      <w:r w:rsidR="00C00B06" w:rsidRPr="00BB28A0">
        <w:rPr>
          <w:rFonts w:ascii="StobiSerif Regular" w:hAnsi="StobiSerif Regular"/>
          <w:sz w:val="24"/>
          <w:szCs w:val="24"/>
          <w:lang w:val="en-GB"/>
        </w:rPr>
        <w:tab/>
        <w:t>2</w:t>
      </w:r>
      <w:r w:rsidR="001F5A4D" w:rsidRPr="00BB28A0">
        <w:rPr>
          <w:rFonts w:ascii="StobiSerif Regular" w:hAnsi="StobiSerif Regular"/>
          <w:sz w:val="24"/>
          <w:szCs w:val="24"/>
          <w:lang w:val="en-GB"/>
        </w:rPr>
        <w:t>1</w:t>
      </w:r>
    </w:p>
    <w:p w14:paraId="1D1A7817" w14:textId="4D8C66EA" w:rsidR="001F5A4D" w:rsidRPr="00BB28A0" w:rsidRDefault="00FA0C3D" w:rsidP="009F7CA6">
      <w:pPr>
        <w:spacing w:after="0" w:line="240" w:lineRule="auto"/>
        <w:ind w:firstLine="720"/>
        <w:jc w:val="both"/>
        <w:rPr>
          <w:rFonts w:ascii="StobiSerif Regular" w:hAnsi="StobiSerif Regular"/>
          <w:sz w:val="24"/>
          <w:szCs w:val="24"/>
          <w:lang w:val="en-GB"/>
        </w:rPr>
      </w:pPr>
      <w:r w:rsidRPr="00BB28A0">
        <w:rPr>
          <w:rFonts w:ascii="StobiSerif Regular" w:hAnsi="StobiSerif Regular"/>
          <w:sz w:val="24"/>
          <w:szCs w:val="24"/>
          <w:lang w:val="en-GB"/>
        </w:rPr>
        <w:t>5.4</w:t>
      </w:r>
      <w:r w:rsidRPr="00BB28A0">
        <w:rPr>
          <w:rFonts w:ascii="StobiSerif Regular" w:hAnsi="StobiSerif Regular"/>
          <w:sz w:val="24"/>
          <w:szCs w:val="24"/>
          <w:lang w:val="en-GB"/>
        </w:rPr>
        <w:tab/>
      </w:r>
      <w:r w:rsidR="001F5A4D" w:rsidRPr="00BB28A0">
        <w:rPr>
          <w:rFonts w:ascii="StobiSerif Regular" w:hAnsi="StobiSerif Regular"/>
          <w:sz w:val="24"/>
          <w:szCs w:val="24"/>
          <w:lang w:val="en-GB"/>
        </w:rPr>
        <w:t>New Research Infrastructure Roadmap</w:t>
      </w:r>
      <w:r w:rsidR="001F5A4D" w:rsidRPr="00BB28A0">
        <w:rPr>
          <w:rFonts w:ascii="StobiSerif Regular" w:hAnsi="StobiSerif Regular"/>
          <w:sz w:val="24"/>
          <w:szCs w:val="24"/>
          <w:lang w:val="en-GB"/>
        </w:rPr>
        <w:tab/>
      </w:r>
      <w:r w:rsidR="00A614BD" w:rsidRPr="00BB28A0">
        <w:rPr>
          <w:rFonts w:ascii="StobiSerif Regular" w:hAnsi="StobiSerif Regular"/>
          <w:sz w:val="24"/>
          <w:szCs w:val="24"/>
          <w:lang w:val="en-GB"/>
        </w:rPr>
        <w:tab/>
      </w:r>
      <w:r w:rsidR="00780E89" w:rsidRPr="00BB28A0">
        <w:rPr>
          <w:rFonts w:ascii="StobiSerif Regular" w:hAnsi="StobiSerif Regular"/>
          <w:sz w:val="24"/>
          <w:szCs w:val="24"/>
          <w:lang w:val="en-GB"/>
        </w:rPr>
        <w:tab/>
      </w:r>
      <w:r w:rsidR="00780E89" w:rsidRPr="00BB28A0">
        <w:rPr>
          <w:rFonts w:ascii="StobiSerif Regular" w:hAnsi="StobiSerif Regular"/>
          <w:sz w:val="24"/>
          <w:szCs w:val="24"/>
          <w:lang w:val="en-GB"/>
        </w:rPr>
        <w:tab/>
        <w:t>2</w:t>
      </w:r>
      <w:r w:rsidR="001F5A4D" w:rsidRPr="00BB28A0">
        <w:rPr>
          <w:rFonts w:ascii="StobiSerif Regular" w:hAnsi="StobiSerif Regular"/>
          <w:sz w:val="24"/>
          <w:szCs w:val="24"/>
          <w:lang w:val="en-GB"/>
        </w:rPr>
        <w:t>1</w:t>
      </w:r>
    </w:p>
    <w:p w14:paraId="3C280FE0" w14:textId="7F81459B" w:rsidR="00FA0C3D" w:rsidRPr="00BB28A0" w:rsidRDefault="00FA0C3D" w:rsidP="009F7CA6">
      <w:pPr>
        <w:spacing w:after="0" w:line="240" w:lineRule="auto"/>
        <w:ind w:firstLine="720"/>
        <w:jc w:val="both"/>
        <w:rPr>
          <w:rFonts w:ascii="StobiSerif Regular" w:hAnsi="StobiSerif Regular"/>
          <w:sz w:val="24"/>
          <w:szCs w:val="24"/>
          <w:lang w:val="en-GB"/>
        </w:rPr>
      </w:pPr>
      <w:r w:rsidRPr="00BB28A0">
        <w:rPr>
          <w:rFonts w:ascii="StobiSerif Regular" w:hAnsi="StobiSerif Regular"/>
          <w:sz w:val="24"/>
          <w:szCs w:val="24"/>
          <w:lang w:val="en-GB"/>
        </w:rPr>
        <w:t xml:space="preserve">5.5 </w:t>
      </w:r>
      <w:r w:rsidRPr="00BB28A0">
        <w:rPr>
          <w:rFonts w:ascii="StobiSerif Regular" w:hAnsi="StobiSerif Regular"/>
          <w:sz w:val="24"/>
          <w:szCs w:val="24"/>
          <w:lang w:val="en-GB"/>
        </w:rPr>
        <w:tab/>
      </w:r>
      <w:r w:rsidR="001F5A4D" w:rsidRPr="00BB28A0">
        <w:rPr>
          <w:rFonts w:ascii="StobiSerif Regular" w:hAnsi="StobiSerif Regular"/>
          <w:sz w:val="24"/>
          <w:szCs w:val="24"/>
          <w:lang w:val="en-GB"/>
        </w:rPr>
        <w:t>Improve the policy framework</w:t>
      </w:r>
      <w:r w:rsidR="001F5A4D" w:rsidRPr="00BB28A0">
        <w:rPr>
          <w:rFonts w:ascii="StobiSerif Regular" w:hAnsi="StobiSerif Regular"/>
          <w:sz w:val="24"/>
          <w:szCs w:val="24"/>
          <w:lang w:val="en-GB"/>
        </w:rPr>
        <w:tab/>
      </w:r>
      <w:r w:rsidR="00780E89" w:rsidRPr="00BB28A0">
        <w:rPr>
          <w:rFonts w:ascii="StobiSerif Regular" w:hAnsi="StobiSerif Regular"/>
          <w:sz w:val="24"/>
          <w:szCs w:val="24"/>
          <w:lang w:val="en-GB"/>
        </w:rPr>
        <w:tab/>
      </w:r>
      <w:r w:rsidR="00780E89" w:rsidRPr="00BB28A0">
        <w:rPr>
          <w:rFonts w:ascii="StobiSerif Regular" w:hAnsi="StobiSerif Regular"/>
          <w:sz w:val="24"/>
          <w:szCs w:val="24"/>
          <w:lang w:val="en-GB"/>
        </w:rPr>
        <w:tab/>
      </w:r>
      <w:r w:rsidR="00780E89" w:rsidRPr="00BB28A0">
        <w:rPr>
          <w:rFonts w:ascii="StobiSerif Regular" w:hAnsi="StobiSerif Regular"/>
          <w:sz w:val="24"/>
          <w:szCs w:val="24"/>
          <w:lang w:val="en-GB"/>
        </w:rPr>
        <w:tab/>
      </w:r>
      <w:r w:rsidR="00780E89" w:rsidRPr="00BB28A0">
        <w:rPr>
          <w:rFonts w:ascii="StobiSerif Regular" w:hAnsi="StobiSerif Regular"/>
          <w:sz w:val="24"/>
          <w:szCs w:val="24"/>
          <w:lang w:val="en-GB"/>
        </w:rPr>
        <w:tab/>
        <w:t>2</w:t>
      </w:r>
      <w:r w:rsidR="001F5A4D" w:rsidRPr="00BB28A0">
        <w:rPr>
          <w:rFonts w:ascii="StobiSerif Regular" w:hAnsi="StobiSerif Regular"/>
          <w:sz w:val="24"/>
          <w:szCs w:val="24"/>
          <w:lang w:val="en-GB"/>
        </w:rPr>
        <w:t>2</w:t>
      </w:r>
    </w:p>
    <w:p w14:paraId="1C3E488A" w14:textId="5DF096EF" w:rsidR="0079633D" w:rsidRPr="00BB28A0" w:rsidRDefault="00FA0C3D" w:rsidP="009F7CA6">
      <w:pPr>
        <w:spacing w:after="0" w:line="240" w:lineRule="auto"/>
        <w:ind w:firstLine="720"/>
        <w:jc w:val="both"/>
        <w:rPr>
          <w:rFonts w:ascii="StobiSerif Regular" w:hAnsi="StobiSerif Regular"/>
          <w:sz w:val="24"/>
          <w:szCs w:val="24"/>
          <w:lang w:val="en-GB"/>
        </w:rPr>
      </w:pPr>
      <w:r w:rsidRPr="00BB28A0">
        <w:rPr>
          <w:rFonts w:ascii="StobiSerif Regular" w:hAnsi="StobiSerif Regular"/>
          <w:sz w:val="24"/>
          <w:szCs w:val="24"/>
          <w:lang w:val="en-GB"/>
        </w:rPr>
        <w:t>5.6</w:t>
      </w:r>
      <w:r w:rsidRPr="00BB28A0">
        <w:rPr>
          <w:rFonts w:ascii="StobiSerif Regular" w:hAnsi="StobiSerif Regular"/>
          <w:sz w:val="24"/>
          <w:szCs w:val="24"/>
          <w:lang w:val="en-GB"/>
        </w:rPr>
        <w:tab/>
      </w:r>
      <w:r w:rsidR="001F5A4D" w:rsidRPr="00BB28A0">
        <w:rPr>
          <w:rFonts w:ascii="StobiSerif Regular" w:hAnsi="StobiSerif Regular"/>
          <w:sz w:val="24"/>
          <w:szCs w:val="24"/>
          <w:lang w:val="en-GB"/>
        </w:rPr>
        <w:t>Support the development of e-Infrastructure</w:t>
      </w:r>
      <w:r w:rsidR="001766E6" w:rsidRPr="00BB28A0">
        <w:rPr>
          <w:rFonts w:ascii="StobiSerif Regular" w:hAnsi="StobiSerif Regular"/>
          <w:sz w:val="24"/>
          <w:szCs w:val="24"/>
          <w:lang w:val="en-GB"/>
        </w:rPr>
        <w:tab/>
      </w:r>
      <w:r w:rsidR="001F5A4D" w:rsidRPr="00BB28A0">
        <w:rPr>
          <w:rFonts w:ascii="StobiSerif Regular" w:hAnsi="StobiSerif Regular"/>
          <w:sz w:val="24"/>
          <w:szCs w:val="24"/>
          <w:lang w:val="en-GB"/>
        </w:rPr>
        <w:tab/>
      </w:r>
      <w:r w:rsidR="001F5A4D" w:rsidRPr="00BB28A0">
        <w:rPr>
          <w:rFonts w:ascii="StobiSerif Regular" w:hAnsi="StobiSerif Regular"/>
          <w:sz w:val="24"/>
          <w:szCs w:val="24"/>
          <w:lang w:val="en-GB"/>
        </w:rPr>
        <w:tab/>
      </w:r>
      <w:r w:rsidR="001F5A4D" w:rsidRPr="00BB28A0">
        <w:rPr>
          <w:rFonts w:ascii="StobiSerif Regular" w:hAnsi="StobiSerif Regular"/>
          <w:sz w:val="24"/>
          <w:szCs w:val="24"/>
          <w:lang w:val="en-GB"/>
        </w:rPr>
        <w:tab/>
        <w:t>22</w:t>
      </w:r>
    </w:p>
    <w:p w14:paraId="0C38FBD7" w14:textId="4A047871" w:rsidR="0079633D" w:rsidRPr="00BB28A0" w:rsidRDefault="0079633D" w:rsidP="009F7CA6">
      <w:pPr>
        <w:spacing w:after="0" w:line="240" w:lineRule="auto"/>
        <w:ind w:firstLine="720"/>
        <w:jc w:val="both"/>
        <w:rPr>
          <w:rFonts w:ascii="StobiSerif Regular" w:hAnsi="StobiSerif Regular"/>
          <w:sz w:val="24"/>
          <w:szCs w:val="24"/>
          <w:lang w:val="en-GB"/>
        </w:rPr>
      </w:pPr>
      <w:r w:rsidRPr="00BB28A0">
        <w:rPr>
          <w:rFonts w:ascii="StobiSerif Regular" w:hAnsi="StobiSerif Regular"/>
          <w:sz w:val="24"/>
          <w:szCs w:val="24"/>
          <w:lang w:val="en-GB"/>
        </w:rPr>
        <w:t>5.7</w:t>
      </w:r>
      <w:r w:rsidRPr="00BB28A0">
        <w:rPr>
          <w:rFonts w:ascii="StobiSerif Regular" w:hAnsi="StobiSerif Regular"/>
          <w:sz w:val="24"/>
          <w:szCs w:val="24"/>
          <w:lang w:val="en-GB"/>
        </w:rPr>
        <w:tab/>
      </w:r>
      <w:r w:rsidR="001766E6" w:rsidRPr="00BB28A0">
        <w:rPr>
          <w:rFonts w:ascii="StobiSerif Regular" w:hAnsi="StobiSerif Regular"/>
          <w:sz w:val="24"/>
          <w:szCs w:val="24"/>
          <w:lang w:val="en-GB"/>
        </w:rPr>
        <w:t>Participation in Large European Research Infrastructures</w:t>
      </w:r>
      <w:r w:rsidR="008E48A5" w:rsidRPr="00BB28A0">
        <w:rPr>
          <w:rFonts w:ascii="StobiSerif Regular" w:hAnsi="StobiSerif Regular"/>
          <w:sz w:val="24"/>
          <w:szCs w:val="24"/>
          <w:lang w:val="en-GB"/>
        </w:rPr>
        <w:tab/>
      </w:r>
      <w:r w:rsidR="008E48A5" w:rsidRPr="00BB28A0">
        <w:rPr>
          <w:rFonts w:ascii="StobiSerif Regular" w:hAnsi="StobiSerif Regular"/>
          <w:sz w:val="24"/>
          <w:szCs w:val="24"/>
          <w:lang w:val="en-GB"/>
        </w:rPr>
        <w:tab/>
        <w:t>2</w:t>
      </w:r>
      <w:r w:rsidR="001766E6" w:rsidRPr="00BB28A0">
        <w:rPr>
          <w:rFonts w:ascii="StobiSerif Regular" w:hAnsi="StobiSerif Regular"/>
          <w:sz w:val="24"/>
          <w:szCs w:val="24"/>
          <w:lang w:val="en-GB"/>
        </w:rPr>
        <w:t>3</w:t>
      </w:r>
    </w:p>
    <w:p w14:paraId="4419E39D" w14:textId="6775A45E" w:rsidR="003B0006" w:rsidRPr="00BB28A0" w:rsidRDefault="003B0006" w:rsidP="009F7CA6">
      <w:pPr>
        <w:spacing w:after="0" w:line="240" w:lineRule="auto"/>
        <w:ind w:firstLine="720"/>
        <w:jc w:val="both"/>
        <w:rPr>
          <w:rFonts w:ascii="StobiSerif Regular" w:hAnsi="StobiSerif Regular"/>
          <w:sz w:val="24"/>
          <w:szCs w:val="24"/>
          <w:lang w:val="en-GB"/>
        </w:rPr>
      </w:pPr>
      <w:r w:rsidRPr="00BB28A0">
        <w:rPr>
          <w:rFonts w:ascii="StobiSerif Regular" w:hAnsi="StobiSerif Regular"/>
          <w:sz w:val="24"/>
          <w:szCs w:val="24"/>
          <w:lang w:val="en-GB"/>
        </w:rPr>
        <w:t xml:space="preserve">5.7.1  </w:t>
      </w:r>
      <w:r w:rsidR="00D80AD9" w:rsidRPr="00BB28A0">
        <w:rPr>
          <w:rFonts w:ascii="StobiSerif Regular" w:hAnsi="StobiSerif Regular"/>
          <w:sz w:val="24"/>
          <w:szCs w:val="24"/>
          <w:lang w:val="en-GB"/>
        </w:rPr>
        <w:tab/>
      </w:r>
      <w:r w:rsidR="001766E6" w:rsidRPr="00BB28A0">
        <w:rPr>
          <w:rFonts w:ascii="StobiSerif Regular" w:hAnsi="StobiSerif Regular"/>
          <w:sz w:val="24"/>
          <w:szCs w:val="24"/>
          <w:lang w:val="en-GB"/>
        </w:rPr>
        <w:t>Proposals for the potential participation</w:t>
      </w:r>
      <w:r w:rsidR="001766E6" w:rsidRPr="00BB28A0">
        <w:rPr>
          <w:rFonts w:ascii="StobiSerif Regular" w:hAnsi="StobiSerif Regular"/>
          <w:sz w:val="24"/>
          <w:szCs w:val="24"/>
          <w:lang w:val="en-GB"/>
        </w:rPr>
        <w:tab/>
      </w:r>
      <w:r w:rsidR="001766E6" w:rsidRPr="00BB28A0">
        <w:rPr>
          <w:rFonts w:ascii="StobiSerif Regular" w:hAnsi="StobiSerif Regular"/>
          <w:sz w:val="24"/>
          <w:szCs w:val="24"/>
          <w:lang w:val="en-GB"/>
        </w:rPr>
        <w:tab/>
      </w:r>
      <w:r w:rsidRPr="00BB28A0">
        <w:rPr>
          <w:rFonts w:ascii="StobiSerif Regular" w:hAnsi="StobiSerif Regular"/>
          <w:sz w:val="24"/>
          <w:szCs w:val="24"/>
          <w:lang w:val="en-GB"/>
        </w:rPr>
        <w:t xml:space="preserve"> </w:t>
      </w:r>
      <w:r w:rsidRPr="00BB28A0">
        <w:rPr>
          <w:rFonts w:ascii="StobiSerif Regular" w:hAnsi="StobiSerif Regular"/>
          <w:sz w:val="24"/>
          <w:szCs w:val="24"/>
          <w:lang w:val="en-GB"/>
        </w:rPr>
        <w:tab/>
      </w:r>
      <w:r w:rsidRPr="00BB28A0">
        <w:rPr>
          <w:rFonts w:ascii="StobiSerif Regular" w:hAnsi="StobiSerif Regular"/>
          <w:sz w:val="24"/>
          <w:szCs w:val="24"/>
          <w:lang w:val="en-GB"/>
        </w:rPr>
        <w:tab/>
      </w:r>
      <w:r w:rsidR="001766E6" w:rsidRPr="00BB28A0">
        <w:rPr>
          <w:rFonts w:ascii="StobiSerif Regular" w:hAnsi="StobiSerif Regular"/>
          <w:sz w:val="24"/>
          <w:szCs w:val="24"/>
          <w:lang w:val="en-GB"/>
        </w:rPr>
        <w:t>24</w:t>
      </w:r>
    </w:p>
    <w:p w14:paraId="515B695B" w14:textId="5D29D261" w:rsidR="003B0006" w:rsidRPr="00BB28A0" w:rsidRDefault="001766E6" w:rsidP="009F7CA6">
      <w:pPr>
        <w:spacing w:after="0" w:line="240" w:lineRule="auto"/>
        <w:ind w:left="720" w:firstLine="720"/>
        <w:jc w:val="both"/>
        <w:rPr>
          <w:rFonts w:ascii="StobiSerif Regular" w:hAnsi="StobiSerif Regular"/>
          <w:sz w:val="24"/>
          <w:szCs w:val="24"/>
          <w:lang w:val="en-GB"/>
        </w:rPr>
      </w:pPr>
      <w:r w:rsidRPr="00BB28A0">
        <w:rPr>
          <w:rFonts w:ascii="StobiSerif Regular" w:hAnsi="StobiSerif Regular"/>
          <w:sz w:val="24"/>
          <w:szCs w:val="24"/>
          <w:lang w:val="en-GB"/>
        </w:rPr>
        <w:t xml:space="preserve">of institutions from the Republic of North Macedonia </w:t>
      </w:r>
    </w:p>
    <w:p w14:paraId="7BF508CA" w14:textId="022C6174" w:rsidR="003B0006" w:rsidRPr="00BB28A0" w:rsidRDefault="001766E6" w:rsidP="009F7CA6">
      <w:pPr>
        <w:spacing w:after="0" w:line="240" w:lineRule="auto"/>
        <w:ind w:left="720" w:firstLine="720"/>
        <w:jc w:val="both"/>
        <w:rPr>
          <w:rFonts w:ascii="StobiSerif Regular" w:hAnsi="StobiSerif Regular"/>
          <w:sz w:val="24"/>
          <w:szCs w:val="24"/>
          <w:lang w:val="en-GB"/>
        </w:rPr>
      </w:pPr>
      <w:r w:rsidRPr="00BB28A0">
        <w:rPr>
          <w:rFonts w:ascii="StobiSerif Regular" w:hAnsi="StobiSerif Regular"/>
          <w:sz w:val="24"/>
          <w:szCs w:val="24"/>
          <w:lang w:val="en-GB"/>
        </w:rPr>
        <w:t>in major European infrastructures</w:t>
      </w:r>
    </w:p>
    <w:p w14:paraId="1E72D639" w14:textId="6F814D84" w:rsidR="003B0006" w:rsidRPr="00BB28A0" w:rsidRDefault="0079633D" w:rsidP="009F7CA6">
      <w:pPr>
        <w:spacing w:after="0" w:line="240" w:lineRule="auto"/>
        <w:ind w:firstLine="720"/>
        <w:jc w:val="both"/>
        <w:rPr>
          <w:rFonts w:ascii="StobiSerif Regular" w:hAnsi="StobiSerif Regular"/>
          <w:sz w:val="24"/>
          <w:szCs w:val="24"/>
          <w:lang w:val="en-GB"/>
        </w:rPr>
      </w:pPr>
      <w:r w:rsidRPr="00BB28A0">
        <w:rPr>
          <w:rFonts w:ascii="StobiSerif Regular" w:hAnsi="StobiSerif Regular"/>
          <w:sz w:val="24"/>
          <w:szCs w:val="24"/>
          <w:lang w:val="en-GB"/>
        </w:rPr>
        <w:t>5.8</w:t>
      </w:r>
      <w:r w:rsidRPr="00BB28A0">
        <w:rPr>
          <w:rFonts w:ascii="StobiSerif Regular" w:hAnsi="StobiSerif Regular"/>
          <w:sz w:val="24"/>
          <w:szCs w:val="24"/>
          <w:lang w:val="en-GB"/>
        </w:rPr>
        <w:tab/>
      </w:r>
      <w:r w:rsidR="001766E6" w:rsidRPr="00BB28A0">
        <w:rPr>
          <w:rFonts w:ascii="StobiSerif Regular" w:hAnsi="StobiSerif Regular"/>
          <w:sz w:val="24"/>
          <w:szCs w:val="24"/>
          <w:lang w:val="en-GB"/>
        </w:rPr>
        <w:t>Create a national portal for research infrastructure</w:t>
      </w:r>
      <w:r w:rsidR="001766E6" w:rsidRPr="00BB28A0">
        <w:rPr>
          <w:rFonts w:ascii="StobiSerif Regular" w:hAnsi="StobiSerif Regular"/>
          <w:sz w:val="24"/>
          <w:szCs w:val="24"/>
          <w:lang w:val="en-GB"/>
        </w:rPr>
        <w:tab/>
      </w:r>
      <w:r w:rsidR="006000D7" w:rsidRPr="00BB28A0">
        <w:rPr>
          <w:rFonts w:ascii="StobiSerif Regular" w:hAnsi="StobiSerif Regular"/>
          <w:sz w:val="24"/>
          <w:szCs w:val="24"/>
          <w:lang w:val="en-GB"/>
        </w:rPr>
        <w:tab/>
      </w:r>
      <w:r w:rsidR="007B25AC" w:rsidRPr="00BB28A0">
        <w:rPr>
          <w:rFonts w:ascii="StobiSerif Regular" w:hAnsi="StobiSerif Regular"/>
          <w:sz w:val="24"/>
          <w:szCs w:val="24"/>
          <w:lang w:val="en-GB"/>
        </w:rPr>
        <w:tab/>
      </w:r>
      <w:r w:rsidR="001766E6" w:rsidRPr="00BB28A0">
        <w:rPr>
          <w:rFonts w:ascii="StobiSerif Regular" w:hAnsi="StobiSerif Regular"/>
          <w:sz w:val="24"/>
          <w:szCs w:val="24"/>
          <w:lang w:val="en-GB"/>
        </w:rPr>
        <w:t>26</w:t>
      </w:r>
    </w:p>
    <w:p w14:paraId="5BB3F92C" w14:textId="7FCE2843" w:rsidR="009F7CA6" w:rsidRPr="00BB28A0" w:rsidRDefault="00330A4A" w:rsidP="003B0006">
      <w:pPr>
        <w:spacing w:after="0" w:line="240" w:lineRule="auto"/>
        <w:ind w:left="720" w:firstLine="720"/>
        <w:jc w:val="both"/>
        <w:rPr>
          <w:rFonts w:ascii="StobiSerif Regular" w:hAnsi="StobiSerif Regular"/>
          <w:sz w:val="24"/>
          <w:szCs w:val="24"/>
          <w:lang w:val="en-GB"/>
        </w:rPr>
      </w:pPr>
      <w:r w:rsidRPr="00BB28A0">
        <w:rPr>
          <w:rFonts w:ascii="StobiSerif Regular" w:hAnsi="StobiSerif Regular"/>
          <w:sz w:val="24"/>
          <w:szCs w:val="24"/>
          <w:lang w:val="en-GB"/>
        </w:rPr>
        <w:t>Appendix</w:t>
      </w:r>
      <w:r w:rsidR="001766E6" w:rsidRPr="00BB28A0">
        <w:rPr>
          <w:rFonts w:ascii="StobiSerif Regular" w:hAnsi="StobiSerif Regular"/>
          <w:sz w:val="24"/>
          <w:szCs w:val="24"/>
          <w:lang w:val="en-GB"/>
        </w:rPr>
        <w:t xml:space="preserve"> 2 Survey questionnaire</w:t>
      </w:r>
      <w:r w:rsidR="005A4E01" w:rsidRPr="00BB28A0">
        <w:rPr>
          <w:rFonts w:ascii="StobiSerif Regular" w:hAnsi="StobiSerif Regular"/>
          <w:sz w:val="24"/>
          <w:szCs w:val="24"/>
          <w:lang w:val="en-GB"/>
        </w:rPr>
        <w:tab/>
      </w:r>
      <w:r w:rsidR="009F17E8" w:rsidRPr="00BB28A0">
        <w:rPr>
          <w:rFonts w:ascii="StobiSerif Regular" w:hAnsi="StobiSerif Regular"/>
          <w:sz w:val="24"/>
          <w:szCs w:val="24"/>
          <w:lang w:val="en-GB"/>
        </w:rPr>
        <w:tab/>
      </w:r>
      <w:r w:rsidR="009F17E8" w:rsidRPr="00BB28A0">
        <w:rPr>
          <w:rFonts w:ascii="StobiSerif Regular" w:hAnsi="StobiSerif Regular"/>
          <w:sz w:val="24"/>
          <w:szCs w:val="24"/>
          <w:lang w:val="en-GB"/>
        </w:rPr>
        <w:tab/>
      </w:r>
      <w:r w:rsidR="009F17E8" w:rsidRPr="00BB28A0">
        <w:rPr>
          <w:rFonts w:ascii="StobiSerif Regular" w:hAnsi="StobiSerif Regular"/>
          <w:sz w:val="24"/>
          <w:szCs w:val="24"/>
          <w:lang w:val="en-GB"/>
        </w:rPr>
        <w:tab/>
      </w:r>
      <w:r w:rsidR="009F17E8" w:rsidRPr="00BB28A0">
        <w:rPr>
          <w:rFonts w:ascii="StobiSerif Regular" w:hAnsi="StobiSerif Regular"/>
          <w:sz w:val="24"/>
          <w:szCs w:val="24"/>
          <w:lang w:val="en-GB"/>
        </w:rPr>
        <w:tab/>
      </w:r>
      <w:r w:rsidR="001766E6" w:rsidRPr="00BB28A0">
        <w:rPr>
          <w:rFonts w:ascii="StobiSerif Regular" w:hAnsi="StobiSerif Regular"/>
          <w:sz w:val="24"/>
          <w:szCs w:val="24"/>
          <w:lang w:val="en-GB"/>
        </w:rPr>
        <w:t>27</w:t>
      </w:r>
    </w:p>
    <w:p w14:paraId="0821E64B" w14:textId="2B28F40D" w:rsidR="00842491" w:rsidRPr="00BB28A0" w:rsidRDefault="009C6FD8" w:rsidP="001666A9">
      <w:pPr>
        <w:pStyle w:val="Heading1"/>
        <w:numPr>
          <w:ilvl w:val="0"/>
          <w:numId w:val="14"/>
        </w:numPr>
        <w:jc w:val="both"/>
        <w:rPr>
          <w:lang w:val="en-GB"/>
        </w:rPr>
      </w:pPr>
      <w:r w:rsidRPr="00BB28A0">
        <w:rPr>
          <w:lang w:val="en-GB"/>
        </w:rPr>
        <w:br w:type="column"/>
      </w:r>
      <w:r w:rsidR="003E33CD" w:rsidRPr="00BB28A0">
        <w:rPr>
          <w:lang w:val="en-GB"/>
        </w:rPr>
        <w:lastRenderedPageBreak/>
        <w:t>INTRODUCTION</w:t>
      </w:r>
    </w:p>
    <w:p w14:paraId="286DD5EC" w14:textId="033FA6EE" w:rsidR="00A73691" w:rsidRPr="00BB28A0" w:rsidRDefault="00A73691" w:rsidP="00795779">
      <w:pPr>
        <w:jc w:val="both"/>
        <w:rPr>
          <w:rFonts w:ascii="StobiSerif Regular" w:hAnsi="StobiSerif Regular"/>
          <w:sz w:val="24"/>
          <w:szCs w:val="24"/>
          <w:lang w:val="en-GB"/>
        </w:rPr>
      </w:pPr>
      <w:r w:rsidRPr="00BB28A0">
        <w:rPr>
          <w:rFonts w:ascii="StobiSerif Regular" w:hAnsi="StobiSerif Regular"/>
          <w:sz w:val="24"/>
          <w:szCs w:val="24"/>
          <w:lang w:val="en-GB"/>
        </w:rPr>
        <w:t>The first version of the Research Infrastructure (RI)</w:t>
      </w:r>
      <w:r w:rsidR="00342580" w:rsidRPr="00BB28A0">
        <w:rPr>
          <w:rStyle w:val="FootnoteReference"/>
          <w:rFonts w:ascii="StobiSerif Regular" w:hAnsi="StobiSerif Regular"/>
          <w:sz w:val="24"/>
          <w:szCs w:val="24"/>
          <w:lang w:val="en-GB"/>
        </w:rPr>
        <w:footnoteReference w:id="1"/>
      </w:r>
      <w:r w:rsidR="00342580" w:rsidRPr="00BB28A0">
        <w:rPr>
          <w:rFonts w:ascii="StobiSerif Regular" w:hAnsi="StobiSerif Regular"/>
          <w:sz w:val="24"/>
          <w:szCs w:val="24"/>
          <w:lang w:val="en-GB"/>
        </w:rPr>
        <w:t xml:space="preserve"> </w:t>
      </w:r>
      <w:r w:rsidRPr="00BB28A0">
        <w:rPr>
          <w:rFonts w:ascii="StobiSerif Regular" w:hAnsi="StobiSerif Regular"/>
          <w:sz w:val="24"/>
          <w:szCs w:val="24"/>
          <w:lang w:val="en-GB"/>
        </w:rPr>
        <w:t>Roadmap was adopted by Decision of the Minister of Education and Science on 2 February 2022, and published on the Ministry’s website. The primary goal of the Roadmap was to present the existing research potential of the Republic of North Macedonia in order to establish the principles for the future development of research infrastructure and to propose recommendations for strengthening the research sector, thus contributing to broader social development. T</w:t>
      </w:r>
      <w:r w:rsidR="00847EF0" w:rsidRPr="00BB28A0">
        <w:rPr>
          <w:rFonts w:ascii="StobiSerif Regular" w:hAnsi="StobiSerif Regular"/>
          <w:sz w:val="24"/>
          <w:szCs w:val="24"/>
          <w:lang w:val="en-GB"/>
        </w:rPr>
        <w:t xml:space="preserve">herefore, </w:t>
      </w:r>
      <w:r w:rsidRPr="00BB28A0">
        <w:rPr>
          <w:rFonts w:ascii="StobiSerif Regular" w:hAnsi="StobiSerif Regular"/>
          <w:sz w:val="24"/>
          <w:szCs w:val="24"/>
          <w:lang w:val="en-GB"/>
        </w:rPr>
        <w:t>the Roadmap serves as a valuable resource for decision-makers and public fund providers, helping them to more effectively leverage investments in research infrastructure</w:t>
      </w:r>
      <w:r w:rsidR="00847EF0" w:rsidRPr="00BB28A0">
        <w:rPr>
          <w:rFonts w:ascii="StobiSerif Regular" w:hAnsi="StobiSerif Regular"/>
          <w:sz w:val="24"/>
          <w:szCs w:val="24"/>
          <w:lang w:val="en-GB"/>
        </w:rPr>
        <w:t>s</w:t>
      </w:r>
      <w:r w:rsidRPr="00BB28A0">
        <w:rPr>
          <w:rFonts w:ascii="StobiSerif Regular" w:hAnsi="StobiSerif Regular"/>
          <w:sz w:val="24"/>
          <w:szCs w:val="24"/>
          <w:lang w:val="en-GB"/>
        </w:rPr>
        <w:t xml:space="preserve"> to ensure their national and </w:t>
      </w:r>
      <w:r w:rsidR="00CD5AF4" w:rsidRPr="00BB28A0">
        <w:rPr>
          <w:rFonts w:ascii="StobiSerif Regular" w:hAnsi="StobiSerif Regular"/>
          <w:sz w:val="24"/>
          <w:szCs w:val="24"/>
          <w:lang w:val="en-GB"/>
        </w:rPr>
        <w:t>international</w:t>
      </w:r>
      <w:r w:rsidRPr="00BB28A0">
        <w:rPr>
          <w:rFonts w:ascii="StobiSerif Regular" w:hAnsi="StobiSerif Regular"/>
          <w:sz w:val="24"/>
          <w:szCs w:val="24"/>
          <w:lang w:val="en-GB"/>
        </w:rPr>
        <w:t xml:space="preserve"> relevance, while also facilitating </w:t>
      </w:r>
      <w:r w:rsidR="00847EF0" w:rsidRPr="00BB28A0">
        <w:rPr>
          <w:rFonts w:ascii="StobiSerif Regular" w:hAnsi="StobiSerif Regular"/>
          <w:sz w:val="24"/>
          <w:szCs w:val="24"/>
          <w:lang w:val="en-GB"/>
        </w:rPr>
        <w:t xml:space="preserve">their </w:t>
      </w:r>
      <w:r w:rsidRPr="00BB28A0">
        <w:rPr>
          <w:rFonts w:ascii="StobiSerif Regular" w:hAnsi="StobiSerif Regular"/>
          <w:sz w:val="24"/>
          <w:szCs w:val="24"/>
          <w:lang w:val="en-GB"/>
        </w:rPr>
        <w:t>accessibility for the entire research and business community within the national economy and beyond.</w:t>
      </w:r>
    </w:p>
    <w:p w14:paraId="3D0F5A8C" w14:textId="2513F5E1" w:rsidR="00A73691" w:rsidRPr="00BB28A0" w:rsidRDefault="00A73691" w:rsidP="00795779">
      <w:pPr>
        <w:jc w:val="both"/>
        <w:rPr>
          <w:rFonts w:ascii="StobiSerif Regular" w:hAnsi="StobiSerif Regular"/>
          <w:sz w:val="24"/>
          <w:szCs w:val="24"/>
          <w:lang w:val="en-GB"/>
        </w:rPr>
      </w:pPr>
      <w:r w:rsidRPr="00BB28A0">
        <w:rPr>
          <w:rFonts w:ascii="StobiSerif Regular" w:hAnsi="StobiSerif Regular"/>
          <w:sz w:val="24"/>
          <w:szCs w:val="24"/>
          <w:lang w:val="en-GB"/>
        </w:rPr>
        <w:t xml:space="preserve">The document content outlined the state of the research sector in the Republic of North Macedonia as of 2021. It indicated that total government investments in research and development were not very high, and that there was limited progress in developing large research infrastructures. </w:t>
      </w:r>
    </w:p>
    <w:p w14:paraId="590039E7" w14:textId="33F445DE" w:rsidR="00A73691" w:rsidRPr="00BB28A0" w:rsidRDefault="00A73691" w:rsidP="00A73691">
      <w:pPr>
        <w:jc w:val="both"/>
        <w:rPr>
          <w:rFonts w:ascii="StobiSerif Regular" w:hAnsi="StobiSerif Regular"/>
          <w:sz w:val="24"/>
          <w:szCs w:val="24"/>
          <w:lang w:val="en-GB"/>
        </w:rPr>
      </w:pPr>
      <w:r w:rsidRPr="00BB28A0">
        <w:rPr>
          <w:rFonts w:ascii="StobiSerif Regular" w:hAnsi="StobiSerif Regular"/>
          <w:sz w:val="24"/>
          <w:szCs w:val="24"/>
          <w:lang w:val="en-GB"/>
        </w:rPr>
        <w:t xml:space="preserve">Given the Republic of North Macedonia's modest </w:t>
      </w:r>
      <w:r w:rsidR="00847EF0" w:rsidRPr="00BB28A0">
        <w:rPr>
          <w:rFonts w:ascii="StobiSerif Regular" w:hAnsi="StobiSerif Regular"/>
          <w:sz w:val="24"/>
          <w:szCs w:val="24"/>
          <w:lang w:val="en-GB"/>
        </w:rPr>
        <w:t xml:space="preserve">participation </w:t>
      </w:r>
      <w:r w:rsidRPr="00BB28A0">
        <w:rPr>
          <w:rFonts w:ascii="StobiSerif Regular" w:hAnsi="StobiSerif Regular"/>
          <w:sz w:val="24"/>
          <w:szCs w:val="24"/>
          <w:lang w:val="en-GB"/>
        </w:rPr>
        <w:t xml:space="preserve">in large pan-European research infrastructures, this document is organized to map the research equipment, capacities, and laboratories that </w:t>
      </w:r>
      <w:r w:rsidR="00BB28A0" w:rsidRPr="00BB28A0">
        <w:rPr>
          <w:rFonts w:ascii="StobiSerif Regular" w:hAnsi="StobiSerif Regular"/>
          <w:sz w:val="24"/>
          <w:szCs w:val="24"/>
          <w:lang w:val="en-GB"/>
        </w:rPr>
        <w:t>operate</w:t>
      </w:r>
      <w:r w:rsidR="00847EF0" w:rsidRPr="00BB28A0">
        <w:rPr>
          <w:rFonts w:ascii="StobiSerif Regular" w:hAnsi="StobiSerif Regular"/>
          <w:sz w:val="24"/>
          <w:szCs w:val="24"/>
          <w:lang w:val="en-GB"/>
        </w:rPr>
        <w:t xml:space="preserve"> </w:t>
      </w:r>
      <w:r w:rsidRPr="00BB28A0">
        <w:rPr>
          <w:rFonts w:ascii="StobiSerif Regular" w:hAnsi="StobiSerif Regular"/>
          <w:sz w:val="24"/>
          <w:szCs w:val="24"/>
          <w:lang w:val="en-GB"/>
        </w:rPr>
        <w:t xml:space="preserve">within universities and research institutes. Additionally, it highlights the research potential as demonstrated by participation in international research projects that are relevant </w:t>
      </w:r>
      <w:r w:rsidR="008C2CA6" w:rsidRPr="00BB28A0">
        <w:rPr>
          <w:rFonts w:ascii="StobiSerif Regular" w:hAnsi="StobiSerif Regular"/>
          <w:sz w:val="24"/>
          <w:szCs w:val="24"/>
          <w:lang w:val="en-GB"/>
        </w:rPr>
        <w:t xml:space="preserve">for the development of </w:t>
      </w:r>
      <w:r w:rsidRPr="00BB28A0">
        <w:rPr>
          <w:rFonts w:ascii="StobiSerif Regular" w:hAnsi="StobiSerif Regular"/>
          <w:sz w:val="24"/>
          <w:szCs w:val="24"/>
          <w:lang w:val="en-GB"/>
        </w:rPr>
        <w:t xml:space="preserve">research infrastructure. </w:t>
      </w:r>
    </w:p>
    <w:p w14:paraId="4AEFFA36" w14:textId="4C42137A" w:rsidR="009C7A76" w:rsidRPr="00BB28A0" w:rsidRDefault="00847EF0" w:rsidP="009C7A76">
      <w:pPr>
        <w:jc w:val="both"/>
        <w:rPr>
          <w:rFonts w:ascii="StobiSerif Regular" w:hAnsi="StobiSerif Regular"/>
          <w:sz w:val="24"/>
          <w:szCs w:val="24"/>
          <w:lang w:val="en-GB"/>
        </w:rPr>
      </w:pPr>
      <w:r w:rsidRPr="00BB28A0">
        <w:rPr>
          <w:rFonts w:ascii="StobiSerif Regular" w:hAnsi="StobiSerif Regular"/>
          <w:sz w:val="24"/>
          <w:szCs w:val="24"/>
          <w:lang w:val="en-GB"/>
        </w:rPr>
        <w:t>The existing R</w:t>
      </w:r>
      <w:r w:rsidR="00662120" w:rsidRPr="00BB28A0">
        <w:rPr>
          <w:rFonts w:ascii="StobiSerif Regular" w:hAnsi="StobiSerif Regular"/>
          <w:sz w:val="24"/>
          <w:szCs w:val="24"/>
          <w:lang w:val="en-GB"/>
        </w:rPr>
        <w:t xml:space="preserve">oadmap serves as a solid foundation for further analysis. </w:t>
      </w:r>
      <w:r w:rsidR="009C7A76" w:rsidRPr="00BB28A0">
        <w:rPr>
          <w:rFonts w:ascii="StobiSerif Regular" w:hAnsi="StobiSerif Regular"/>
          <w:sz w:val="24"/>
          <w:szCs w:val="24"/>
          <w:lang w:val="en-GB"/>
        </w:rPr>
        <w:t>This document contains information on capital equipment up to the year 2021, and there is an urgent need for this information to be updated, while the new research infrastructure will be</w:t>
      </w:r>
      <w:r w:rsidRPr="00BB28A0">
        <w:rPr>
          <w:rFonts w:ascii="StobiSerif Regular" w:hAnsi="StobiSerif Regular"/>
          <w:sz w:val="24"/>
          <w:szCs w:val="24"/>
          <w:lang w:val="en-GB"/>
        </w:rPr>
        <w:t xml:space="preserve"> documented in the forthcoming R</w:t>
      </w:r>
      <w:r w:rsidR="009C7A76" w:rsidRPr="00BB28A0">
        <w:rPr>
          <w:rFonts w:ascii="StobiSerif Regular" w:hAnsi="StobiSerif Regular"/>
          <w:sz w:val="24"/>
          <w:szCs w:val="24"/>
          <w:lang w:val="en-GB"/>
        </w:rPr>
        <w:t>oadmap. Furthermore, laboratories and equipment that serve a Science2Business purpose wi</w:t>
      </w:r>
      <w:r w:rsidRPr="00BB28A0">
        <w:rPr>
          <w:rFonts w:ascii="StobiSerif Regular" w:hAnsi="StobiSerif Regular"/>
          <w:sz w:val="24"/>
          <w:szCs w:val="24"/>
          <w:lang w:val="en-GB"/>
        </w:rPr>
        <w:t>ll also be included in the new R</w:t>
      </w:r>
      <w:r w:rsidR="009C7A76" w:rsidRPr="00BB28A0">
        <w:rPr>
          <w:rFonts w:ascii="StobiSerif Regular" w:hAnsi="StobiSerif Regular"/>
          <w:sz w:val="24"/>
          <w:szCs w:val="24"/>
          <w:lang w:val="en-GB"/>
        </w:rPr>
        <w:t xml:space="preserve">oadmap. </w:t>
      </w:r>
    </w:p>
    <w:p w14:paraId="01366C70" w14:textId="5F9E314A" w:rsidR="00081D1F" w:rsidRPr="00BB28A0" w:rsidRDefault="009C7A76" w:rsidP="009C7A76">
      <w:pPr>
        <w:pStyle w:val="Heading1"/>
        <w:numPr>
          <w:ilvl w:val="0"/>
          <w:numId w:val="14"/>
        </w:numPr>
        <w:rPr>
          <w:lang w:val="en-GB"/>
        </w:rPr>
      </w:pPr>
      <w:r w:rsidRPr="00BB28A0">
        <w:rPr>
          <w:lang w:val="en-GB"/>
        </w:rPr>
        <w:t>Need for revision/update</w:t>
      </w:r>
    </w:p>
    <w:p w14:paraId="675FBCE4" w14:textId="77777777" w:rsidR="00B35B3E" w:rsidRPr="00BB28A0" w:rsidRDefault="00B35B3E" w:rsidP="00081D1F">
      <w:pPr>
        <w:jc w:val="both"/>
        <w:rPr>
          <w:rFonts w:ascii="StobiSerif Regular" w:hAnsi="StobiSerif Regular"/>
          <w:sz w:val="24"/>
          <w:szCs w:val="24"/>
          <w:lang w:val="en-GB"/>
        </w:rPr>
      </w:pPr>
      <w:r w:rsidRPr="00BB28A0">
        <w:rPr>
          <w:rFonts w:ascii="StobiSerif Regular" w:hAnsi="StobiSerif Regular"/>
          <w:sz w:val="24"/>
          <w:szCs w:val="24"/>
          <w:lang w:val="en-GB"/>
        </w:rPr>
        <w:t>The adoption of the Smart Specialization Strategy for 2024-2027 entails the identification of the country's potential and priority areas that are considered as directions for strategic interventions within the specified development segments of the overall research, science, and innovation system. It is essential to align the Roadmap with this Strategy to ensure conformity with these determined priorities that establish a new trajectory for national investments aimed at enhancing research and innovation potential, thereby facilitating rapid economic development.</w:t>
      </w:r>
    </w:p>
    <w:p w14:paraId="0A52BC24" w14:textId="4E5536DB" w:rsidR="00985133" w:rsidRPr="00BB28A0" w:rsidRDefault="00985133" w:rsidP="00081D1F">
      <w:pPr>
        <w:jc w:val="both"/>
        <w:rPr>
          <w:rFonts w:ascii="StobiSerif Regular" w:hAnsi="StobiSerif Regular"/>
          <w:sz w:val="24"/>
          <w:szCs w:val="24"/>
          <w:lang w:val="en-GB"/>
        </w:rPr>
      </w:pPr>
      <w:bookmarkStart w:id="0" w:name="_Hlk193708581"/>
      <w:r w:rsidRPr="00BB28A0">
        <w:rPr>
          <w:rFonts w:ascii="StobiSerif Regular" w:hAnsi="StobiSerif Regular"/>
          <w:sz w:val="24"/>
          <w:szCs w:val="24"/>
          <w:lang w:val="en-GB"/>
        </w:rPr>
        <w:t xml:space="preserve">The data </w:t>
      </w:r>
      <w:r w:rsidR="00DB0E89" w:rsidRPr="00BB28A0">
        <w:rPr>
          <w:rFonts w:ascii="StobiSerif Regular" w:hAnsi="StobiSerif Regular"/>
          <w:sz w:val="24"/>
          <w:szCs w:val="24"/>
          <w:lang w:val="en-GB"/>
        </w:rPr>
        <w:t xml:space="preserve">included </w:t>
      </w:r>
      <w:r w:rsidRPr="00BB28A0">
        <w:rPr>
          <w:rFonts w:ascii="StobiSerif Regular" w:hAnsi="StobiSerif Regular"/>
          <w:sz w:val="24"/>
          <w:szCs w:val="24"/>
          <w:lang w:val="en-GB"/>
        </w:rPr>
        <w:t xml:space="preserve">in the Roadmap was gathered in 2021 through a comprehensive process of data collection and analysis for mapping the equipment. As more than three years have elapsed, it is understandable that the condition and status of the equipment and laboratories may have changed. In light of this, at the end of 2024, the Ministry of Education and Science initiated a revision of the Roadmap to ensure it is </w:t>
      </w:r>
      <w:r w:rsidR="00342580" w:rsidRPr="00BB28A0">
        <w:rPr>
          <w:rFonts w:ascii="StobiSerif Regular" w:hAnsi="StobiSerif Regular"/>
          <w:sz w:val="24"/>
          <w:szCs w:val="24"/>
          <w:lang w:val="en-GB"/>
        </w:rPr>
        <w:t xml:space="preserve">adequately reflects </w:t>
      </w:r>
      <w:r w:rsidRPr="00BB28A0">
        <w:rPr>
          <w:rFonts w:ascii="StobiSerif Regular" w:hAnsi="StobiSerif Regular"/>
          <w:sz w:val="24"/>
          <w:szCs w:val="24"/>
          <w:lang w:val="en-GB"/>
        </w:rPr>
        <w:t xml:space="preserve">the current </w:t>
      </w:r>
      <w:r w:rsidR="00342580" w:rsidRPr="00BB28A0">
        <w:rPr>
          <w:rFonts w:ascii="StobiSerif Regular" w:hAnsi="StobiSerif Regular"/>
          <w:sz w:val="24"/>
          <w:szCs w:val="24"/>
          <w:lang w:val="en-GB"/>
        </w:rPr>
        <w:t>situation</w:t>
      </w:r>
      <w:r w:rsidRPr="00BB28A0">
        <w:rPr>
          <w:rFonts w:ascii="StobiSerif Regular" w:hAnsi="StobiSerif Regular"/>
          <w:sz w:val="24"/>
          <w:szCs w:val="24"/>
          <w:lang w:val="en-GB"/>
        </w:rPr>
        <w:t>.</w:t>
      </w:r>
    </w:p>
    <w:p w14:paraId="31604EE2" w14:textId="75482929" w:rsidR="00CD5AF4" w:rsidRPr="00BB28A0" w:rsidRDefault="00CD5AF4" w:rsidP="00081D1F">
      <w:pPr>
        <w:jc w:val="both"/>
        <w:rPr>
          <w:rFonts w:ascii="StobiSerif Regular" w:hAnsi="StobiSerif Regular"/>
          <w:sz w:val="24"/>
          <w:szCs w:val="24"/>
          <w:lang w:val="en-GB"/>
        </w:rPr>
      </w:pPr>
      <w:bookmarkStart w:id="1" w:name="_Hlk190684947"/>
      <w:bookmarkEnd w:id="0"/>
      <w:r w:rsidRPr="00BB28A0">
        <w:rPr>
          <w:rFonts w:ascii="StobiSerif Regular" w:hAnsi="StobiSerif Regular"/>
          <w:sz w:val="24"/>
          <w:szCs w:val="24"/>
          <w:lang w:val="en-GB"/>
        </w:rPr>
        <w:lastRenderedPageBreak/>
        <w:t>The new data analysis will facilitate optimized utilization of our existing infrastructure, promote the rational utilization of laboratories, and support the future development of planned research capacities. The insights gained from this revision will provide invaluable data for the Ministry of Education and Science, offering a detailed overview of the current state of laboratories. This will enable informed predictions regarding future investments of public funds and provide strategic directions for integrating into international research infrastructures. The assessment of the current state and the overall current research infrastructure available in the country will serve as the basis for the development of a new Research Infrastructure Roadmap. This Roadmap will align with the objectives and priorities outlined in the Smart Specialization Strategy and will include an action plan detailing specific activities and measures, implementation period, timelines, responsible institutions and funding requirements for infrastructure development.</w:t>
      </w:r>
    </w:p>
    <w:bookmarkEnd w:id="1"/>
    <w:p w14:paraId="37C5BF2B" w14:textId="7D945B7E" w:rsidR="00D11B06" w:rsidRPr="00BB28A0" w:rsidRDefault="00D11B06" w:rsidP="0089663E">
      <w:pPr>
        <w:jc w:val="both"/>
        <w:rPr>
          <w:rFonts w:ascii="StobiSerif Regular" w:hAnsi="StobiSerif Regular"/>
          <w:sz w:val="24"/>
          <w:szCs w:val="24"/>
          <w:lang w:val="en-GB"/>
        </w:rPr>
      </w:pPr>
      <w:r w:rsidRPr="00BB28A0">
        <w:rPr>
          <w:rFonts w:ascii="StobiSerif Regular" w:hAnsi="StobiSerif Regular"/>
          <w:sz w:val="24"/>
          <w:szCs w:val="24"/>
          <w:lang w:val="en-GB"/>
        </w:rPr>
        <w:t>In line with the EU Framework Programme for Research and Innovation, the Republic of North Macedonia h</w:t>
      </w:r>
      <w:r w:rsidR="00342580" w:rsidRPr="00BB28A0">
        <w:rPr>
          <w:rFonts w:ascii="StobiSerif Regular" w:hAnsi="StobiSerif Regular"/>
          <w:sz w:val="24"/>
          <w:szCs w:val="24"/>
          <w:lang w:val="en-GB"/>
        </w:rPr>
        <w:t xml:space="preserve">as </w:t>
      </w:r>
      <w:r w:rsidRPr="00BB28A0">
        <w:rPr>
          <w:rFonts w:ascii="StobiSerif Regular" w:hAnsi="StobiSerif Regular"/>
          <w:sz w:val="24"/>
          <w:szCs w:val="24"/>
          <w:lang w:val="en-GB"/>
        </w:rPr>
        <w:t>international obligations stemming from its European integration process. The science policy is continuously aligned with the requirements for accession to the European Union, particularly Chapter 25: Science and Research</w:t>
      </w:r>
      <w:r w:rsidR="00342580" w:rsidRPr="00BB28A0">
        <w:rPr>
          <w:rStyle w:val="FootnoteReference"/>
          <w:rFonts w:ascii="StobiSerif Regular" w:hAnsi="StobiSerif Regular"/>
          <w:sz w:val="24"/>
          <w:szCs w:val="24"/>
          <w:lang w:val="en-GB"/>
        </w:rPr>
        <w:footnoteReference w:id="2"/>
      </w:r>
      <w:r w:rsidRPr="00BB28A0">
        <w:rPr>
          <w:rFonts w:ascii="StobiSerif Regular" w:hAnsi="StobiSerif Regular"/>
          <w:sz w:val="24"/>
          <w:szCs w:val="24"/>
          <w:lang w:val="en-GB"/>
        </w:rPr>
        <w:t>. During the screening conducted with the European Union in 2023, it was concluded that this chapter has a "soft" acquis</w:t>
      </w:r>
      <w:r w:rsidR="00B80D1C" w:rsidRPr="00BB28A0">
        <w:rPr>
          <w:rStyle w:val="FootnoteReference"/>
          <w:rFonts w:ascii="StobiSerif Regular" w:hAnsi="StobiSerif Regular"/>
          <w:sz w:val="24"/>
          <w:szCs w:val="24"/>
          <w:lang w:val="en-GB"/>
        </w:rPr>
        <w:footnoteReference w:id="3"/>
      </w:r>
      <w:r w:rsidR="00B80D1C" w:rsidRPr="00BB28A0">
        <w:rPr>
          <w:rFonts w:ascii="StobiSerif Regular" w:hAnsi="StobiSerif Regular"/>
          <w:sz w:val="24"/>
          <w:szCs w:val="24"/>
          <w:lang w:val="en-GB"/>
        </w:rPr>
        <w:t>,</w:t>
      </w:r>
      <w:r w:rsidRPr="00BB28A0">
        <w:rPr>
          <w:rFonts w:ascii="StobiSerif Regular" w:hAnsi="StobiSerif Regular"/>
          <w:sz w:val="24"/>
          <w:szCs w:val="24"/>
          <w:lang w:val="en-GB"/>
        </w:rPr>
        <w:t xml:space="preserve"> </w:t>
      </w:r>
      <w:r w:rsidR="00B80D1C" w:rsidRPr="00BB28A0">
        <w:rPr>
          <w:rFonts w:ascii="StobiSerif Regular" w:hAnsi="StobiSerif Regular"/>
          <w:sz w:val="24"/>
          <w:szCs w:val="24"/>
          <w:lang w:val="en-GB"/>
        </w:rPr>
        <w:t xml:space="preserve">and </w:t>
      </w:r>
      <w:r w:rsidRPr="00BB28A0">
        <w:rPr>
          <w:rFonts w:ascii="StobiSerif Regular" w:hAnsi="StobiSerif Regular"/>
          <w:sz w:val="24"/>
          <w:szCs w:val="24"/>
          <w:lang w:val="en-GB"/>
        </w:rPr>
        <w:t xml:space="preserve">that North Macedonia has generally harmonized its legal and strategic framework with the European Union. The current obligations under this chapter focus on the final integration of EU standards in this field. One </w:t>
      </w:r>
      <w:r w:rsidR="00B80D1C" w:rsidRPr="00BB28A0">
        <w:rPr>
          <w:rFonts w:ascii="StobiSerif Regular" w:hAnsi="StobiSerif Regular"/>
          <w:sz w:val="24"/>
          <w:szCs w:val="24"/>
          <w:lang w:val="en-GB"/>
        </w:rPr>
        <w:t xml:space="preserve">of these </w:t>
      </w:r>
      <w:r w:rsidRPr="00BB28A0">
        <w:rPr>
          <w:rFonts w:ascii="StobiSerif Regular" w:hAnsi="StobiSerif Regular"/>
          <w:sz w:val="24"/>
          <w:szCs w:val="24"/>
          <w:lang w:val="en-GB"/>
        </w:rPr>
        <w:t>obligation</w:t>
      </w:r>
      <w:r w:rsidR="00B80D1C" w:rsidRPr="00BB28A0">
        <w:rPr>
          <w:rFonts w:ascii="StobiSerif Regular" w:hAnsi="StobiSerif Regular"/>
          <w:sz w:val="24"/>
          <w:szCs w:val="24"/>
          <w:lang w:val="en-GB"/>
        </w:rPr>
        <w:t>s</w:t>
      </w:r>
      <w:r w:rsidRPr="00BB28A0">
        <w:rPr>
          <w:rFonts w:ascii="StobiSerif Regular" w:hAnsi="StobiSerif Regular"/>
          <w:sz w:val="24"/>
          <w:szCs w:val="24"/>
          <w:lang w:val="en-GB"/>
        </w:rPr>
        <w:t xml:space="preserve"> is the adoption of the Research Infrastructure Roadmap. </w:t>
      </w:r>
      <w:r w:rsidR="00B80D1C" w:rsidRPr="00BB28A0">
        <w:rPr>
          <w:rFonts w:ascii="StobiSerif Regular" w:hAnsi="StobiSerif Regular"/>
          <w:sz w:val="24"/>
          <w:szCs w:val="24"/>
          <w:lang w:val="en-GB"/>
        </w:rPr>
        <w:t xml:space="preserve">In addition, the </w:t>
      </w:r>
      <w:r w:rsidRPr="00BB28A0">
        <w:rPr>
          <w:rFonts w:ascii="StobiSerif Regular" w:hAnsi="StobiSerif Regular"/>
          <w:sz w:val="24"/>
          <w:szCs w:val="24"/>
          <w:lang w:val="en-GB"/>
        </w:rPr>
        <w:t xml:space="preserve">obligations concerning the role of science and innovation in enhancing competitiveness and the economy are also related to Chapter 20: Entrepreneurship and Industrial Policy, where </w:t>
      </w:r>
      <w:r w:rsidR="00B80D1C" w:rsidRPr="00BB28A0">
        <w:rPr>
          <w:rFonts w:ascii="StobiSerif Regular" w:hAnsi="StobiSerif Regular"/>
          <w:sz w:val="24"/>
          <w:szCs w:val="24"/>
          <w:lang w:val="en-GB"/>
        </w:rPr>
        <w:t xml:space="preserve">the provision of </w:t>
      </w:r>
      <w:r w:rsidRPr="00BB28A0">
        <w:rPr>
          <w:rFonts w:ascii="StobiSerif Regular" w:hAnsi="StobiSerif Regular"/>
          <w:sz w:val="24"/>
          <w:szCs w:val="24"/>
          <w:lang w:val="en-GB"/>
        </w:rPr>
        <w:t xml:space="preserve">support for small and medium-sized enterprises to develop innovative solutions is </w:t>
      </w:r>
      <w:r w:rsidR="00B80D1C" w:rsidRPr="00BB28A0">
        <w:rPr>
          <w:rFonts w:ascii="StobiSerif Regular" w:hAnsi="StobiSerif Regular"/>
          <w:sz w:val="24"/>
          <w:szCs w:val="24"/>
          <w:lang w:val="en-GB"/>
        </w:rPr>
        <w:t xml:space="preserve">of </w:t>
      </w:r>
      <w:r w:rsidRPr="00BB28A0">
        <w:rPr>
          <w:rFonts w:ascii="StobiSerif Regular" w:hAnsi="StobiSerif Regular"/>
          <w:sz w:val="24"/>
          <w:szCs w:val="24"/>
          <w:lang w:val="en-GB"/>
        </w:rPr>
        <w:t>particular</w:t>
      </w:r>
      <w:r w:rsidR="00B80D1C" w:rsidRPr="00BB28A0">
        <w:rPr>
          <w:rFonts w:ascii="StobiSerif Regular" w:hAnsi="StobiSerif Regular"/>
          <w:sz w:val="24"/>
          <w:szCs w:val="24"/>
          <w:lang w:val="en-GB"/>
        </w:rPr>
        <w:t xml:space="preserve"> importance</w:t>
      </w:r>
      <w:r w:rsidRPr="00BB28A0">
        <w:rPr>
          <w:rFonts w:ascii="StobiSerif Regular" w:hAnsi="StobiSerif Regular"/>
          <w:sz w:val="24"/>
          <w:szCs w:val="24"/>
          <w:lang w:val="en-GB"/>
        </w:rPr>
        <w:t>.</w:t>
      </w:r>
    </w:p>
    <w:p w14:paraId="0B8729B2" w14:textId="3854FE3D" w:rsidR="00D11B06" w:rsidRPr="00BB28A0" w:rsidRDefault="00D11B06" w:rsidP="0089663E">
      <w:pPr>
        <w:jc w:val="both"/>
        <w:rPr>
          <w:rFonts w:ascii="StobiSerif Regular" w:hAnsi="StobiSerif Regular"/>
          <w:sz w:val="24"/>
          <w:szCs w:val="24"/>
          <w:lang w:val="en-GB"/>
        </w:rPr>
      </w:pPr>
      <w:r w:rsidRPr="00BB28A0">
        <w:rPr>
          <w:rFonts w:ascii="StobiSerif Regular" w:hAnsi="StobiSerif Regular"/>
          <w:sz w:val="24"/>
          <w:szCs w:val="24"/>
          <w:lang w:val="en-GB"/>
        </w:rPr>
        <w:t>In December 2021, the Republic of North Macedonia joined the European Union's Framework Programme for Research and Innovation</w:t>
      </w:r>
      <w:r w:rsidR="00F45C56" w:rsidRPr="00BB28A0">
        <w:rPr>
          <w:rFonts w:ascii="StobiSerif Regular" w:hAnsi="StobiSerif Regular"/>
          <w:sz w:val="24"/>
          <w:szCs w:val="24"/>
          <w:lang w:val="en-GB"/>
        </w:rPr>
        <w:t xml:space="preserve"> </w:t>
      </w:r>
      <w:r w:rsidRPr="00BB28A0">
        <w:rPr>
          <w:rFonts w:ascii="StobiSerif Regular" w:hAnsi="StobiSerif Regular"/>
          <w:sz w:val="24"/>
          <w:szCs w:val="24"/>
          <w:lang w:val="en-GB"/>
        </w:rPr>
        <w:t>"Horizon Europe." The signing of this international agreement presents a valuable opportunity for the scientific and research community, companies with capacity for innovation, segments of civil society, and local government/public administration to access funds from the EU for science and innovation on an equal footing with EU member states. A specific section of this Programme is dedicated to research infrastructures, as follows: a segment reserved for infrastructures listed in the European Research Infrastructures Roadmap (ESFRI), support for an open and fair access policy through the European Open Science Cloud (EOSC) and support for infrastructure projects in the fields of health, green transition, and digital transition.</w:t>
      </w:r>
    </w:p>
    <w:p w14:paraId="02BB32E7" w14:textId="748C4620" w:rsidR="00795779" w:rsidRPr="00BB28A0" w:rsidRDefault="00FF07A5" w:rsidP="00FF07A5">
      <w:pPr>
        <w:pStyle w:val="Heading1"/>
        <w:numPr>
          <w:ilvl w:val="0"/>
          <w:numId w:val="14"/>
        </w:numPr>
        <w:rPr>
          <w:lang w:val="en-GB"/>
        </w:rPr>
      </w:pPr>
      <w:r w:rsidRPr="00BB28A0">
        <w:rPr>
          <w:lang w:val="en-GB"/>
        </w:rPr>
        <w:t>What are research infrastructures?</w:t>
      </w:r>
    </w:p>
    <w:p w14:paraId="76F005C1" w14:textId="5D4586E0" w:rsidR="00FF07A5" w:rsidRPr="00BB28A0" w:rsidRDefault="00FF07A5" w:rsidP="005122E2">
      <w:pPr>
        <w:jc w:val="both"/>
        <w:rPr>
          <w:rFonts w:ascii="StobiSerif Regular" w:hAnsi="StobiSerif Regular"/>
          <w:sz w:val="24"/>
          <w:szCs w:val="24"/>
          <w:lang w:val="en-GB"/>
        </w:rPr>
      </w:pPr>
      <w:r w:rsidRPr="00BB28A0">
        <w:rPr>
          <w:rFonts w:ascii="StobiSerif Regular" w:hAnsi="StobiSerif Regular"/>
          <w:sz w:val="24"/>
          <w:szCs w:val="24"/>
          <w:lang w:val="en-GB"/>
        </w:rPr>
        <w:t>According to the European Commission's definition</w:t>
      </w:r>
      <w:r w:rsidR="0021334F" w:rsidRPr="00BB28A0">
        <w:rPr>
          <w:rStyle w:val="FootnoteReference"/>
          <w:rFonts w:ascii="StobiSerif Regular" w:hAnsi="StobiSerif Regular"/>
          <w:sz w:val="24"/>
          <w:szCs w:val="24"/>
          <w:lang w:val="en-GB"/>
        </w:rPr>
        <w:footnoteReference w:id="4"/>
      </w:r>
      <w:r w:rsidRPr="00BB28A0">
        <w:rPr>
          <w:rFonts w:ascii="StobiSerif Regular" w:hAnsi="StobiSerif Regular"/>
          <w:sz w:val="24"/>
          <w:szCs w:val="24"/>
          <w:lang w:val="en-GB"/>
        </w:rPr>
        <w:t xml:space="preserve">, 'research infrastructures' means facilities that provide resources and services for the research communities to conduct research and foster </w:t>
      </w:r>
      <w:r w:rsidRPr="00BB28A0">
        <w:rPr>
          <w:rFonts w:ascii="StobiSerif Regular" w:hAnsi="StobiSerif Regular"/>
          <w:sz w:val="24"/>
          <w:szCs w:val="24"/>
          <w:lang w:val="en-GB"/>
        </w:rPr>
        <w:lastRenderedPageBreak/>
        <w:t>innovation in their fields, including the associated human resources, major equipment or sets of instruments; knowledge-related facilities such as collections, archives or scientific data infrastructures; computing systems, communication networks and any other infrastructure of a unique nature and open to external users, essential to achieve excellence in research and innovation.</w:t>
      </w:r>
    </w:p>
    <w:p w14:paraId="75D31536" w14:textId="77777777" w:rsidR="0021334F" w:rsidRPr="00BB28A0" w:rsidRDefault="0021334F" w:rsidP="0021334F">
      <w:pPr>
        <w:jc w:val="both"/>
        <w:rPr>
          <w:rFonts w:ascii="StobiSerif Regular" w:hAnsi="StobiSerif Regular"/>
          <w:sz w:val="24"/>
          <w:szCs w:val="24"/>
          <w:lang w:val="en-GB"/>
        </w:rPr>
      </w:pPr>
      <w:r w:rsidRPr="00BB28A0">
        <w:rPr>
          <w:rFonts w:ascii="StobiSerif Regular" w:hAnsi="StobiSerif Regular"/>
          <w:sz w:val="24"/>
          <w:szCs w:val="24"/>
          <w:lang w:val="en-GB"/>
        </w:rPr>
        <w:t>Research infrastructure can be classified into several groups:</w:t>
      </w:r>
    </w:p>
    <w:p w14:paraId="3DE1A5A3" w14:textId="77777777" w:rsidR="0021334F" w:rsidRPr="00BB28A0" w:rsidRDefault="0021334F" w:rsidP="0021334F">
      <w:pPr>
        <w:jc w:val="both"/>
        <w:rPr>
          <w:rFonts w:ascii="StobiSerif Regular" w:hAnsi="StobiSerif Regular"/>
          <w:sz w:val="24"/>
          <w:szCs w:val="24"/>
          <w:lang w:val="en-GB"/>
        </w:rPr>
      </w:pPr>
      <w:r w:rsidRPr="00BB28A0">
        <w:rPr>
          <w:rFonts w:ascii="StobiSerif Regular" w:hAnsi="StobiSerif Regular"/>
          <w:sz w:val="24"/>
          <w:szCs w:val="24"/>
          <w:lang w:val="en-GB"/>
        </w:rPr>
        <w:t>Traditional ‘single-sited’ physical facilities (a single resource at a specific location), ‘distributed’ (a network of distributed resources across multiple locations), or virtual infrastructures (where services are provided electronically). Geographically, they can be national, regional, macro-regional and pan-European.</w:t>
      </w:r>
    </w:p>
    <w:p w14:paraId="415AB46B" w14:textId="77777777" w:rsidR="0021334F" w:rsidRPr="00BB28A0" w:rsidRDefault="0021334F" w:rsidP="0021334F">
      <w:pPr>
        <w:jc w:val="both"/>
        <w:rPr>
          <w:rFonts w:ascii="StobiSerif Regular" w:hAnsi="StobiSerif Regular"/>
          <w:sz w:val="24"/>
          <w:szCs w:val="24"/>
          <w:lang w:val="en-GB"/>
        </w:rPr>
      </w:pPr>
      <w:r w:rsidRPr="00BB28A0">
        <w:rPr>
          <w:rFonts w:ascii="StobiSerif Regular" w:hAnsi="StobiSerif Regular"/>
          <w:sz w:val="24"/>
          <w:szCs w:val="24"/>
          <w:lang w:val="en-GB"/>
        </w:rPr>
        <w:t>In addition, research infrastructures can be classified according to their capabilities for conducting scientific research, as follows:</w:t>
      </w:r>
    </w:p>
    <w:p w14:paraId="71119D77" w14:textId="5AD8E356" w:rsidR="00DD1C40" w:rsidRPr="00BB28A0" w:rsidRDefault="0021334F" w:rsidP="00DD1C40">
      <w:pPr>
        <w:jc w:val="both"/>
        <w:rPr>
          <w:rFonts w:ascii="StobiSerif Regular" w:hAnsi="StobiSerif Regular"/>
          <w:sz w:val="24"/>
          <w:szCs w:val="24"/>
          <w:lang w:val="en-GB"/>
        </w:rPr>
      </w:pPr>
      <w:r w:rsidRPr="00BB28A0">
        <w:rPr>
          <w:rFonts w:ascii="StobiSerif Regular" w:hAnsi="StobiSerif Regular"/>
          <w:sz w:val="24"/>
          <w:szCs w:val="24"/>
          <w:lang w:val="en-GB"/>
        </w:rPr>
        <w:t>1. Large research infrastructures that enable the implementation of all research activities in the research process in a specific scientific field (for example, the infrastructure planned under the SEEIIST project</w:t>
      </w:r>
      <w:r w:rsidR="00DD1C40" w:rsidRPr="00BB28A0">
        <w:rPr>
          <w:rFonts w:ascii="StobiSerif Regular" w:hAnsi="StobiSerif Regular"/>
          <w:sz w:val="24"/>
          <w:szCs w:val="24"/>
          <w:lang w:val="en-GB"/>
        </w:rPr>
        <w:t>)</w:t>
      </w:r>
      <w:r w:rsidR="000E3F81" w:rsidRPr="00BB28A0">
        <w:rPr>
          <w:rStyle w:val="FootnoteReference"/>
          <w:rFonts w:ascii="StobiSerif Regular" w:hAnsi="StobiSerif Regular"/>
          <w:sz w:val="24"/>
          <w:szCs w:val="24"/>
          <w:lang w:val="en-GB"/>
        </w:rPr>
        <w:footnoteReference w:id="5"/>
      </w:r>
      <w:r w:rsidR="00DD1C40" w:rsidRPr="00BB28A0">
        <w:rPr>
          <w:rFonts w:ascii="StobiSerif Regular" w:hAnsi="StobiSerif Regular"/>
          <w:sz w:val="24"/>
          <w:szCs w:val="24"/>
          <w:lang w:val="en-GB"/>
        </w:rPr>
        <w:t>.</w:t>
      </w:r>
    </w:p>
    <w:p w14:paraId="14461FFF" w14:textId="77777777" w:rsidR="0021334F" w:rsidRPr="00BB28A0" w:rsidRDefault="007070FA" w:rsidP="0021334F">
      <w:pPr>
        <w:jc w:val="both"/>
        <w:rPr>
          <w:rFonts w:ascii="StobiSerif Regular" w:hAnsi="StobiSerif Regular"/>
          <w:sz w:val="24"/>
          <w:szCs w:val="24"/>
          <w:lang w:val="en-GB"/>
        </w:rPr>
      </w:pPr>
      <w:r w:rsidRPr="00BB28A0">
        <w:rPr>
          <w:rFonts w:ascii="StobiSerif Regular" w:hAnsi="StobiSerif Regular"/>
          <w:sz w:val="24"/>
          <w:szCs w:val="24"/>
          <w:lang w:val="en-GB"/>
        </w:rPr>
        <w:t>2.</w:t>
      </w:r>
      <w:r w:rsidR="0089663E" w:rsidRPr="00BB28A0">
        <w:rPr>
          <w:rFonts w:ascii="StobiSerif Regular" w:hAnsi="StobiSerif Regular"/>
          <w:sz w:val="24"/>
          <w:szCs w:val="24"/>
          <w:lang w:val="en-GB"/>
        </w:rPr>
        <w:t xml:space="preserve"> </w:t>
      </w:r>
      <w:r w:rsidR="0021334F" w:rsidRPr="00BB28A0">
        <w:rPr>
          <w:rFonts w:ascii="StobiSerif Regular" w:hAnsi="StobiSerif Regular"/>
          <w:sz w:val="24"/>
          <w:szCs w:val="24"/>
          <w:lang w:val="en-GB"/>
        </w:rPr>
        <w:t>Medium-sized research infrastructures that enable the implementation of individual or part of the phases in the research process and</w:t>
      </w:r>
    </w:p>
    <w:p w14:paraId="1F5DAE0C" w14:textId="78C069AF" w:rsidR="0021334F" w:rsidRPr="00BB28A0" w:rsidRDefault="0021334F" w:rsidP="0021334F">
      <w:pPr>
        <w:jc w:val="both"/>
        <w:rPr>
          <w:rFonts w:ascii="StobiSerif Regular" w:hAnsi="StobiSerif Regular"/>
          <w:sz w:val="24"/>
          <w:szCs w:val="24"/>
          <w:lang w:val="en-GB"/>
        </w:rPr>
      </w:pPr>
      <w:r w:rsidRPr="00BB28A0">
        <w:rPr>
          <w:rFonts w:ascii="StobiSerif Regular" w:hAnsi="StobiSerif Regular"/>
          <w:sz w:val="24"/>
          <w:szCs w:val="24"/>
          <w:lang w:val="en-GB"/>
        </w:rPr>
        <w:t>3. Small research infrastructures that enable the execution of individual tasks within the research process.</w:t>
      </w:r>
    </w:p>
    <w:p w14:paraId="5579CC49" w14:textId="5090FA66" w:rsidR="00D85996" w:rsidRPr="00BB28A0" w:rsidRDefault="00D85996" w:rsidP="00D85996">
      <w:pPr>
        <w:jc w:val="both"/>
        <w:rPr>
          <w:rFonts w:ascii="StobiSerif Regular" w:hAnsi="StobiSerif Regular"/>
          <w:sz w:val="24"/>
          <w:szCs w:val="24"/>
          <w:lang w:val="en-GB"/>
        </w:rPr>
      </w:pPr>
      <w:r w:rsidRPr="00BB28A0">
        <w:rPr>
          <w:rFonts w:ascii="StobiSerif Regular" w:hAnsi="StobiSerif Regular"/>
          <w:sz w:val="24"/>
          <w:szCs w:val="24"/>
          <w:lang w:val="en-GB"/>
        </w:rPr>
        <w:t xml:space="preserve">The main characteristic of research infrastructures is their central role in the model of inclusion of four sectors: the state, academia, civil society and the business sector, because they facilitate the generation of knowledge through research, promote knowledge transfer, and support the application of this knowledge in the innovation process </w:t>
      </w:r>
      <w:r w:rsidR="00191B06" w:rsidRPr="00BB28A0">
        <w:rPr>
          <w:rFonts w:ascii="StobiSerif Regular" w:hAnsi="StobiSerif Regular"/>
          <w:sz w:val="24"/>
          <w:szCs w:val="24"/>
          <w:lang w:val="en-GB"/>
        </w:rPr>
        <w:t xml:space="preserve">in </w:t>
      </w:r>
      <w:r w:rsidRPr="00BB28A0">
        <w:rPr>
          <w:rFonts w:ascii="StobiSerif Regular" w:hAnsi="StobiSerif Regular"/>
          <w:sz w:val="24"/>
          <w:szCs w:val="24"/>
          <w:lang w:val="en-GB"/>
        </w:rPr>
        <w:t>the business sector. This, in turn, has a direct impact on overall social development.</w:t>
      </w:r>
    </w:p>
    <w:p w14:paraId="373D0D3A" w14:textId="77777777" w:rsidR="005A21FD" w:rsidRPr="00BB28A0" w:rsidRDefault="001F4A2D" w:rsidP="00DD1C40">
      <w:pPr>
        <w:jc w:val="both"/>
        <w:rPr>
          <w:rFonts w:ascii="StobiSerif Regular" w:hAnsi="StobiSerif Regular"/>
          <w:sz w:val="24"/>
          <w:szCs w:val="24"/>
          <w:lang w:val="en-GB"/>
        </w:rPr>
      </w:pPr>
      <w:r w:rsidRPr="00BB28A0">
        <w:rPr>
          <w:rFonts w:ascii="StobiSerif Regular" w:hAnsi="StobiSerif Regular"/>
          <w:sz w:val="24"/>
          <w:szCs w:val="24"/>
          <w:lang w:val="en-GB"/>
        </w:rPr>
        <w:t>Pan-European research infrastructures are typically highly specialized for specific types of research and the development of particular technologies. They utilize advanced technologies and equipment that allow for the implementation of sophisticated experiments and analyses. Pan-European research infrastructures are generally accessible to users and research communities, often through participation in national and international projects or by membership in these initiatives.</w:t>
      </w:r>
      <w:r w:rsidR="00F76ED3" w:rsidRPr="00BB28A0">
        <w:rPr>
          <w:rFonts w:ascii="StobiSerif Regular" w:hAnsi="StobiSerif Regular"/>
          <w:sz w:val="24"/>
          <w:szCs w:val="24"/>
          <w:lang w:val="en-GB"/>
        </w:rPr>
        <w:t xml:space="preserve"> </w:t>
      </w:r>
      <w:r w:rsidR="005A21FD" w:rsidRPr="00BB28A0">
        <w:rPr>
          <w:rFonts w:ascii="StobiSerif Regular" w:hAnsi="StobiSerif Regular"/>
          <w:sz w:val="24"/>
          <w:szCs w:val="24"/>
          <w:lang w:val="en-GB"/>
        </w:rPr>
        <w:t xml:space="preserve">These </w:t>
      </w:r>
      <w:r w:rsidRPr="00BB28A0">
        <w:rPr>
          <w:rFonts w:ascii="StobiSerif Regular" w:hAnsi="StobiSerif Regular"/>
          <w:sz w:val="24"/>
          <w:szCs w:val="24"/>
          <w:lang w:val="en-GB"/>
        </w:rPr>
        <w:t>infrastructures play a crucial role in fostering new knowledge, innovations, and technologies. They are essential for research and development as they facilitate experiments and data collection that would be difficult or impossible to achieve otherwise. Due to these characteristics, such infrastructures require substantial capital investment during their design, construction, and implementation phases.</w:t>
      </w:r>
      <w:r w:rsidR="005A21FD" w:rsidRPr="00BB28A0">
        <w:rPr>
          <w:rFonts w:ascii="StobiSerif Regular" w:hAnsi="StobiSerif Regular"/>
          <w:sz w:val="24"/>
          <w:szCs w:val="24"/>
          <w:lang w:val="en-GB"/>
        </w:rPr>
        <w:t xml:space="preserve"> </w:t>
      </w:r>
    </w:p>
    <w:p w14:paraId="7049D055" w14:textId="769BEDE4" w:rsidR="00645E83" w:rsidRPr="00BB28A0" w:rsidRDefault="005A21FD" w:rsidP="00795779">
      <w:pPr>
        <w:jc w:val="both"/>
        <w:rPr>
          <w:rFonts w:ascii="StobiSerif Regular" w:hAnsi="StobiSerif Regular"/>
          <w:sz w:val="24"/>
          <w:szCs w:val="24"/>
          <w:highlight w:val="yellow"/>
          <w:lang w:val="en-GB"/>
        </w:rPr>
      </w:pPr>
      <w:r w:rsidRPr="00BB28A0">
        <w:rPr>
          <w:rFonts w:ascii="StobiSerif Regular" w:hAnsi="StobiSerif Regular"/>
          <w:sz w:val="24"/>
          <w:szCs w:val="24"/>
          <w:lang w:val="en-GB"/>
        </w:rPr>
        <w:t xml:space="preserve">According to the new ERA (European Research Area) Action 8, the ESFRI Landscape Analysis 2024 provides the framework for the next ESFRI Roadmap. </w:t>
      </w:r>
      <w:r w:rsidR="001C39B7" w:rsidRPr="00BB28A0">
        <w:rPr>
          <w:rFonts w:ascii="StobiSerif Regular" w:hAnsi="StobiSerif Regular"/>
          <w:sz w:val="24"/>
          <w:szCs w:val="24"/>
          <w:lang w:val="en-GB"/>
        </w:rPr>
        <w:t xml:space="preserve">In 2024, the European Union will </w:t>
      </w:r>
      <w:r w:rsidR="001C39B7" w:rsidRPr="00BB28A0">
        <w:rPr>
          <w:rFonts w:ascii="StobiSerif Regular" w:hAnsi="StobiSerif Regular"/>
          <w:sz w:val="24"/>
          <w:szCs w:val="24"/>
          <w:lang w:val="en-GB"/>
        </w:rPr>
        <w:lastRenderedPageBreak/>
        <w:t>initiate the development of a new ESFRI Roadmap, employing a slightly revised methodology. This new approach involves two distinct phases: first, conducting an analysis of the current state (landscape analysis), followed by the development of the new Roadmap based on the findings from the analysis.</w:t>
      </w:r>
    </w:p>
    <w:p w14:paraId="675B4B60" w14:textId="77777777" w:rsidR="001C39B7" w:rsidRPr="00BB28A0" w:rsidRDefault="001C39B7" w:rsidP="00795779">
      <w:pPr>
        <w:jc w:val="both"/>
        <w:rPr>
          <w:rFonts w:ascii="StobiSerif Regular" w:hAnsi="StobiSerif Regular"/>
          <w:sz w:val="24"/>
          <w:szCs w:val="24"/>
          <w:lang w:val="en-GB"/>
        </w:rPr>
      </w:pPr>
      <w:r w:rsidRPr="00BB28A0">
        <w:rPr>
          <w:rFonts w:ascii="StobiSerif Regular" w:hAnsi="StobiSerif Regular"/>
          <w:sz w:val="24"/>
          <w:szCs w:val="24"/>
          <w:lang w:val="en-GB"/>
        </w:rPr>
        <w:t>The European Strategy Forum on Research Infrastructures (ESFRI)</w:t>
      </w:r>
      <w:r w:rsidRPr="00BB28A0">
        <w:rPr>
          <w:rStyle w:val="FootnoteReference"/>
          <w:rFonts w:ascii="StobiSerif Regular" w:hAnsi="StobiSerif Regular"/>
          <w:sz w:val="24"/>
          <w:szCs w:val="24"/>
          <w:lang w:val="en-GB"/>
        </w:rPr>
        <w:footnoteReference w:id="6"/>
      </w:r>
      <w:r w:rsidRPr="00BB28A0">
        <w:rPr>
          <w:rFonts w:ascii="StobiSerif Regular" w:hAnsi="StobiSerif Regular"/>
          <w:sz w:val="24"/>
          <w:szCs w:val="24"/>
          <w:lang w:val="en-GB"/>
        </w:rPr>
        <w:t xml:space="preserve"> Roadmap is a strategic document that identifies existing research infrastructures (RIs) and prioritizes the development of new ones. Its goal is to promote interdisciplinary research and achieve outstanding scientific results within the European Union. The ESFRI Roadmap is an ongoing initiative. In the 2021 update of the ESFRI Roadmap, a total of 63 RIs known for their scientific excellence were included.</w:t>
      </w:r>
    </w:p>
    <w:p w14:paraId="3CCAE3A1" w14:textId="77777777" w:rsidR="001C39B7" w:rsidRPr="00BB28A0" w:rsidRDefault="001C39B7" w:rsidP="00795779">
      <w:pPr>
        <w:jc w:val="both"/>
        <w:rPr>
          <w:rFonts w:ascii="StobiSerif Regular" w:hAnsi="StobiSerif Regular"/>
          <w:sz w:val="24"/>
          <w:szCs w:val="24"/>
          <w:lang w:val="en-GB"/>
        </w:rPr>
      </w:pPr>
      <w:r w:rsidRPr="00BB28A0">
        <w:rPr>
          <w:rFonts w:ascii="StobiSerif Regular" w:hAnsi="StobiSerif Regular"/>
          <w:sz w:val="24"/>
          <w:szCs w:val="24"/>
          <w:lang w:val="en-GB"/>
        </w:rPr>
        <w:t>Over the past decade, most EU Member States within the European Research Area have prepared and are currently updating their national RI Roadmaps in line with the ESFRI guidelines. Following this trend, the Western Balkan countries have also acknowledged the significance of RI for their national research ecosystems and economic development, and they have completed the process of development of their national RI Roadmaps.</w:t>
      </w:r>
    </w:p>
    <w:p w14:paraId="028BCE37" w14:textId="1BF13E54" w:rsidR="00D66F7A" w:rsidRPr="00BB28A0" w:rsidRDefault="00D66F7A" w:rsidP="00D66F7A">
      <w:pPr>
        <w:pStyle w:val="Heading1"/>
        <w:numPr>
          <w:ilvl w:val="1"/>
          <w:numId w:val="14"/>
        </w:numPr>
        <w:rPr>
          <w:lang w:val="en-GB"/>
        </w:rPr>
      </w:pPr>
      <w:bookmarkStart w:id="2" w:name="_Hlk188022872"/>
      <w:r w:rsidRPr="00BB28A0">
        <w:rPr>
          <w:lang w:val="en-GB"/>
        </w:rPr>
        <w:t>Basis and methodology for the revision of the Research Infrastructure Roadmap</w:t>
      </w:r>
    </w:p>
    <w:bookmarkEnd w:id="2"/>
    <w:p w14:paraId="7804719F" w14:textId="77777777" w:rsidR="00D66F7A" w:rsidRPr="00BB28A0" w:rsidRDefault="00D66F7A" w:rsidP="00795779">
      <w:pPr>
        <w:jc w:val="both"/>
        <w:rPr>
          <w:rFonts w:ascii="StobiSerif Regular" w:hAnsi="StobiSerif Regular"/>
          <w:sz w:val="24"/>
          <w:szCs w:val="24"/>
          <w:lang w:val="en-GB"/>
        </w:rPr>
      </w:pPr>
    </w:p>
    <w:p w14:paraId="2BC0F313" w14:textId="77777777" w:rsidR="008879CF" w:rsidRPr="00BB28A0" w:rsidRDefault="008879CF" w:rsidP="00795779">
      <w:pPr>
        <w:jc w:val="both"/>
        <w:rPr>
          <w:rFonts w:ascii="StobiSerif Regular" w:hAnsi="StobiSerif Regular"/>
          <w:sz w:val="24"/>
          <w:szCs w:val="24"/>
          <w:lang w:val="en-GB"/>
        </w:rPr>
      </w:pPr>
      <w:r w:rsidRPr="00BB28A0">
        <w:rPr>
          <w:rFonts w:ascii="StobiSerif Regular" w:hAnsi="StobiSerif Regular"/>
          <w:sz w:val="24"/>
          <w:szCs w:val="24"/>
          <w:lang w:val="en-GB"/>
        </w:rPr>
        <w:t>The revision of the RI Roadmap was prepared by applying two research methods: desk review and field research.</w:t>
      </w:r>
    </w:p>
    <w:p w14:paraId="5FD335ED" w14:textId="21DAA156" w:rsidR="008879CF" w:rsidRPr="00BB28A0" w:rsidRDefault="008879CF" w:rsidP="003E585B">
      <w:pPr>
        <w:spacing w:after="0"/>
        <w:jc w:val="both"/>
        <w:rPr>
          <w:rFonts w:ascii="StobiSerif Regular" w:hAnsi="StobiSerif Regular"/>
          <w:sz w:val="24"/>
          <w:szCs w:val="24"/>
          <w:lang w:val="en-GB"/>
        </w:rPr>
      </w:pPr>
      <w:r w:rsidRPr="00BB28A0">
        <w:rPr>
          <w:rFonts w:ascii="StobiSerif Regular" w:hAnsi="StobiSerif Regular"/>
          <w:sz w:val="24"/>
          <w:szCs w:val="24"/>
          <w:lang w:val="en-GB"/>
        </w:rPr>
        <w:t xml:space="preserve">The desk review was conducted through the analysis of existing strategic documents related to science, research, technological development, and innovation </w:t>
      </w:r>
      <w:r w:rsidR="006F3322" w:rsidRPr="00BB28A0">
        <w:rPr>
          <w:rFonts w:ascii="StobiSerif Regular" w:hAnsi="StobiSerif Regular"/>
          <w:sz w:val="24"/>
          <w:szCs w:val="24"/>
          <w:lang w:val="en-GB"/>
        </w:rPr>
        <w:t xml:space="preserve">in </w:t>
      </w:r>
      <w:r w:rsidRPr="00BB28A0">
        <w:rPr>
          <w:rFonts w:ascii="StobiSerif Regular" w:hAnsi="StobiSerif Regular"/>
          <w:sz w:val="24"/>
          <w:szCs w:val="24"/>
          <w:lang w:val="en-GB"/>
        </w:rPr>
        <w:t>the Republic of North Macedonia. This analysis encompassed both official, approved government documents that are publicly accessible and draft versions currently in process of preparation. Key strategic documents pertinent to scientific and research activities include the Education Strategy for 2018-2025, the Smart Specialization Strategy of the Republic of North Macedonia 2024-2027 along with its Action Plan 2024-2025, the Human Capital Strategy 2024-2030, the Industrial Strategy 2018-2027, and the National Development Strategy 2024-2044</w:t>
      </w:r>
      <w:r w:rsidR="006F3322" w:rsidRPr="00BB28A0">
        <w:rPr>
          <w:rStyle w:val="FootnoteReference"/>
          <w:rFonts w:ascii="StobiSerif Regular" w:hAnsi="StobiSerif Regular"/>
          <w:sz w:val="24"/>
          <w:szCs w:val="24"/>
          <w:lang w:val="en-GB"/>
        </w:rPr>
        <w:footnoteReference w:id="7"/>
      </w:r>
      <w:r w:rsidR="006F3322" w:rsidRPr="00BB28A0">
        <w:rPr>
          <w:rFonts w:ascii="StobiSerif Regular" w:hAnsi="StobiSerif Regular"/>
          <w:sz w:val="24"/>
          <w:szCs w:val="24"/>
          <w:lang w:val="en-GB"/>
        </w:rPr>
        <w:t xml:space="preserve">. </w:t>
      </w:r>
      <w:r w:rsidRPr="00BB28A0">
        <w:rPr>
          <w:rFonts w:ascii="StobiSerif Regular" w:hAnsi="StobiSerif Regular"/>
          <w:sz w:val="24"/>
          <w:szCs w:val="24"/>
          <w:lang w:val="en-GB"/>
        </w:rPr>
        <w:t>Additionally, the review considered the annual national programmes dedicated to scientific and research activities.</w:t>
      </w:r>
    </w:p>
    <w:p w14:paraId="6393C797" w14:textId="52DCE91D" w:rsidR="003E585B" w:rsidRPr="00BB28A0" w:rsidRDefault="009B5F09" w:rsidP="00EC54DA">
      <w:pPr>
        <w:spacing w:after="0"/>
        <w:jc w:val="both"/>
        <w:rPr>
          <w:rFonts w:ascii="StobiSerif Regular" w:hAnsi="StobiSerif Regular"/>
          <w:sz w:val="24"/>
          <w:szCs w:val="24"/>
          <w:lang w:val="en-GB"/>
        </w:rPr>
      </w:pPr>
      <w:r w:rsidRPr="00BB28A0">
        <w:rPr>
          <w:rFonts w:ascii="StobiSerif Regular" w:hAnsi="StobiSerif Regular"/>
          <w:sz w:val="24"/>
          <w:szCs w:val="24"/>
          <w:lang w:val="en-GB"/>
        </w:rPr>
        <w:t xml:space="preserve">In the context of </w:t>
      </w:r>
      <w:r w:rsidR="006F3322" w:rsidRPr="00BB28A0">
        <w:rPr>
          <w:rFonts w:ascii="StobiSerif Regular" w:hAnsi="StobiSerif Regular"/>
          <w:sz w:val="24"/>
          <w:szCs w:val="24"/>
          <w:lang w:val="en-GB"/>
        </w:rPr>
        <w:t xml:space="preserve">the draft </w:t>
      </w:r>
      <w:r w:rsidRPr="00BB28A0">
        <w:rPr>
          <w:rFonts w:ascii="StobiSerif Regular" w:hAnsi="StobiSerif Regular"/>
          <w:sz w:val="24"/>
          <w:szCs w:val="24"/>
          <w:lang w:val="en-GB"/>
        </w:rPr>
        <w:t>version, the National Council for Higher Education and Scientific Research Activities has d</w:t>
      </w:r>
      <w:r w:rsidR="00923870">
        <w:rPr>
          <w:rFonts w:ascii="StobiSerif Regular" w:hAnsi="StobiSerif Regular"/>
          <w:sz w:val="24"/>
          <w:szCs w:val="24"/>
          <w:lang w:val="en-GB"/>
        </w:rPr>
        <w:t xml:space="preserve">rafted </w:t>
      </w:r>
      <w:r w:rsidR="006F3322" w:rsidRPr="00BB28A0">
        <w:rPr>
          <w:rFonts w:ascii="StobiSerif Regular" w:hAnsi="StobiSerif Regular"/>
          <w:sz w:val="24"/>
          <w:szCs w:val="24"/>
          <w:lang w:val="en-GB"/>
        </w:rPr>
        <w:t>a P</w:t>
      </w:r>
      <w:r w:rsidRPr="00BB28A0">
        <w:rPr>
          <w:rFonts w:ascii="StobiSerif Regular" w:hAnsi="StobiSerif Regular"/>
          <w:sz w:val="24"/>
          <w:szCs w:val="24"/>
          <w:lang w:val="en-GB"/>
        </w:rPr>
        <w:t>roposal</w:t>
      </w:r>
      <w:r w:rsidR="006F3322" w:rsidRPr="00BB28A0">
        <w:rPr>
          <w:rFonts w:ascii="StobiSerif Regular" w:hAnsi="StobiSerif Regular"/>
          <w:sz w:val="24"/>
          <w:szCs w:val="24"/>
          <w:lang w:val="en-GB"/>
        </w:rPr>
        <w:t xml:space="preserve"> of a </w:t>
      </w:r>
      <w:r w:rsidRPr="00BB28A0">
        <w:rPr>
          <w:rFonts w:ascii="StobiSerif Regular" w:hAnsi="StobiSerif Regular"/>
          <w:sz w:val="24"/>
          <w:szCs w:val="24"/>
          <w:lang w:val="en-GB"/>
        </w:rPr>
        <w:t xml:space="preserve">National Programme for Scientific and Research Activity for 2024, which </w:t>
      </w:r>
      <w:r w:rsidR="00923870">
        <w:rPr>
          <w:rFonts w:ascii="StobiSerif Regular" w:hAnsi="StobiSerif Regular"/>
          <w:sz w:val="24"/>
          <w:szCs w:val="24"/>
          <w:lang w:val="en-GB"/>
        </w:rPr>
        <w:t xml:space="preserve">includes </w:t>
      </w:r>
      <w:bookmarkStart w:id="3" w:name="_GoBack"/>
      <w:bookmarkEnd w:id="3"/>
      <w:r w:rsidRPr="00BB28A0">
        <w:rPr>
          <w:rFonts w:ascii="StobiSerif Regular" w:hAnsi="StobiSerif Regular"/>
          <w:sz w:val="24"/>
          <w:szCs w:val="24"/>
          <w:lang w:val="en-GB"/>
        </w:rPr>
        <w:t>a series of recommended measures</w:t>
      </w:r>
      <w:r w:rsidR="00581861" w:rsidRPr="00BB28A0">
        <w:rPr>
          <w:rStyle w:val="FootnoteReference"/>
          <w:rFonts w:ascii="StobiSerif Regular" w:hAnsi="StobiSerif Regular"/>
          <w:sz w:val="24"/>
          <w:szCs w:val="24"/>
          <w:lang w:val="en-GB"/>
        </w:rPr>
        <w:footnoteReference w:id="8"/>
      </w:r>
      <w:r w:rsidR="007C6436" w:rsidRPr="00BB28A0">
        <w:rPr>
          <w:rFonts w:ascii="StobiSerif Regular" w:hAnsi="StobiSerif Regular"/>
          <w:sz w:val="24"/>
          <w:szCs w:val="24"/>
          <w:lang w:val="en-GB"/>
        </w:rPr>
        <w:t>.</w:t>
      </w:r>
    </w:p>
    <w:p w14:paraId="0837905C" w14:textId="77777777" w:rsidR="00440184" w:rsidRPr="00BB28A0" w:rsidRDefault="00440184" w:rsidP="009B5F09">
      <w:pPr>
        <w:jc w:val="both"/>
        <w:rPr>
          <w:rFonts w:ascii="StobiSerif Regular" w:hAnsi="StobiSerif Regular"/>
          <w:sz w:val="24"/>
          <w:szCs w:val="24"/>
          <w:lang w:val="en-GB"/>
        </w:rPr>
      </w:pPr>
      <w:r w:rsidRPr="00BB28A0">
        <w:rPr>
          <w:rFonts w:ascii="StobiSerif Regular" w:hAnsi="StobiSerif Regular"/>
          <w:sz w:val="24"/>
          <w:szCs w:val="24"/>
          <w:lang w:val="en-GB"/>
        </w:rPr>
        <w:t xml:space="preserve">The field research involved the distribution of a survey questionnaire to the research community to gather information about the current status of existing research infrastructures and equipment that hold national and international significance. </w:t>
      </w:r>
    </w:p>
    <w:p w14:paraId="492990BD" w14:textId="26D04EE7" w:rsidR="009B5F09" w:rsidRPr="00BB28A0" w:rsidRDefault="009B5F09" w:rsidP="009B5F09">
      <w:pPr>
        <w:jc w:val="both"/>
        <w:rPr>
          <w:rFonts w:ascii="StobiSerif Regular" w:hAnsi="StobiSerif Regular"/>
          <w:sz w:val="24"/>
          <w:szCs w:val="24"/>
          <w:lang w:val="en-GB"/>
        </w:rPr>
      </w:pPr>
      <w:r w:rsidRPr="00BB28A0">
        <w:rPr>
          <w:rFonts w:ascii="StobiSerif Regular" w:hAnsi="StobiSerif Regular"/>
          <w:sz w:val="24"/>
          <w:szCs w:val="24"/>
          <w:lang w:val="en-GB"/>
        </w:rPr>
        <w:lastRenderedPageBreak/>
        <w:t xml:space="preserve">In the Republic of North Macedonia, the network of public and private research institutions consists of: state universities (total 6), public scientific institutions (total 9), private universities (total 11) and higher </w:t>
      </w:r>
      <w:r w:rsidR="006F3322" w:rsidRPr="00BB28A0">
        <w:rPr>
          <w:rFonts w:ascii="StobiSerif Regular" w:hAnsi="StobiSerif Regular"/>
          <w:sz w:val="24"/>
          <w:szCs w:val="24"/>
          <w:lang w:val="en-GB"/>
        </w:rPr>
        <w:t xml:space="preserve">education vocational </w:t>
      </w:r>
      <w:r w:rsidRPr="00BB28A0">
        <w:rPr>
          <w:rFonts w:ascii="StobiSerif Regular" w:hAnsi="StobiSerif Regular"/>
          <w:sz w:val="24"/>
          <w:szCs w:val="24"/>
          <w:lang w:val="en-GB"/>
        </w:rPr>
        <w:t>schools (total 7), foreign higher education institutions (total 3), private scientific institutions (total 29) and independent researchers (total 6).</w:t>
      </w:r>
    </w:p>
    <w:p w14:paraId="17B536F7" w14:textId="0168DBA1" w:rsidR="008778D4" w:rsidRPr="00BB28A0" w:rsidRDefault="00ED2D91" w:rsidP="00795779">
      <w:pPr>
        <w:jc w:val="both"/>
        <w:rPr>
          <w:rFonts w:ascii="StobiSerif Regular" w:hAnsi="StobiSerif Regular"/>
          <w:sz w:val="24"/>
          <w:szCs w:val="24"/>
          <w:lang w:val="en-GB"/>
        </w:rPr>
      </w:pPr>
      <w:r w:rsidRPr="00BB28A0">
        <w:rPr>
          <w:rFonts w:ascii="StobiSerif Regular" w:hAnsi="StobiSerif Regular"/>
          <w:sz w:val="24"/>
          <w:szCs w:val="24"/>
          <w:lang w:val="en-GB"/>
        </w:rPr>
        <w:t xml:space="preserve">The Ministry of Education and Science of the Republic of North Macedonia submitted questionnaires to all public universities, which include: University "Ss. Cyril and Methodius" - Skopje, University "St. </w:t>
      </w:r>
      <w:proofErr w:type="spellStart"/>
      <w:r w:rsidR="00571EC4" w:rsidRPr="00BB28A0">
        <w:rPr>
          <w:rFonts w:ascii="StobiSerif Regular" w:hAnsi="StobiSerif Regular"/>
          <w:sz w:val="24"/>
          <w:szCs w:val="24"/>
          <w:lang w:val="en-GB"/>
        </w:rPr>
        <w:t>Kliment</w:t>
      </w:r>
      <w:proofErr w:type="spellEnd"/>
      <w:r w:rsidR="00571EC4" w:rsidRPr="00BB28A0">
        <w:rPr>
          <w:rFonts w:ascii="StobiSerif Regular" w:hAnsi="StobiSerif Regular"/>
          <w:sz w:val="24"/>
          <w:szCs w:val="24"/>
          <w:lang w:val="en-GB"/>
        </w:rPr>
        <w:t xml:space="preserve"> </w:t>
      </w:r>
      <w:proofErr w:type="spellStart"/>
      <w:r w:rsidR="00571EC4" w:rsidRPr="00BB28A0">
        <w:rPr>
          <w:rFonts w:ascii="StobiSerif Regular" w:hAnsi="StobiSerif Regular"/>
          <w:sz w:val="24"/>
          <w:szCs w:val="24"/>
          <w:lang w:val="en-GB"/>
        </w:rPr>
        <w:t>Ohridski</w:t>
      </w:r>
      <w:proofErr w:type="spellEnd"/>
      <w:r w:rsidRPr="00BB28A0">
        <w:rPr>
          <w:rFonts w:ascii="StobiSerif Regular" w:hAnsi="StobiSerif Regular"/>
          <w:sz w:val="24"/>
          <w:szCs w:val="24"/>
          <w:lang w:val="en-GB"/>
        </w:rPr>
        <w:t xml:space="preserve">" - Bitola, Mother Teresa University, University of Tetovo, University "St. Apostle Paul" - </w:t>
      </w:r>
      <w:proofErr w:type="spellStart"/>
      <w:r w:rsidRPr="00BB28A0">
        <w:rPr>
          <w:rFonts w:ascii="StobiSerif Regular" w:hAnsi="StobiSerif Regular"/>
          <w:sz w:val="24"/>
          <w:szCs w:val="24"/>
          <w:lang w:val="en-GB"/>
        </w:rPr>
        <w:t>Ohrid</w:t>
      </w:r>
      <w:proofErr w:type="spellEnd"/>
      <w:r w:rsidRPr="00BB28A0">
        <w:rPr>
          <w:rFonts w:ascii="StobiSerif Regular" w:hAnsi="StobiSerif Regular"/>
          <w:sz w:val="24"/>
          <w:szCs w:val="24"/>
          <w:lang w:val="en-GB"/>
        </w:rPr>
        <w:t xml:space="preserve"> and University "</w:t>
      </w:r>
      <w:proofErr w:type="spellStart"/>
      <w:r w:rsidRPr="00BB28A0">
        <w:rPr>
          <w:rFonts w:ascii="StobiSerif Regular" w:hAnsi="StobiSerif Regular"/>
          <w:sz w:val="24"/>
          <w:szCs w:val="24"/>
          <w:lang w:val="en-GB"/>
        </w:rPr>
        <w:t>Goce</w:t>
      </w:r>
      <w:proofErr w:type="spellEnd"/>
      <w:r w:rsidRPr="00BB28A0">
        <w:rPr>
          <w:rFonts w:ascii="StobiSerif Regular" w:hAnsi="StobiSerif Regular"/>
          <w:sz w:val="24"/>
          <w:szCs w:val="24"/>
          <w:lang w:val="en-GB"/>
        </w:rPr>
        <w:t xml:space="preserve"> </w:t>
      </w:r>
      <w:proofErr w:type="spellStart"/>
      <w:r w:rsidRPr="00BB28A0">
        <w:rPr>
          <w:rFonts w:ascii="StobiSerif Regular" w:hAnsi="StobiSerif Regular"/>
          <w:sz w:val="24"/>
          <w:szCs w:val="24"/>
          <w:lang w:val="en-GB"/>
        </w:rPr>
        <w:t>Delchev</w:t>
      </w:r>
      <w:proofErr w:type="spellEnd"/>
      <w:r w:rsidRPr="00BB28A0">
        <w:rPr>
          <w:rFonts w:ascii="StobiSerif Regular" w:hAnsi="StobiSerif Regular"/>
          <w:sz w:val="24"/>
          <w:szCs w:val="24"/>
          <w:lang w:val="en-GB"/>
        </w:rPr>
        <w:t xml:space="preserve">" - </w:t>
      </w:r>
      <w:proofErr w:type="spellStart"/>
      <w:r w:rsidRPr="00BB28A0">
        <w:rPr>
          <w:rFonts w:ascii="StobiSerif Regular" w:hAnsi="StobiSerif Regular"/>
          <w:sz w:val="24"/>
          <w:szCs w:val="24"/>
          <w:lang w:val="en-GB"/>
        </w:rPr>
        <w:t>Shtip</w:t>
      </w:r>
      <w:proofErr w:type="spellEnd"/>
      <w:r w:rsidRPr="00BB28A0">
        <w:rPr>
          <w:rFonts w:ascii="StobiSerif Regular" w:hAnsi="StobiSerif Regular"/>
          <w:sz w:val="24"/>
          <w:szCs w:val="24"/>
          <w:lang w:val="en-GB"/>
        </w:rPr>
        <w:t xml:space="preserve">. </w:t>
      </w:r>
    </w:p>
    <w:p w14:paraId="5A0A0966" w14:textId="7E04F9DE" w:rsidR="00ED2D91" w:rsidRPr="00BB28A0" w:rsidRDefault="00ED2D91" w:rsidP="00795779">
      <w:pPr>
        <w:jc w:val="both"/>
        <w:rPr>
          <w:rFonts w:ascii="StobiSerif Regular" w:hAnsi="StobiSerif Regular"/>
          <w:sz w:val="24"/>
          <w:szCs w:val="24"/>
          <w:lang w:val="en-GB"/>
        </w:rPr>
      </w:pPr>
      <w:r w:rsidRPr="00BB28A0">
        <w:rPr>
          <w:rFonts w:ascii="StobiSerif Regular" w:hAnsi="StobiSerif Regular"/>
          <w:sz w:val="24"/>
          <w:szCs w:val="24"/>
          <w:lang w:val="en-GB"/>
        </w:rPr>
        <w:t>Additionally, questionnaires were sent to public scientific institutions</w:t>
      </w:r>
      <w:r w:rsidR="00571EC4" w:rsidRPr="00BB28A0">
        <w:rPr>
          <w:rFonts w:ascii="StobiSerif Regular" w:hAnsi="StobiSerif Regular"/>
          <w:sz w:val="24"/>
          <w:szCs w:val="24"/>
          <w:lang w:val="en-GB"/>
        </w:rPr>
        <w:t xml:space="preserve"> (PSI)</w:t>
      </w:r>
      <w:r w:rsidRPr="00BB28A0">
        <w:rPr>
          <w:rFonts w:ascii="StobiSerif Regular" w:hAnsi="StobiSerif Regular"/>
          <w:sz w:val="24"/>
          <w:szCs w:val="24"/>
          <w:lang w:val="en-GB"/>
        </w:rPr>
        <w:t xml:space="preserve">, such as: PSI Institute of Old Slavic Culture, PSI Institute of Macedonian Language, PSI Institute of Macedonian Literature, PSI Institute of National History, PSI Institute of Intellectual Property, PSI Institute of Film, PSI Institute of Folklore, PSI </w:t>
      </w:r>
      <w:proofErr w:type="spellStart"/>
      <w:r w:rsidRPr="00BB28A0">
        <w:rPr>
          <w:rFonts w:ascii="StobiSerif Regular" w:hAnsi="StobiSerif Regular"/>
          <w:sz w:val="24"/>
          <w:szCs w:val="24"/>
          <w:lang w:val="en-GB"/>
        </w:rPr>
        <w:t>Hydrobiological</w:t>
      </w:r>
      <w:proofErr w:type="spellEnd"/>
      <w:r w:rsidRPr="00BB28A0">
        <w:rPr>
          <w:rFonts w:ascii="StobiSerif Regular" w:hAnsi="StobiSerif Regular"/>
          <w:sz w:val="24"/>
          <w:szCs w:val="24"/>
          <w:lang w:val="en-GB"/>
        </w:rPr>
        <w:t xml:space="preserve"> Institute and PSI Institute of Cultural and Spiritual Heritage of Albanians.</w:t>
      </w:r>
    </w:p>
    <w:p w14:paraId="4C673D70" w14:textId="77777777" w:rsidR="008778D4" w:rsidRPr="00BB28A0" w:rsidRDefault="008778D4" w:rsidP="00795779">
      <w:pPr>
        <w:jc w:val="both"/>
        <w:rPr>
          <w:rFonts w:ascii="StobiSerif Regular" w:hAnsi="StobiSerif Regular"/>
          <w:sz w:val="24"/>
          <w:szCs w:val="24"/>
          <w:lang w:val="en-GB"/>
        </w:rPr>
      </w:pPr>
      <w:r w:rsidRPr="00BB28A0">
        <w:rPr>
          <w:rFonts w:ascii="StobiSerif Regular" w:hAnsi="StobiSerif Regular"/>
          <w:sz w:val="24"/>
          <w:szCs w:val="24"/>
          <w:lang w:val="en-GB"/>
        </w:rPr>
        <w:t xml:space="preserve">Furthermore, the questionnaire was distributed to all private scientific institutions and private universities in the Republic of North Macedonia. </w:t>
      </w:r>
    </w:p>
    <w:p w14:paraId="5AFB3A39" w14:textId="027B3806" w:rsidR="008778D4" w:rsidRPr="00BB28A0" w:rsidRDefault="008778D4" w:rsidP="008778D4">
      <w:pPr>
        <w:jc w:val="both"/>
        <w:rPr>
          <w:rFonts w:ascii="StobiSerif Regular" w:hAnsi="StobiSerif Regular"/>
          <w:sz w:val="24"/>
          <w:szCs w:val="24"/>
          <w:lang w:val="en-GB"/>
        </w:rPr>
      </w:pPr>
      <w:r w:rsidRPr="00BB28A0">
        <w:rPr>
          <w:rFonts w:ascii="StobiSerif Regular" w:hAnsi="StobiSerif Regular"/>
          <w:sz w:val="24"/>
          <w:szCs w:val="24"/>
          <w:lang w:val="en-GB"/>
        </w:rPr>
        <w:t xml:space="preserve">A total of 17 entities engaged in scientific and research activities submitted responses to the questionnaires distributed, namely: University "Ss. Cyril and Methodius" - Skopje, University of Tetovo, University "St. </w:t>
      </w:r>
      <w:proofErr w:type="spellStart"/>
      <w:r w:rsidR="00571EC4" w:rsidRPr="00BB28A0">
        <w:rPr>
          <w:rFonts w:ascii="StobiSerif Regular" w:hAnsi="StobiSerif Regular"/>
          <w:sz w:val="24"/>
          <w:szCs w:val="24"/>
          <w:lang w:val="en-GB"/>
        </w:rPr>
        <w:t>Kliment</w:t>
      </w:r>
      <w:proofErr w:type="spellEnd"/>
      <w:r w:rsidR="00571EC4" w:rsidRPr="00BB28A0">
        <w:rPr>
          <w:rFonts w:ascii="StobiSerif Regular" w:hAnsi="StobiSerif Regular"/>
          <w:sz w:val="24"/>
          <w:szCs w:val="24"/>
          <w:lang w:val="en-GB"/>
        </w:rPr>
        <w:t xml:space="preserve"> </w:t>
      </w:r>
      <w:proofErr w:type="spellStart"/>
      <w:r w:rsidR="00571EC4" w:rsidRPr="00BB28A0">
        <w:rPr>
          <w:rFonts w:ascii="StobiSerif Regular" w:hAnsi="StobiSerif Regular"/>
          <w:sz w:val="24"/>
          <w:szCs w:val="24"/>
          <w:lang w:val="en-GB"/>
        </w:rPr>
        <w:t>Ohridski</w:t>
      </w:r>
      <w:proofErr w:type="spellEnd"/>
      <w:r w:rsidRPr="00BB28A0">
        <w:rPr>
          <w:rFonts w:ascii="StobiSerif Regular" w:hAnsi="StobiSerif Regular"/>
          <w:sz w:val="24"/>
          <w:szCs w:val="24"/>
          <w:lang w:val="en-GB"/>
        </w:rPr>
        <w:t>" - Bitola, University "</w:t>
      </w:r>
      <w:proofErr w:type="spellStart"/>
      <w:r w:rsidRPr="00BB28A0">
        <w:rPr>
          <w:rFonts w:ascii="StobiSerif Regular" w:hAnsi="StobiSerif Regular"/>
          <w:sz w:val="24"/>
          <w:szCs w:val="24"/>
          <w:lang w:val="en-GB"/>
        </w:rPr>
        <w:t>Goce</w:t>
      </w:r>
      <w:proofErr w:type="spellEnd"/>
      <w:r w:rsidRPr="00BB28A0">
        <w:rPr>
          <w:rFonts w:ascii="StobiSerif Regular" w:hAnsi="StobiSerif Regular"/>
          <w:sz w:val="24"/>
          <w:szCs w:val="24"/>
          <w:lang w:val="en-GB"/>
        </w:rPr>
        <w:t xml:space="preserve"> </w:t>
      </w:r>
      <w:proofErr w:type="spellStart"/>
      <w:r w:rsidRPr="00BB28A0">
        <w:rPr>
          <w:rFonts w:ascii="StobiSerif Regular" w:hAnsi="StobiSerif Regular"/>
          <w:sz w:val="24"/>
          <w:szCs w:val="24"/>
          <w:lang w:val="en-GB"/>
        </w:rPr>
        <w:t>Delchev</w:t>
      </w:r>
      <w:proofErr w:type="spellEnd"/>
      <w:r w:rsidRPr="00BB28A0">
        <w:rPr>
          <w:rFonts w:ascii="StobiSerif Regular" w:hAnsi="StobiSerif Regular"/>
          <w:sz w:val="24"/>
          <w:szCs w:val="24"/>
          <w:lang w:val="en-GB"/>
        </w:rPr>
        <w:t xml:space="preserve">" - </w:t>
      </w:r>
      <w:proofErr w:type="spellStart"/>
      <w:r w:rsidRPr="00BB28A0">
        <w:rPr>
          <w:rFonts w:ascii="StobiSerif Regular" w:hAnsi="StobiSerif Regular"/>
          <w:sz w:val="24"/>
          <w:szCs w:val="24"/>
          <w:lang w:val="en-GB"/>
        </w:rPr>
        <w:t>Shtip</w:t>
      </w:r>
      <w:proofErr w:type="spellEnd"/>
      <w:r w:rsidRPr="00BB28A0">
        <w:rPr>
          <w:rFonts w:ascii="StobiSerif Regular" w:hAnsi="StobiSerif Regular"/>
          <w:sz w:val="24"/>
          <w:szCs w:val="24"/>
          <w:lang w:val="en-GB"/>
        </w:rPr>
        <w:t xml:space="preserve">, Mother Teresa University, University of Southeast Europe, Macedonian Academy of Sciences and Arts, PSI Institute of Macedonian Language, PSI Institute of Macedonian Literature, PSI Institute of Cultural and Spiritual Heritage of the Albanians, PSI </w:t>
      </w:r>
      <w:proofErr w:type="spellStart"/>
      <w:r w:rsidRPr="00BB28A0">
        <w:rPr>
          <w:rFonts w:ascii="StobiSerif Regular" w:hAnsi="StobiSerif Regular"/>
          <w:sz w:val="24"/>
          <w:szCs w:val="24"/>
          <w:lang w:val="en-GB"/>
        </w:rPr>
        <w:t>Hydrobiological</w:t>
      </w:r>
      <w:proofErr w:type="spellEnd"/>
      <w:r w:rsidRPr="00BB28A0">
        <w:rPr>
          <w:rFonts w:ascii="StobiSerif Regular" w:hAnsi="StobiSerif Regular"/>
          <w:sz w:val="24"/>
          <w:szCs w:val="24"/>
          <w:lang w:val="en-GB"/>
        </w:rPr>
        <w:t xml:space="preserve"> Institute, PSI Institute of Folklore, PSI Institute of Old Slavic Culture, American College, International Balkan University, MIT University and the private scientific institute </w:t>
      </w:r>
      <w:proofErr w:type="spellStart"/>
      <w:r w:rsidRPr="00BB28A0">
        <w:rPr>
          <w:rFonts w:ascii="StobiSerif Regular" w:hAnsi="StobiSerif Regular"/>
          <w:sz w:val="24"/>
          <w:szCs w:val="24"/>
          <w:lang w:val="en-GB"/>
        </w:rPr>
        <w:t>Institute</w:t>
      </w:r>
      <w:proofErr w:type="spellEnd"/>
      <w:r w:rsidRPr="00BB28A0">
        <w:rPr>
          <w:rFonts w:ascii="StobiSerif Regular" w:hAnsi="StobiSerif Regular"/>
          <w:sz w:val="24"/>
          <w:szCs w:val="24"/>
          <w:lang w:val="en-GB"/>
        </w:rPr>
        <w:t xml:space="preserve"> for Advanced Composites and Robotics - </w:t>
      </w:r>
      <w:proofErr w:type="spellStart"/>
      <w:r w:rsidRPr="00BB28A0">
        <w:rPr>
          <w:rFonts w:ascii="StobiSerif Regular" w:hAnsi="StobiSerif Regular"/>
          <w:sz w:val="24"/>
          <w:szCs w:val="24"/>
          <w:lang w:val="en-GB"/>
        </w:rPr>
        <w:t>Prilep</w:t>
      </w:r>
      <w:proofErr w:type="spellEnd"/>
      <w:r w:rsidRPr="00BB28A0">
        <w:rPr>
          <w:rFonts w:ascii="StobiSerif Regular" w:hAnsi="StobiSerif Regular"/>
          <w:sz w:val="24"/>
          <w:szCs w:val="24"/>
          <w:lang w:val="en-GB"/>
        </w:rPr>
        <w:t>.</w:t>
      </w:r>
    </w:p>
    <w:p w14:paraId="07CAB8DB" w14:textId="3FCF6DEF" w:rsidR="008778D4" w:rsidRPr="00BB28A0" w:rsidRDefault="00571EC4" w:rsidP="008778D4">
      <w:pPr>
        <w:jc w:val="both"/>
        <w:rPr>
          <w:rFonts w:ascii="StobiSerif Regular" w:hAnsi="StobiSerif Regular"/>
          <w:sz w:val="24"/>
          <w:szCs w:val="24"/>
          <w:lang w:val="en-GB"/>
        </w:rPr>
      </w:pPr>
      <w:r w:rsidRPr="00BB28A0">
        <w:rPr>
          <w:rFonts w:ascii="StobiSerif Regular" w:hAnsi="StobiSerif Regular"/>
          <w:sz w:val="24"/>
          <w:szCs w:val="24"/>
          <w:lang w:val="en-GB"/>
        </w:rPr>
        <w:t>For reference, the Q</w:t>
      </w:r>
      <w:r w:rsidR="008778D4" w:rsidRPr="00BB28A0">
        <w:rPr>
          <w:rFonts w:ascii="StobiSerif Regular" w:hAnsi="StobiSerif Regular"/>
          <w:sz w:val="24"/>
          <w:szCs w:val="24"/>
          <w:lang w:val="en-GB"/>
        </w:rPr>
        <w:t xml:space="preserve">uestionnaire is presented in </w:t>
      </w:r>
      <w:r w:rsidR="00330A4A" w:rsidRPr="00BB28A0">
        <w:rPr>
          <w:rFonts w:ascii="StobiSerif Regular" w:hAnsi="StobiSerif Regular"/>
          <w:sz w:val="24"/>
          <w:szCs w:val="24"/>
          <w:lang w:val="en-GB"/>
        </w:rPr>
        <w:t>Appendix</w:t>
      </w:r>
      <w:r w:rsidRPr="00BB28A0">
        <w:rPr>
          <w:rFonts w:ascii="StobiSerif Regular" w:hAnsi="StobiSerif Regular"/>
          <w:sz w:val="24"/>
          <w:szCs w:val="24"/>
          <w:lang w:val="en-GB"/>
        </w:rPr>
        <w:t xml:space="preserve"> </w:t>
      </w:r>
      <w:r w:rsidR="008778D4" w:rsidRPr="00BB28A0">
        <w:rPr>
          <w:rFonts w:ascii="StobiSerif Regular" w:hAnsi="StobiSerif Regular"/>
          <w:sz w:val="24"/>
          <w:szCs w:val="24"/>
          <w:lang w:val="en-GB"/>
        </w:rPr>
        <w:t>2.</w:t>
      </w:r>
    </w:p>
    <w:p w14:paraId="1F8B8944" w14:textId="77777777" w:rsidR="008778D4" w:rsidRPr="00BB28A0" w:rsidRDefault="008778D4" w:rsidP="008778D4">
      <w:pPr>
        <w:pStyle w:val="Heading1"/>
        <w:numPr>
          <w:ilvl w:val="1"/>
          <w:numId w:val="14"/>
        </w:numPr>
        <w:jc w:val="both"/>
        <w:rPr>
          <w:lang w:val="en-GB"/>
        </w:rPr>
      </w:pPr>
      <w:r w:rsidRPr="00BB28A0">
        <w:rPr>
          <w:lang w:val="en-GB"/>
        </w:rPr>
        <w:t>Current legal and policy framework for the development of research infrastructure</w:t>
      </w:r>
    </w:p>
    <w:p w14:paraId="4645C11A" w14:textId="77777777" w:rsidR="000C0C9E" w:rsidRPr="00BB28A0" w:rsidRDefault="000C0C9E" w:rsidP="00795779">
      <w:pPr>
        <w:jc w:val="both"/>
        <w:rPr>
          <w:rFonts w:ascii="StobiSerif Regular" w:hAnsi="StobiSerif Regular"/>
          <w:sz w:val="24"/>
          <w:szCs w:val="24"/>
          <w:lang w:val="en-GB"/>
        </w:rPr>
      </w:pPr>
      <w:r w:rsidRPr="00BB28A0">
        <w:rPr>
          <w:rFonts w:ascii="StobiSerif Regular" w:hAnsi="StobiSerif Regular"/>
          <w:sz w:val="24"/>
          <w:szCs w:val="24"/>
          <w:lang w:val="en-GB"/>
        </w:rPr>
        <w:t>The Ministry of Education and Science is responsible for the development of scientific research, higher education system, and technological development in the Republic of North Macedonia. The legal framework governing research activities is delineated by the Law on Scientific and Research Activity. This Law establishes the principles, objectives, and procedures for conducting scientific and research activities, identifies the entities engaged in these activities, and specifies the mechanisms for financing of scientific and research activities. Article 2 of this Law provides a definition of the term "research infrastructure," as follows:</w:t>
      </w:r>
    </w:p>
    <w:p w14:paraId="65499D1E" w14:textId="5BAC7877" w:rsidR="00D87D9A" w:rsidRPr="00BB28A0" w:rsidRDefault="00D87D9A" w:rsidP="00795779">
      <w:pPr>
        <w:jc w:val="both"/>
        <w:rPr>
          <w:rFonts w:ascii="StobiSerif Regular" w:hAnsi="StobiSerif Regular"/>
          <w:sz w:val="24"/>
          <w:szCs w:val="24"/>
          <w:lang w:val="en-GB"/>
        </w:rPr>
      </w:pPr>
      <w:r w:rsidRPr="00BB28A0">
        <w:rPr>
          <w:rFonts w:ascii="StobiSerif Regular" w:hAnsi="StobiSerif Regular"/>
          <w:sz w:val="24"/>
          <w:szCs w:val="24"/>
          <w:lang w:val="en-GB"/>
        </w:rPr>
        <w:t xml:space="preserve">“Scientific and research infrastructure includes facilities, laboratories, experimental stations, innovation </w:t>
      </w:r>
      <w:r w:rsidR="00BB28A0" w:rsidRPr="00BB28A0">
        <w:rPr>
          <w:rFonts w:ascii="StobiSerif Regular" w:hAnsi="StobiSerif Regular"/>
          <w:sz w:val="24"/>
          <w:szCs w:val="24"/>
          <w:lang w:val="en-GB"/>
        </w:rPr>
        <w:t>centres</w:t>
      </w:r>
      <w:r w:rsidRPr="00BB28A0">
        <w:rPr>
          <w:rFonts w:ascii="StobiSerif Regular" w:hAnsi="StobiSerif Regular"/>
          <w:sz w:val="24"/>
          <w:szCs w:val="24"/>
          <w:lang w:val="en-GB"/>
        </w:rPr>
        <w:t xml:space="preserve">, computing </w:t>
      </w:r>
      <w:r w:rsidR="00BB28A0" w:rsidRPr="00BB28A0">
        <w:rPr>
          <w:rFonts w:ascii="StobiSerif Regular" w:hAnsi="StobiSerif Regular"/>
          <w:sz w:val="24"/>
          <w:szCs w:val="24"/>
          <w:lang w:val="en-GB"/>
        </w:rPr>
        <w:t>centres</w:t>
      </w:r>
      <w:r w:rsidRPr="00BB28A0">
        <w:rPr>
          <w:rFonts w:ascii="StobiSerif Regular" w:hAnsi="StobiSerif Regular"/>
          <w:sz w:val="24"/>
          <w:szCs w:val="24"/>
          <w:lang w:val="en-GB"/>
        </w:rPr>
        <w:t xml:space="preserve">, scientific equipment, library-information and referral </w:t>
      </w:r>
      <w:r w:rsidR="00BB28A0" w:rsidRPr="00BB28A0">
        <w:rPr>
          <w:rFonts w:ascii="StobiSerif Regular" w:hAnsi="StobiSerif Regular"/>
          <w:sz w:val="24"/>
          <w:szCs w:val="24"/>
          <w:lang w:val="en-GB"/>
        </w:rPr>
        <w:t>centres</w:t>
      </w:r>
      <w:r w:rsidRPr="00BB28A0">
        <w:rPr>
          <w:rFonts w:ascii="StobiSerif Regular" w:hAnsi="StobiSerif Regular"/>
          <w:sz w:val="24"/>
          <w:szCs w:val="24"/>
          <w:lang w:val="en-GB"/>
        </w:rPr>
        <w:t>, archival and publishing documentation, as well as any other elements that contribute to scientific research.”</w:t>
      </w:r>
    </w:p>
    <w:p w14:paraId="0B09EABC" w14:textId="77777777" w:rsidR="00D87D9A" w:rsidRPr="00BB28A0" w:rsidRDefault="00D87D9A" w:rsidP="004C1585">
      <w:pPr>
        <w:jc w:val="both"/>
        <w:rPr>
          <w:rFonts w:ascii="StobiSerif Regular" w:hAnsi="StobiSerif Regular"/>
          <w:sz w:val="24"/>
          <w:szCs w:val="24"/>
          <w:lang w:val="en-GB"/>
        </w:rPr>
      </w:pPr>
      <w:r w:rsidRPr="00BB28A0">
        <w:rPr>
          <w:rFonts w:ascii="StobiSerif Regular" w:hAnsi="StobiSerif Regular"/>
          <w:sz w:val="24"/>
          <w:szCs w:val="24"/>
          <w:lang w:val="en-GB"/>
        </w:rPr>
        <w:lastRenderedPageBreak/>
        <w:t>The legal framework consists of the Law on Scientific and Research Activity - adopted in 2008 and amended 14 times so far ("Official Gazette of the Republic of Macedonia" No. 46/08, 103/08, 24/11, 80/12, 24/13, 147/13, 41/14, 145/15, 154/15, 30/16 and 53/16 and "Official Gazette of the Republic of North Macedonia" No. 257/20, 163/21, 64/24 and 235/24), the Law on Higher Education ("Official Gazette of the Republic of Macedonia" No. 82/2018) and the Law on the Macedonian Academy of Sciences and Arts ("Official Gazette of the Republic of North Macedonia" No. 13/96, 13/96, No. 5/2009 and 59/2012).</w:t>
      </w:r>
    </w:p>
    <w:p w14:paraId="0F409990" w14:textId="77777777" w:rsidR="00D87D9A" w:rsidRPr="00BB28A0" w:rsidRDefault="00D87D9A" w:rsidP="004C1585">
      <w:pPr>
        <w:jc w:val="both"/>
        <w:rPr>
          <w:rFonts w:ascii="StobiSerif Regular" w:hAnsi="StobiSerif Regular"/>
          <w:sz w:val="24"/>
          <w:szCs w:val="24"/>
          <w:lang w:val="en-GB"/>
        </w:rPr>
      </w:pPr>
      <w:r w:rsidRPr="00BB28A0">
        <w:rPr>
          <w:rFonts w:ascii="StobiSerif Regular" w:hAnsi="StobiSerif Regular"/>
          <w:sz w:val="24"/>
          <w:szCs w:val="24"/>
          <w:lang w:val="en-GB"/>
        </w:rPr>
        <w:t>In the context of international cooperation, both multilateral and bilateral, the Law on the Conclusion, Ratification, and Execution of International Agreements ("Official Gazette of the Republic of Macedonia," No. 5/98) is also relevant.</w:t>
      </w:r>
    </w:p>
    <w:p w14:paraId="492A295C" w14:textId="77777777" w:rsidR="00D87D9A" w:rsidRPr="00BB28A0" w:rsidRDefault="00D87D9A" w:rsidP="004C1585">
      <w:pPr>
        <w:jc w:val="both"/>
        <w:rPr>
          <w:rFonts w:ascii="StobiSerif Regular" w:hAnsi="StobiSerif Regular"/>
          <w:sz w:val="24"/>
          <w:szCs w:val="24"/>
          <w:lang w:val="en-GB"/>
        </w:rPr>
      </w:pPr>
      <w:r w:rsidRPr="00BB28A0">
        <w:rPr>
          <w:rFonts w:ascii="StobiSerif Regular" w:hAnsi="StobiSerif Regular"/>
          <w:sz w:val="24"/>
          <w:szCs w:val="24"/>
          <w:lang w:val="en-GB"/>
        </w:rPr>
        <w:t>With regard to innovations and patents, the legal framework consists of the Law on Innovation Activity ("Official Gazette of the Republic of Macedonia" No. 79/13, 137/13, 41/14, 44/15, 6/16, 53/16, 190/16 and 64/18 and "Official Gazette of the Republic of North Macedonia" No. 235/24) and the Law on Industrial Property ("Official Gazette of the Republic of Macedonia" No. 21/2009, 24/2011, 12/2014, 152/2015, 53/2016, 83/2018 and 31/2020).</w:t>
      </w:r>
    </w:p>
    <w:p w14:paraId="5314BA17" w14:textId="7B7F0C90" w:rsidR="004C1585" w:rsidRPr="00BB28A0" w:rsidRDefault="003E18C2" w:rsidP="003E18C2">
      <w:pPr>
        <w:jc w:val="both"/>
        <w:rPr>
          <w:rFonts w:ascii="StobiSerif Regular" w:hAnsi="StobiSerif Regular"/>
          <w:sz w:val="24"/>
          <w:szCs w:val="24"/>
          <w:lang w:val="en-GB"/>
        </w:rPr>
      </w:pPr>
      <w:r w:rsidRPr="00BB28A0">
        <w:rPr>
          <w:rFonts w:ascii="StobiSerif Regular" w:hAnsi="StobiSerif Regular"/>
          <w:sz w:val="24"/>
          <w:szCs w:val="24"/>
          <w:lang w:val="en-GB"/>
        </w:rPr>
        <w:t xml:space="preserve">The legal framework is complemented by by-laws, including the Rulebook on the Standards and Norms for Establishing Scientific Institutes and Conducting Scientific Research Activities ("Official Gazette of the Republic of North Macedonia," No. 245/22) and the Rulebook Determining Professional and Scientific Titles (Official Gazette 125/2023, dated 15 June 2023, and Official Gazette 194, dated 18 September 2023). Several rulebooks in this area, such as the Rulebook on the Method and Procedure for Election to a Higher Scientific Title, the Rulebook on the Procedure and Detailed Criteria for Early Election to Scientific Titles, the Rulebook on the Procedure and Detailed Criteria for Co-financing Publishing Activities, the Rulebook on the Method and Procedure for Financing Scientific Research Projects or Programmes, the Rulebook Amending the Rulebook on the Method and Procedure for Financing, Creating, and Developing Scientific and Research Personnel (all published in the Official Gazette of the Republic of Macedonia, No. 82 of 2009), and the Rulebook on the Special Criteria for Declaration and External Evaluation of Scientific </w:t>
      </w:r>
      <w:r w:rsidR="00BB28A0" w:rsidRPr="00BB28A0">
        <w:rPr>
          <w:rFonts w:ascii="StobiSerif Regular" w:hAnsi="StobiSerif Regular"/>
          <w:sz w:val="24"/>
          <w:szCs w:val="24"/>
          <w:lang w:val="en-GB"/>
        </w:rPr>
        <w:t>Centres</w:t>
      </w:r>
      <w:r w:rsidRPr="00BB28A0">
        <w:rPr>
          <w:rFonts w:ascii="StobiSerif Regular" w:hAnsi="StobiSerif Regular"/>
          <w:sz w:val="24"/>
          <w:szCs w:val="24"/>
          <w:lang w:val="en-GB"/>
        </w:rPr>
        <w:t xml:space="preserve"> of Excellence (published in the Official Gazette of the Republic of Macedonia, No. 35 of 2014) are not fully harmonized with the new Law on Higher Education or with the new by-laws that have been adopted in the meantime</w:t>
      </w:r>
      <w:r w:rsidR="00F765CE" w:rsidRPr="00BB28A0">
        <w:rPr>
          <w:rFonts w:ascii="StobiSerif Regular" w:hAnsi="StobiSerif Regular"/>
          <w:sz w:val="24"/>
          <w:szCs w:val="24"/>
          <w:lang w:val="en-GB"/>
        </w:rPr>
        <w:t>.</w:t>
      </w:r>
      <w:r w:rsidR="00F765CE" w:rsidRPr="00BB28A0">
        <w:rPr>
          <w:rStyle w:val="FootnoteReference"/>
          <w:rFonts w:ascii="StobiSerif Regular" w:hAnsi="StobiSerif Regular"/>
          <w:sz w:val="24"/>
          <w:szCs w:val="24"/>
          <w:lang w:val="en-GB"/>
        </w:rPr>
        <w:footnoteReference w:id="9"/>
      </w:r>
      <w:r w:rsidR="004C1585" w:rsidRPr="00BB28A0">
        <w:rPr>
          <w:rFonts w:ascii="StobiSerif Regular" w:hAnsi="StobiSerif Regular"/>
          <w:sz w:val="24"/>
          <w:szCs w:val="24"/>
          <w:lang w:val="en-GB"/>
        </w:rPr>
        <w:t xml:space="preserve"> </w:t>
      </w:r>
    </w:p>
    <w:p w14:paraId="41A2837F" w14:textId="77777777" w:rsidR="003E18C2" w:rsidRPr="00BB28A0" w:rsidRDefault="003E18C2" w:rsidP="00795779">
      <w:pPr>
        <w:jc w:val="both"/>
        <w:rPr>
          <w:rFonts w:ascii="StobiSerif Regular" w:hAnsi="StobiSerif Regular"/>
          <w:sz w:val="24"/>
          <w:szCs w:val="24"/>
          <w:lang w:val="en-GB"/>
        </w:rPr>
      </w:pPr>
      <w:r w:rsidRPr="00BB28A0">
        <w:rPr>
          <w:rFonts w:ascii="StobiSerif Regular" w:hAnsi="StobiSerif Regular"/>
          <w:sz w:val="24"/>
          <w:szCs w:val="24"/>
          <w:lang w:val="en-GB"/>
        </w:rPr>
        <w:t xml:space="preserve">In light of the aforementioned developments, on 25 November 2024, the Minister of Education and Science </w:t>
      </w:r>
      <w:proofErr w:type="spellStart"/>
      <w:r w:rsidRPr="00BB28A0">
        <w:rPr>
          <w:rFonts w:ascii="StobiSerif Regular" w:hAnsi="StobiSerif Regular"/>
          <w:sz w:val="24"/>
          <w:szCs w:val="24"/>
          <w:lang w:val="en-GB"/>
        </w:rPr>
        <w:t>Prof.</w:t>
      </w:r>
      <w:proofErr w:type="spellEnd"/>
      <w:r w:rsidRPr="00BB28A0">
        <w:rPr>
          <w:rFonts w:ascii="StobiSerif Regular" w:hAnsi="StobiSerif Regular"/>
          <w:sz w:val="24"/>
          <w:szCs w:val="24"/>
          <w:lang w:val="en-GB"/>
        </w:rPr>
        <w:t xml:space="preserve"> </w:t>
      </w:r>
      <w:proofErr w:type="spellStart"/>
      <w:r w:rsidRPr="00BB28A0">
        <w:rPr>
          <w:rFonts w:ascii="StobiSerif Regular" w:hAnsi="StobiSerif Regular"/>
          <w:sz w:val="24"/>
          <w:szCs w:val="24"/>
          <w:lang w:val="en-GB"/>
        </w:rPr>
        <w:t>Dr.</w:t>
      </w:r>
      <w:proofErr w:type="spellEnd"/>
      <w:r w:rsidRPr="00BB28A0">
        <w:rPr>
          <w:rFonts w:ascii="StobiSerif Regular" w:hAnsi="StobiSerif Regular"/>
          <w:sz w:val="24"/>
          <w:szCs w:val="24"/>
          <w:lang w:val="en-GB"/>
        </w:rPr>
        <w:t xml:space="preserve"> </w:t>
      </w:r>
      <w:proofErr w:type="spellStart"/>
      <w:r w:rsidRPr="00BB28A0">
        <w:rPr>
          <w:rFonts w:ascii="StobiSerif Regular" w:hAnsi="StobiSerif Regular"/>
          <w:sz w:val="24"/>
          <w:szCs w:val="24"/>
          <w:lang w:val="en-GB"/>
        </w:rPr>
        <w:t>Vesna</w:t>
      </w:r>
      <w:proofErr w:type="spellEnd"/>
      <w:r w:rsidRPr="00BB28A0">
        <w:rPr>
          <w:rFonts w:ascii="StobiSerif Regular" w:hAnsi="StobiSerif Regular"/>
          <w:sz w:val="24"/>
          <w:szCs w:val="24"/>
          <w:lang w:val="en-GB"/>
        </w:rPr>
        <w:t xml:space="preserve"> </w:t>
      </w:r>
      <w:proofErr w:type="spellStart"/>
      <w:r w:rsidRPr="00BB28A0">
        <w:rPr>
          <w:rFonts w:ascii="StobiSerif Regular" w:hAnsi="StobiSerif Regular"/>
          <w:sz w:val="24"/>
          <w:szCs w:val="24"/>
          <w:lang w:val="en-GB"/>
        </w:rPr>
        <w:t>Janevska</w:t>
      </w:r>
      <w:proofErr w:type="spellEnd"/>
      <w:r w:rsidRPr="00BB28A0">
        <w:rPr>
          <w:rFonts w:ascii="StobiSerif Regular" w:hAnsi="StobiSerif Regular"/>
          <w:sz w:val="24"/>
          <w:szCs w:val="24"/>
          <w:lang w:val="en-GB"/>
        </w:rPr>
        <w:t xml:space="preserve"> issued a decision to establish a working group comprised of distinguished professors for the purpose of drafting a Law on Scientific and Research Activity. </w:t>
      </w:r>
    </w:p>
    <w:p w14:paraId="452874EE" w14:textId="77777777" w:rsidR="003E18C2" w:rsidRPr="00BB28A0" w:rsidRDefault="003E18C2" w:rsidP="00795779">
      <w:pPr>
        <w:jc w:val="both"/>
        <w:rPr>
          <w:rFonts w:ascii="StobiSerif Regular" w:hAnsi="StobiSerif Regular"/>
          <w:sz w:val="24"/>
          <w:szCs w:val="24"/>
          <w:lang w:val="en-GB"/>
        </w:rPr>
      </w:pPr>
      <w:r w:rsidRPr="00BB28A0">
        <w:rPr>
          <w:rFonts w:ascii="StobiSerif Regular" w:hAnsi="StobiSerif Regular"/>
          <w:sz w:val="24"/>
          <w:szCs w:val="24"/>
          <w:lang w:val="en-GB"/>
        </w:rPr>
        <w:t>The Fund for Innovation and Technological Development and the Ministry of Education and Science have successfully implemented the National Innovation Strategy for the period 2012-</w:t>
      </w:r>
      <w:r w:rsidRPr="00BB28A0">
        <w:rPr>
          <w:rFonts w:ascii="StobiSerif Regular" w:hAnsi="StobiSerif Regular"/>
          <w:sz w:val="24"/>
          <w:szCs w:val="24"/>
          <w:lang w:val="en-GB"/>
        </w:rPr>
        <w:lastRenderedPageBreak/>
        <w:t>2020. Building upon this foundation, the Smart Specialization Strategy has been developed as the next phase of this strategic framework.</w:t>
      </w:r>
    </w:p>
    <w:p w14:paraId="20206382" w14:textId="77777777" w:rsidR="00E734B8" w:rsidRPr="00BB28A0" w:rsidRDefault="00E734B8" w:rsidP="00E734B8">
      <w:pPr>
        <w:pStyle w:val="Heading1"/>
        <w:numPr>
          <w:ilvl w:val="2"/>
          <w:numId w:val="14"/>
        </w:numPr>
        <w:rPr>
          <w:lang w:val="en-GB"/>
        </w:rPr>
      </w:pPr>
      <w:r w:rsidRPr="00BB28A0">
        <w:rPr>
          <w:lang w:val="en-GB"/>
        </w:rPr>
        <w:t>Smart Specialisation Strategy</w:t>
      </w:r>
    </w:p>
    <w:p w14:paraId="22F73B88" w14:textId="77777777" w:rsidR="00E734B8" w:rsidRPr="00BB28A0" w:rsidRDefault="00E734B8" w:rsidP="00E734B8">
      <w:pPr>
        <w:jc w:val="both"/>
        <w:rPr>
          <w:rFonts w:ascii="StobiSerif Regular" w:hAnsi="StobiSerif Regular"/>
          <w:sz w:val="24"/>
          <w:szCs w:val="24"/>
          <w:lang w:val="en-GB"/>
        </w:rPr>
      </w:pPr>
      <w:r w:rsidRPr="00BB28A0">
        <w:rPr>
          <w:rFonts w:ascii="StobiSerif Regular" w:hAnsi="StobiSerif Regular"/>
          <w:sz w:val="24"/>
          <w:szCs w:val="24"/>
          <w:lang w:val="en-GB"/>
        </w:rPr>
        <w:t>Smart specialisation is an innovation policy concept that aims to boost regional innovation, contributing to growth and prosperity by focusing on regional strengths. Smart specialisation is based on partnerships between businesses, public institutions and scientific institutions.</w:t>
      </w:r>
    </w:p>
    <w:p w14:paraId="7ED2C8AF" w14:textId="77777777" w:rsidR="00E734B8" w:rsidRPr="00BB28A0" w:rsidRDefault="00E734B8" w:rsidP="00E734B8">
      <w:pPr>
        <w:jc w:val="both"/>
        <w:rPr>
          <w:rFonts w:ascii="StobiSerif Regular" w:hAnsi="StobiSerif Regular"/>
          <w:sz w:val="24"/>
          <w:szCs w:val="24"/>
          <w:lang w:val="en-GB"/>
        </w:rPr>
      </w:pPr>
      <w:r w:rsidRPr="00BB28A0">
        <w:rPr>
          <w:rFonts w:ascii="StobiSerif Regular" w:hAnsi="StobiSerif Regular"/>
          <w:sz w:val="24"/>
          <w:szCs w:val="24"/>
          <w:lang w:val="en-GB"/>
        </w:rPr>
        <w:t xml:space="preserve">The EU Regulation defines smart specialisation strategy as follows: ‘Smart specialisation strategy’ means the national or regional innovation strategies which set priorities in order to build competitive advantage by developing and matching research and innovation own strengths to business needs in order to address emerging opportunities and market developments in a coherent manner, while avoiding duplication and fragmentation of efforts. A smart specialisation strategy may take the form of, or be included in a national or regional research and innovation strategic policy framework. </w:t>
      </w:r>
    </w:p>
    <w:p w14:paraId="6DC74749" w14:textId="4786AD89" w:rsidR="00A727B0" w:rsidRPr="00BB28A0" w:rsidRDefault="00625F34" w:rsidP="00C20160">
      <w:pPr>
        <w:jc w:val="both"/>
        <w:rPr>
          <w:rFonts w:ascii="StobiSerif Regular" w:hAnsi="StobiSerif Regular"/>
          <w:sz w:val="24"/>
          <w:szCs w:val="24"/>
          <w:lang w:val="en-GB"/>
        </w:rPr>
      </w:pPr>
      <w:r w:rsidRPr="00BB28A0">
        <w:rPr>
          <w:rFonts w:ascii="StobiSerif Regular" w:hAnsi="StobiSerif Regular"/>
          <w:sz w:val="24"/>
          <w:szCs w:val="24"/>
          <w:lang w:val="en-GB"/>
        </w:rPr>
        <w:t xml:space="preserve">In response to the necessity for a transition towards new growth opportunities and social advancement, as well as the imperative to address economic challenges and enhance the quality of life for all </w:t>
      </w:r>
      <w:r w:rsidR="00715A7E" w:rsidRPr="00BB28A0">
        <w:rPr>
          <w:rFonts w:ascii="StobiSerif Regular" w:hAnsi="StobiSerif Regular"/>
          <w:sz w:val="24"/>
          <w:szCs w:val="24"/>
          <w:lang w:val="en-GB"/>
        </w:rPr>
        <w:t xml:space="preserve">its </w:t>
      </w:r>
      <w:r w:rsidRPr="00BB28A0">
        <w:rPr>
          <w:rFonts w:ascii="StobiSerif Regular" w:hAnsi="StobiSerif Regular"/>
          <w:sz w:val="24"/>
          <w:szCs w:val="24"/>
          <w:lang w:val="en-GB"/>
        </w:rPr>
        <w:t xml:space="preserve">citizens, North Macedonia initiated the development of the Smart Specialization Strategy (S3) in 2018. This Strategy represents a comprehensive framework for advancing the innovation ecosystem, emphasizing robust support for research, development, and innovation to foster sustainable economic growth and development by leveraging the capabilities of industry, science, and society. The identification of key domains with strong economic, innovative, and research capabilities, along with increased investments to enhance their excellence, will promote research, development, and innovation tailored to the specific needs of the business sector. </w:t>
      </w:r>
      <w:r w:rsidR="00081C5F" w:rsidRPr="00BB28A0">
        <w:rPr>
          <w:rFonts w:ascii="StobiSerif Regular" w:hAnsi="StobiSerif Regular"/>
          <w:sz w:val="24"/>
          <w:szCs w:val="24"/>
          <w:lang w:val="en-GB"/>
        </w:rPr>
        <w:t>This approach is expected to enhance competitiveness and lead to the creation of new products and services with added value, generate new business opportunities, open up new markets, and create new jobs. Additionally, it will promote a multidisciplinary approach and foster cross-sector cooperation, contributing positively to the establishment of a knowledge-based and innovation-driven economy. The Smart Specialization Strategy plays a crucial role in nurturing the growth of emerging and rapidly developing industries and enterprises, while also stimulating the green and digital transition.</w:t>
      </w:r>
      <w:r w:rsidR="00101E92" w:rsidRPr="00BB28A0">
        <w:rPr>
          <w:rFonts w:ascii="StobiSerif Regular" w:hAnsi="StobiSerif Regular"/>
          <w:sz w:val="24"/>
          <w:szCs w:val="24"/>
          <w:lang w:val="en-GB"/>
        </w:rPr>
        <w:t xml:space="preserve"> The Smart Specialization Strategy of the Republic of North Macedonia 2024-2027 (S3-MK)</w:t>
      </w:r>
      <w:r w:rsidR="00101E92" w:rsidRPr="00BB28A0">
        <w:rPr>
          <w:rStyle w:val="FootnoteReference"/>
          <w:rFonts w:ascii="StobiSerif Regular" w:hAnsi="StobiSerif Regular"/>
          <w:sz w:val="24"/>
          <w:szCs w:val="24"/>
          <w:lang w:val="en-GB"/>
        </w:rPr>
        <w:footnoteReference w:id="10"/>
      </w:r>
      <w:r w:rsidR="00101E92" w:rsidRPr="00BB28A0">
        <w:rPr>
          <w:rFonts w:ascii="StobiSerif Regular" w:hAnsi="StobiSerif Regular"/>
          <w:sz w:val="24"/>
          <w:szCs w:val="24"/>
          <w:lang w:val="en-GB"/>
        </w:rPr>
        <w:t xml:space="preserve"> is the outcome of an in-depth analytical process and extensive consultations with stakeholders, following the quadruple helix model. </w:t>
      </w:r>
      <w:r w:rsidR="00A727B0" w:rsidRPr="00BB28A0">
        <w:rPr>
          <w:rFonts w:ascii="StobiSerif Regular" w:hAnsi="StobiSerif Regular"/>
          <w:sz w:val="24"/>
          <w:szCs w:val="24"/>
          <w:lang w:val="en-GB"/>
        </w:rPr>
        <w:t>Employing a bottom-up approach that encouraged collaborative dialogue among all participants, the strategic vision, key priorities, and proposed activities were established, which are expected to accelerate the transformation and the transition towards a more innovative economy and a knowledge-based society.</w:t>
      </w:r>
    </w:p>
    <w:p w14:paraId="613A4510" w14:textId="660E097B" w:rsidR="001F2075" w:rsidRPr="00BB28A0" w:rsidRDefault="001F2075" w:rsidP="00C20160">
      <w:pPr>
        <w:jc w:val="both"/>
        <w:rPr>
          <w:rFonts w:ascii="StobiSerif Regular" w:hAnsi="StobiSerif Regular"/>
          <w:sz w:val="24"/>
          <w:szCs w:val="24"/>
          <w:lang w:val="en-GB"/>
        </w:rPr>
      </w:pPr>
      <w:r w:rsidRPr="00BB28A0">
        <w:rPr>
          <w:rFonts w:ascii="StobiSerif Regular" w:hAnsi="StobiSerif Regular"/>
          <w:sz w:val="24"/>
          <w:szCs w:val="24"/>
          <w:lang w:val="en-GB"/>
        </w:rPr>
        <w:t>The Smart Specialization Strategy is promoting smart growth by defining high-priority domains that possess the most significant potential for economic development, innovation, and research and development</w:t>
      </w:r>
      <w:r w:rsidR="00715A7E" w:rsidRPr="00BB28A0">
        <w:rPr>
          <w:rFonts w:ascii="StobiSerif Regular" w:hAnsi="StobiSerif Regular"/>
          <w:sz w:val="24"/>
          <w:szCs w:val="24"/>
          <w:lang w:val="en-GB"/>
        </w:rPr>
        <w:t xml:space="preserve"> and creating additional value</w:t>
      </w:r>
      <w:r w:rsidRPr="00BB28A0">
        <w:rPr>
          <w:rFonts w:ascii="StobiSerif Regular" w:hAnsi="StobiSerif Regular"/>
          <w:sz w:val="24"/>
          <w:szCs w:val="24"/>
          <w:lang w:val="en-GB"/>
        </w:rPr>
        <w:t xml:space="preserve">. </w:t>
      </w:r>
    </w:p>
    <w:p w14:paraId="2CCE0681" w14:textId="181E65F6" w:rsidR="001F2075" w:rsidRPr="00BB28A0" w:rsidRDefault="001F2075" w:rsidP="00C20160">
      <w:pPr>
        <w:jc w:val="both"/>
        <w:rPr>
          <w:rFonts w:ascii="StobiSerif Regular" w:hAnsi="StobiSerif Regular"/>
          <w:sz w:val="24"/>
          <w:szCs w:val="24"/>
          <w:lang w:val="en-GB"/>
        </w:rPr>
      </w:pPr>
      <w:r w:rsidRPr="00BB28A0">
        <w:rPr>
          <w:rFonts w:ascii="StobiSerif Regular" w:hAnsi="StobiSerif Regular"/>
          <w:sz w:val="24"/>
          <w:szCs w:val="24"/>
          <w:lang w:val="en-GB"/>
        </w:rPr>
        <w:lastRenderedPageBreak/>
        <w:t>Through careful analysis and dialogue, four vertical and two horizontal priority domains have been identified:</w:t>
      </w:r>
    </w:p>
    <w:p w14:paraId="3DBFB823" w14:textId="77777777" w:rsidR="001F2075" w:rsidRPr="00BB28A0" w:rsidRDefault="001F2075" w:rsidP="001F2075">
      <w:pPr>
        <w:pStyle w:val="ListParagraph"/>
        <w:numPr>
          <w:ilvl w:val="0"/>
          <w:numId w:val="19"/>
        </w:numPr>
        <w:jc w:val="both"/>
        <w:rPr>
          <w:rFonts w:ascii="StobiSerif Regular" w:hAnsi="StobiSerif Regular"/>
          <w:sz w:val="24"/>
          <w:szCs w:val="24"/>
          <w:lang w:val="en-GB"/>
        </w:rPr>
      </w:pPr>
      <w:r w:rsidRPr="00BB28A0">
        <w:rPr>
          <w:rFonts w:ascii="StobiSerif Regular" w:hAnsi="StobiSerif Regular"/>
          <w:sz w:val="24"/>
          <w:szCs w:val="24"/>
          <w:lang w:val="en-GB"/>
        </w:rPr>
        <w:t>Smart Agriculture and Food with Higher Added Value</w:t>
      </w:r>
    </w:p>
    <w:p w14:paraId="7F07F439" w14:textId="77777777" w:rsidR="001F2075" w:rsidRPr="00BB28A0" w:rsidRDefault="001F2075" w:rsidP="001F2075">
      <w:pPr>
        <w:pStyle w:val="ListParagraph"/>
        <w:numPr>
          <w:ilvl w:val="0"/>
          <w:numId w:val="19"/>
        </w:numPr>
        <w:jc w:val="both"/>
        <w:rPr>
          <w:rFonts w:ascii="StobiSerif Regular" w:hAnsi="StobiSerif Regular"/>
          <w:sz w:val="24"/>
          <w:szCs w:val="24"/>
          <w:lang w:val="en-GB"/>
        </w:rPr>
      </w:pPr>
      <w:r w:rsidRPr="00BB28A0">
        <w:rPr>
          <w:rFonts w:ascii="StobiSerif Regular" w:hAnsi="StobiSerif Regular"/>
          <w:sz w:val="24"/>
          <w:szCs w:val="24"/>
          <w:lang w:val="en-GB"/>
        </w:rPr>
        <w:t>Information and Communication Technologies (ICT)</w:t>
      </w:r>
    </w:p>
    <w:p w14:paraId="6F3122EB" w14:textId="77777777" w:rsidR="001F2075" w:rsidRPr="00BB28A0" w:rsidRDefault="001F2075" w:rsidP="001F2075">
      <w:pPr>
        <w:pStyle w:val="ListParagraph"/>
        <w:numPr>
          <w:ilvl w:val="0"/>
          <w:numId w:val="19"/>
        </w:numPr>
        <w:jc w:val="both"/>
        <w:rPr>
          <w:rFonts w:ascii="StobiSerif Regular" w:hAnsi="StobiSerif Regular"/>
          <w:sz w:val="24"/>
          <w:szCs w:val="24"/>
          <w:lang w:val="en-GB"/>
        </w:rPr>
      </w:pPr>
      <w:r w:rsidRPr="00BB28A0">
        <w:rPr>
          <w:rFonts w:ascii="StobiSerif Regular" w:hAnsi="StobiSerif Regular"/>
          <w:sz w:val="24"/>
          <w:szCs w:val="24"/>
          <w:lang w:val="en-GB"/>
        </w:rPr>
        <w:t>Electro-Mechanical Industry – Industry 4.0</w:t>
      </w:r>
    </w:p>
    <w:p w14:paraId="4E4D24DB" w14:textId="4B158715" w:rsidR="001F2075" w:rsidRPr="00BB28A0" w:rsidRDefault="001F2075" w:rsidP="001F2075">
      <w:pPr>
        <w:pStyle w:val="ListParagraph"/>
        <w:numPr>
          <w:ilvl w:val="0"/>
          <w:numId w:val="19"/>
        </w:numPr>
        <w:jc w:val="both"/>
        <w:rPr>
          <w:rFonts w:ascii="StobiSerif Regular" w:hAnsi="StobiSerif Regular"/>
          <w:sz w:val="24"/>
          <w:szCs w:val="24"/>
          <w:lang w:val="en-GB"/>
        </w:rPr>
      </w:pPr>
      <w:r w:rsidRPr="00BB28A0">
        <w:rPr>
          <w:rFonts w:ascii="StobiSerif Regular" w:hAnsi="StobiSerif Regular"/>
          <w:sz w:val="24"/>
          <w:szCs w:val="24"/>
          <w:lang w:val="en-GB"/>
        </w:rPr>
        <w:t xml:space="preserve">Sustainable Materials and Smart Buildings  </w:t>
      </w:r>
    </w:p>
    <w:p w14:paraId="7F4A27CC" w14:textId="77777777" w:rsidR="001F2075" w:rsidRPr="00BB28A0" w:rsidRDefault="001F2075" w:rsidP="00C20160">
      <w:pPr>
        <w:jc w:val="both"/>
        <w:rPr>
          <w:rFonts w:ascii="StobiSerif Regular" w:hAnsi="StobiSerif Regular"/>
          <w:sz w:val="24"/>
          <w:szCs w:val="24"/>
          <w:lang w:val="en-GB"/>
        </w:rPr>
      </w:pPr>
      <w:r w:rsidRPr="00BB28A0">
        <w:rPr>
          <w:rFonts w:ascii="StobiSerif Regular" w:hAnsi="StobiSerif Regular"/>
          <w:sz w:val="24"/>
          <w:szCs w:val="24"/>
          <w:lang w:val="en-GB"/>
        </w:rPr>
        <w:t>The horizontal domains, "Energy for the Future" and "Tourism" are interrelated with the vertical domains and have potentials for cross-innovation.</w:t>
      </w:r>
    </w:p>
    <w:p w14:paraId="028C9755" w14:textId="77777777" w:rsidR="00177D9A" w:rsidRPr="00BB28A0" w:rsidRDefault="00177D9A" w:rsidP="00C20160">
      <w:pPr>
        <w:jc w:val="both"/>
        <w:rPr>
          <w:rFonts w:ascii="StobiSerif Regular" w:hAnsi="StobiSerif Regular"/>
          <w:sz w:val="24"/>
          <w:szCs w:val="24"/>
          <w:lang w:val="en-GB"/>
        </w:rPr>
      </w:pPr>
      <w:r w:rsidRPr="00BB28A0">
        <w:rPr>
          <w:rFonts w:ascii="StobiSerif Regular" w:hAnsi="StobiSerif Regular"/>
          <w:sz w:val="24"/>
          <w:szCs w:val="24"/>
          <w:lang w:val="en-GB"/>
        </w:rPr>
        <w:t>S3-MK is intended to replace the expired Competitiveness Strategy 2016-2020 and Innovation Strategy 2012-2020. This new Strategy aims to add value to the national strategic framework and create synergies with other relevant strategic documents, including the Industrial Strategy, the Strategy for Small and Medium-sized Enterprises, the Accelerated Growth Plan, and other strategic documents related to research, development, and innovation. Additionally, it seeks to improve the process of approximation to the EU, facilitating the participation of national entities in the common European market, the common European research area, and the common European innovation area.</w:t>
      </w:r>
    </w:p>
    <w:p w14:paraId="405D63C3" w14:textId="4A566321" w:rsidR="00177D9A" w:rsidRPr="00BB28A0" w:rsidRDefault="00177D9A" w:rsidP="00C20160">
      <w:pPr>
        <w:jc w:val="both"/>
        <w:rPr>
          <w:rFonts w:ascii="StobiSerif Regular" w:hAnsi="StobiSerif Regular"/>
          <w:sz w:val="24"/>
          <w:szCs w:val="24"/>
          <w:lang w:val="en-GB"/>
        </w:rPr>
      </w:pPr>
      <w:r w:rsidRPr="00BB28A0">
        <w:rPr>
          <w:rFonts w:ascii="StobiSerif Regular" w:hAnsi="StobiSerif Regular"/>
          <w:sz w:val="24"/>
          <w:szCs w:val="24"/>
          <w:lang w:val="en-GB"/>
        </w:rPr>
        <w:t>The mapping of research infrastructures plays an important role as it establishes a framework for the analysis of research potential and indicates how key national research infrastructures can significantly contribute to the enhancement of research and innovation as essential components of national development. Therefore, the process of mapping of research infrastructures is a</w:t>
      </w:r>
      <w:r w:rsidR="00715A7E" w:rsidRPr="00BB28A0">
        <w:rPr>
          <w:rFonts w:ascii="StobiSerif Regular" w:hAnsi="StobiSerif Regular"/>
          <w:sz w:val="24"/>
          <w:szCs w:val="24"/>
          <w:lang w:val="en-GB"/>
        </w:rPr>
        <w:t xml:space="preserve">n important </w:t>
      </w:r>
      <w:r w:rsidRPr="00BB28A0">
        <w:rPr>
          <w:rFonts w:ascii="StobiSerif Regular" w:hAnsi="StobiSerif Regular"/>
          <w:sz w:val="24"/>
          <w:szCs w:val="24"/>
          <w:lang w:val="en-GB"/>
        </w:rPr>
        <w:t>element of the S3 implementation that also provides a solid foundation for establishing links with relevant instruments in this area.</w:t>
      </w:r>
    </w:p>
    <w:p w14:paraId="1E050BDC" w14:textId="77777777" w:rsidR="00177D9A" w:rsidRPr="00BB28A0" w:rsidRDefault="00177D9A" w:rsidP="00177D9A">
      <w:pPr>
        <w:pStyle w:val="Heading1"/>
        <w:numPr>
          <w:ilvl w:val="2"/>
          <w:numId w:val="14"/>
        </w:numPr>
        <w:rPr>
          <w:lang w:val="en-GB"/>
        </w:rPr>
      </w:pPr>
      <w:r w:rsidRPr="00BB28A0">
        <w:rPr>
          <w:lang w:val="en-GB"/>
        </w:rPr>
        <w:t>Participation of the Republic of North Macedonia in European Union research programmes</w:t>
      </w:r>
    </w:p>
    <w:p w14:paraId="5862A329" w14:textId="77777777" w:rsidR="00177D9A" w:rsidRPr="00BB28A0" w:rsidRDefault="00177D9A" w:rsidP="00177D9A">
      <w:pPr>
        <w:rPr>
          <w:lang w:val="en-GB"/>
        </w:rPr>
      </w:pPr>
    </w:p>
    <w:p w14:paraId="77D5200D" w14:textId="77777777" w:rsidR="005F083D" w:rsidRPr="00BB28A0" w:rsidRDefault="005F083D" w:rsidP="00F36D5B">
      <w:pPr>
        <w:jc w:val="both"/>
        <w:rPr>
          <w:rFonts w:ascii="StobiSerif Regular" w:hAnsi="StobiSerif Regular"/>
          <w:sz w:val="24"/>
          <w:szCs w:val="24"/>
          <w:lang w:val="en-GB"/>
        </w:rPr>
      </w:pPr>
      <w:r w:rsidRPr="00BB28A0">
        <w:rPr>
          <w:rFonts w:ascii="StobiSerif Regular" w:hAnsi="StobiSerif Regular"/>
          <w:sz w:val="24"/>
          <w:szCs w:val="24"/>
          <w:lang w:val="en-GB"/>
        </w:rPr>
        <w:t>The Republic of North Macedonia is actively involved in the 9th Framework Programme of the European Commission for Research and Innovation - Horizon Europe.</w:t>
      </w:r>
    </w:p>
    <w:p w14:paraId="66F7B98F" w14:textId="77777777" w:rsidR="005F083D" w:rsidRPr="00BB28A0" w:rsidRDefault="005F083D" w:rsidP="005F083D">
      <w:pPr>
        <w:jc w:val="both"/>
        <w:rPr>
          <w:rFonts w:ascii="StobiSerif Regular" w:hAnsi="StobiSerif Regular"/>
          <w:sz w:val="24"/>
          <w:szCs w:val="24"/>
          <w:lang w:val="en-GB"/>
        </w:rPr>
      </w:pPr>
      <w:r w:rsidRPr="00BB28A0">
        <w:rPr>
          <w:rFonts w:ascii="StobiSerif Regular" w:hAnsi="StobiSerif Regular"/>
          <w:sz w:val="24"/>
          <w:szCs w:val="24"/>
          <w:lang w:val="en-GB"/>
        </w:rPr>
        <w:t>As North Macedonia has the status of an associate member state, this Programme provides an important platform for researchers, innovators, and institutions from North Macedonia to participate in Horizon Europe projects on an equal basis with their counterparts in EU Member States. Such participation is vital for fostering integration into the European Research Area and enhancing national research capabilities.</w:t>
      </w:r>
    </w:p>
    <w:p w14:paraId="25F991EF" w14:textId="591AB42D" w:rsidR="00F36D5B" w:rsidRPr="00BB28A0" w:rsidRDefault="005F083D" w:rsidP="00F36D5B">
      <w:pPr>
        <w:jc w:val="both"/>
        <w:rPr>
          <w:rFonts w:ascii="StobiSerif Regular" w:hAnsi="StobiSerif Regular"/>
          <w:sz w:val="24"/>
          <w:szCs w:val="24"/>
          <w:lang w:val="en-GB"/>
        </w:rPr>
      </w:pPr>
      <w:r w:rsidRPr="00BB28A0">
        <w:rPr>
          <w:rFonts w:ascii="StobiSerif Regular" w:hAnsi="StobiSerif Regular"/>
          <w:sz w:val="24"/>
          <w:szCs w:val="24"/>
          <w:lang w:val="en-GB"/>
        </w:rPr>
        <w:t xml:space="preserve">The performance of the Republic of North Macedonia in Horizon Europe has shown significant improvement compared to the previous programme, Horizon 2020. So far, local entities have participated in 394 eligible project proposals out of a total of 535 submitted, demonstrating the country's increasing commitment to utilizing international research opportunities. </w:t>
      </w:r>
      <w:r w:rsidR="000570A4" w:rsidRPr="00BB28A0">
        <w:rPr>
          <w:rFonts w:ascii="StobiSerif Regular" w:hAnsi="StobiSerif Regular"/>
          <w:sz w:val="24"/>
          <w:szCs w:val="24"/>
          <w:lang w:val="en-GB"/>
        </w:rPr>
        <w:t>Regarding eligible project proposals, 34 Macedonian entities submitted 71 successful projects, resulting in 62 grant agreements (source: R&amp;I Country Profile, published on 21 January 2025).</w:t>
      </w:r>
    </w:p>
    <w:p w14:paraId="404DF3AB" w14:textId="2CFDFF5A" w:rsidR="000570A4" w:rsidRPr="00BB28A0" w:rsidRDefault="000570A4" w:rsidP="00F36D5B">
      <w:pPr>
        <w:jc w:val="both"/>
        <w:rPr>
          <w:rFonts w:ascii="StobiSerif Regular" w:hAnsi="StobiSerif Regular"/>
          <w:sz w:val="24"/>
          <w:szCs w:val="24"/>
          <w:lang w:val="en-GB"/>
        </w:rPr>
      </w:pPr>
      <w:r w:rsidRPr="00BB28A0">
        <w:rPr>
          <w:rFonts w:ascii="StobiSerif Regular" w:hAnsi="StobiSerif Regular"/>
          <w:sz w:val="24"/>
          <w:szCs w:val="24"/>
          <w:lang w:val="en-GB"/>
        </w:rPr>
        <w:t xml:space="preserve">The Republic of North Macedonia has achieved a notable success rate of 12.52% in securing funding amounting to 12.25 million euro for its research community for the period from 2021 </w:t>
      </w:r>
      <w:r w:rsidRPr="00BB28A0">
        <w:rPr>
          <w:rFonts w:ascii="StobiSerif Regular" w:hAnsi="StobiSerif Regular"/>
          <w:sz w:val="24"/>
          <w:szCs w:val="24"/>
          <w:lang w:val="en-GB"/>
        </w:rPr>
        <w:lastRenderedPageBreak/>
        <w:t>to 2024. To date, the most successful participants in the Programme include the University of Ss. Cyril and Methodius - Skopje (21 projects), and AG FUTURA Technology DOOEL (9 projects).</w:t>
      </w:r>
    </w:p>
    <w:p w14:paraId="09DCC8DF" w14:textId="77777777" w:rsidR="000570A4" w:rsidRPr="00BB28A0" w:rsidRDefault="000570A4" w:rsidP="000570A4">
      <w:pPr>
        <w:jc w:val="both"/>
        <w:rPr>
          <w:rFonts w:ascii="StobiSerif Regular" w:hAnsi="StobiSerif Regular"/>
          <w:sz w:val="24"/>
          <w:szCs w:val="24"/>
          <w:lang w:val="en-GB"/>
        </w:rPr>
      </w:pPr>
      <w:r w:rsidRPr="00BB28A0">
        <w:rPr>
          <w:rFonts w:ascii="StobiSerif Regular" w:hAnsi="StobiSerif Regular"/>
          <w:sz w:val="24"/>
          <w:szCs w:val="24"/>
          <w:lang w:val="en-GB"/>
        </w:rPr>
        <w:t>The Republic of North Macedonia's participation in Horizon Europe plays a vital role in enhancing the country's research and innovation ecosystem. Through advanced research cooperation with leading organizations in the European Union, North Macedonia is developing its scientific research capabilities while simultaneously fostering economic growth.</w:t>
      </w:r>
    </w:p>
    <w:p w14:paraId="0CFEB1D0" w14:textId="77777777" w:rsidR="000570A4" w:rsidRPr="00BB28A0" w:rsidRDefault="000570A4" w:rsidP="000570A4">
      <w:pPr>
        <w:jc w:val="both"/>
        <w:rPr>
          <w:rFonts w:ascii="StobiSerif Regular" w:hAnsi="StobiSerif Regular"/>
          <w:sz w:val="24"/>
          <w:szCs w:val="24"/>
          <w:lang w:val="en-GB"/>
        </w:rPr>
      </w:pPr>
      <w:r w:rsidRPr="00BB28A0">
        <w:rPr>
          <w:rFonts w:ascii="StobiSerif Regular" w:hAnsi="StobiSerif Regular"/>
          <w:sz w:val="24"/>
          <w:szCs w:val="24"/>
          <w:lang w:val="en-GB"/>
        </w:rPr>
        <w:t>The funded projects cover important research areas, including food, agriculture, the environment, culture, inclusive society, climate change, clean energy, mobility, health, digital transformation, and civil security. In addition, significant progress has been observed in hydrogen energy based on an ERC grant. These projects not only align with national priorities but also contribute to addressing the global challenges outlined in the Horizon Europe Programme.</w:t>
      </w:r>
    </w:p>
    <w:p w14:paraId="4EAB7823" w14:textId="77777777" w:rsidR="005710A4" w:rsidRPr="00BB28A0" w:rsidRDefault="005710A4" w:rsidP="005710A4">
      <w:pPr>
        <w:pStyle w:val="Heading1"/>
        <w:numPr>
          <w:ilvl w:val="1"/>
          <w:numId w:val="14"/>
        </w:numPr>
        <w:rPr>
          <w:lang w:val="en-GB"/>
        </w:rPr>
      </w:pPr>
      <w:r w:rsidRPr="00BB28A0">
        <w:rPr>
          <w:lang w:val="en-GB"/>
        </w:rPr>
        <w:t>Funding of research activities and research infrastructures in the Republic of North Macedonia</w:t>
      </w:r>
    </w:p>
    <w:p w14:paraId="40C50DE0" w14:textId="77777777" w:rsidR="007F0616" w:rsidRPr="00BB28A0" w:rsidRDefault="007F0616" w:rsidP="00795779">
      <w:pPr>
        <w:jc w:val="both"/>
        <w:rPr>
          <w:rFonts w:ascii="StobiSerif Regular" w:hAnsi="StobiSerif Regular"/>
          <w:sz w:val="24"/>
          <w:szCs w:val="24"/>
          <w:lang w:val="en-GB"/>
        </w:rPr>
      </w:pPr>
      <w:r w:rsidRPr="00BB28A0">
        <w:rPr>
          <w:rFonts w:ascii="StobiSerif Regular" w:hAnsi="StobiSerif Regular"/>
          <w:sz w:val="24"/>
          <w:szCs w:val="24"/>
          <w:lang w:val="en-GB"/>
        </w:rPr>
        <w:t>Developed countries within the European Union aim to achieve gross research and development expenditure (GRDE) of 3% of their GDP. In contrast, the Republic of North Macedonia's total investment in research and innovation (R&amp;I) was only 0.37% of GDP in 2020. This figure increased slightly to 0.38% in both 2021 and 2022, indicating a consistent level of investment over the years. Most investments in research and development primarily consist of funding allocated by the public sector (the Government and the higher education and science sector), while the private sector contributes 0.10% of GDP.</w:t>
      </w:r>
    </w:p>
    <w:p w14:paraId="505F60ED" w14:textId="77777777" w:rsidR="007F0616" w:rsidRPr="00BB28A0" w:rsidRDefault="007F0616" w:rsidP="00795779">
      <w:pPr>
        <w:jc w:val="both"/>
        <w:rPr>
          <w:rFonts w:ascii="StobiSerif Regular" w:hAnsi="StobiSerif Regular"/>
          <w:sz w:val="24"/>
          <w:szCs w:val="24"/>
          <w:lang w:val="en-GB"/>
        </w:rPr>
      </w:pPr>
      <w:r w:rsidRPr="00BB28A0">
        <w:rPr>
          <w:rFonts w:ascii="StobiSerif Regular" w:hAnsi="StobiSerif Regular"/>
          <w:sz w:val="24"/>
          <w:szCs w:val="24"/>
          <w:lang w:val="en-GB"/>
        </w:rPr>
        <w:t>The Ministry of Education and Science has noted substantial growth in the budget for scientific research activities in 2022 and 2023. It is particularly important to emphasize that the projected budget for science for 2025 has doubled compared to the budget funds in 2024 (Table 1).</w:t>
      </w:r>
    </w:p>
    <w:p w14:paraId="0F15A3A4" w14:textId="38EA1BBA" w:rsidR="00A27D62" w:rsidRPr="00BB28A0" w:rsidRDefault="00A27D62" w:rsidP="009E4135">
      <w:pPr>
        <w:spacing w:after="0" w:line="240" w:lineRule="auto"/>
        <w:jc w:val="center"/>
        <w:rPr>
          <w:rFonts w:ascii="StobiSerif Regular" w:eastAsia="Times New Roman" w:hAnsi="StobiSerif Regular" w:cs="Times New Roman"/>
          <w:kern w:val="0"/>
          <w:sz w:val="20"/>
          <w:szCs w:val="20"/>
          <w:lang w:val="en-GB"/>
          <w14:ligatures w14:val="none"/>
        </w:rPr>
      </w:pPr>
      <w:r w:rsidRPr="00BB28A0">
        <w:rPr>
          <w:rFonts w:ascii="StobiSerif Regular" w:eastAsia="Times New Roman" w:hAnsi="StobiSerif Regular" w:cs="Times New Roman"/>
          <w:kern w:val="0"/>
          <w:sz w:val="20"/>
          <w:szCs w:val="20"/>
          <w:lang w:val="en-GB"/>
          <w14:ligatures w14:val="none"/>
        </w:rPr>
        <w:t>Table 1. Budget for scientific research activities (SRA) of the Ministry of Education and Science (MES) and the budget of the Ministry in the period from 2020 to 2025</w:t>
      </w:r>
    </w:p>
    <w:p w14:paraId="2FAABE2F" w14:textId="78A1D0DA" w:rsidR="009E4135" w:rsidRPr="00BB28A0" w:rsidRDefault="009E4135" w:rsidP="009E4135">
      <w:pPr>
        <w:spacing w:after="0" w:line="240" w:lineRule="auto"/>
        <w:jc w:val="center"/>
        <w:rPr>
          <w:rFonts w:ascii="StobiSerif Regular" w:eastAsia="Times New Roman" w:hAnsi="StobiSerif Regular" w:cs="Times New Roman"/>
          <w:kern w:val="0"/>
          <w:sz w:val="20"/>
          <w:szCs w:val="20"/>
          <w:lang w:val="en-GB"/>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6"/>
        <w:gridCol w:w="1857"/>
        <w:gridCol w:w="1857"/>
        <w:gridCol w:w="1857"/>
        <w:gridCol w:w="1714"/>
      </w:tblGrid>
      <w:tr w:rsidR="009E4135" w:rsidRPr="00BB28A0" w14:paraId="60EC5B98" w14:textId="77777777" w:rsidTr="002C5EDB">
        <w:trPr>
          <w:cantSplit/>
          <w:trHeight w:val="1030"/>
        </w:trPr>
        <w:tc>
          <w:tcPr>
            <w:tcW w:w="1838" w:type="dxa"/>
            <w:shd w:val="clear" w:color="auto" w:fill="auto"/>
            <w:vAlign w:val="center"/>
          </w:tcPr>
          <w:p w14:paraId="7C869C93" w14:textId="3D5823E7" w:rsidR="009E4135" w:rsidRPr="00BB28A0" w:rsidRDefault="00A27D62" w:rsidP="00A27D62">
            <w:pPr>
              <w:spacing w:after="0" w:line="240" w:lineRule="auto"/>
              <w:jc w:val="center"/>
              <w:rPr>
                <w:rFonts w:ascii="StobiSerif Regular" w:eastAsia="Times New Roman" w:hAnsi="StobiSerif Regular" w:cs="Times New Roman"/>
                <w:b/>
                <w:bCs/>
                <w:kern w:val="0"/>
                <w:sz w:val="20"/>
                <w:szCs w:val="20"/>
                <w:lang w:val="en-GB"/>
                <w14:ligatures w14:val="none"/>
              </w:rPr>
            </w:pPr>
            <w:r w:rsidRPr="00BB28A0">
              <w:rPr>
                <w:rFonts w:ascii="StobiSerif Regular" w:eastAsia="Times New Roman" w:hAnsi="StobiSerif Regular" w:cs="Times New Roman"/>
                <w:b/>
                <w:bCs/>
                <w:kern w:val="0"/>
                <w:sz w:val="20"/>
                <w:szCs w:val="20"/>
                <w:lang w:val="en-GB"/>
                <w14:ligatures w14:val="none"/>
              </w:rPr>
              <w:t xml:space="preserve">Year </w:t>
            </w:r>
          </w:p>
        </w:tc>
        <w:tc>
          <w:tcPr>
            <w:tcW w:w="1898" w:type="dxa"/>
            <w:shd w:val="clear" w:color="auto" w:fill="auto"/>
            <w:vAlign w:val="center"/>
          </w:tcPr>
          <w:p w14:paraId="5331A96A" w14:textId="03971DCA" w:rsidR="009E4135" w:rsidRPr="00BB28A0" w:rsidRDefault="009E4135" w:rsidP="00A27D62">
            <w:pPr>
              <w:spacing w:after="0" w:line="240" w:lineRule="auto"/>
              <w:jc w:val="center"/>
              <w:rPr>
                <w:rFonts w:ascii="StobiSerif Regular" w:eastAsia="Times New Roman" w:hAnsi="StobiSerif Regular" w:cs="Times New Roman"/>
                <w:b/>
                <w:bCs/>
                <w:kern w:val="0"/>
                <w:sz w:val="20"/>
                <w:szCs w:val="20"/>
                <w:lang w:val="en-GB"/>
                <w14:ligatures w14:val="none"/>
              </w:rPr>
            </w:pPr>
            <w:r w:rsidRPr="00BB28A0">
              <w:rPr>
                <w:rFonts w:ascii="StobiSerif Regular" w:eastAsia="Times New Roman" w:hAnsi="StobiSerif Regular" w:cs="Times New Roman"/>
                <w:b/>
                <w:bCs/>
                <w:kern w:val="0"/>
                <w:sz w:val="20"/>
                <w:szCs w:val="20"/>
                <w:lang w:val="en-GB"/>
                <w14:ligatures w14:val="none"/>
              </w:rPr>
              <w:t>А</w:t>
            </w:r>
            <w:r w:rsidR="00A27D62" w:rsidRPr="00BB28A0">
              <w:rPr>
                <w:rFonts w:ascii="StobiSerif Regular" w:eastAsia="Times New Roman" w:hAnsi="StobiSerif Regular" w:cs="Times New Roman"/>
                <w:b/>
                <w:bCs/>
                <w:kern w:val="0"/>
                <w:sz w:val="20"/>
                <w:szCs w:val="20"/>
                <w:lang w:val="en-GB"/>
                <w14:ligatures w14:val="none"/>
              </w:rPr>
              <w:t xml:space="preserve">. MES budget for SRA </w:t>
            </w:r>
            <w:r w:rsidRPr="00BB28A0">
              <w:rPr>
                <w:rFonts w:ascii="StobiSerif Regular" w:eastAsia="Times New Roman" w:hAnsi="StobiSerif Regular" w:cs="Times New Roman"/>
                <w:b/>
                <w:bCs/>
                <w:kern w:val="0"/>
                <w:sz w:val="20"/>
                <w:szCs w:val="20"/>
                <w:lang w:val="en-GB"/>
                <w14:ligatures w14:val="none"/>
              </w:rPr>
              <w:t>(71)</w:t>
            </w:r>
          </w:p>
        </w:tc>
        <w:tc>
          <w:tcPr>
            <w:tcW w:w="1898" w:type="dxa"/>
            <w:shd w:val="clear" w:color="auto" w:fill="auto"/>
            <w:vAlign w:val="center"/>
          </w:tcPr>
          <w:p w14:paraId="333D24A5" w14:textId="449C852D" w:rsidR="009E4135" w:rsidRPr="00BB28A0" w:rsidRDefault="00A27D62" w:rsidP="00A27D62">
            <w:pPr>
              <w:spacing w:after="0" w:line="240" w:lineRule="auto"/>
              <w:jc w:val="center"/>
              <w:rPr>
                <w:rFonts w:ascii="StobiSerif Regular" w:eastAsia="Times New Roman" w:hAnsi="StobiSerif Regular" w:cs="Times New Roman"/>
                <w:b/>
                <w:bCs/>
                <w:kern w:val="0"/>
                <w:sz w:val="20"/>
                <w:szCs w:val="20"/>
                <w:lang w:val="en-GB"/>
                <w14:ligatures w14:val="none"/>
              </w:rPr>
            </w:pPr>
            <w:r w:rsidRPr="00BB28A0">
              <w:rPr>
                <w:rFonts w:ascii="StobiSerif Regular" w:eastAsia="Times New Roman" w:hAnsi="StobiSerif Regular" w:cs="Times New Roman"/>
                <w:b/>
                <w:bCs/>
                <w:kern w:val="0"/>
                <w:sz w:val="20"/>
                <w:szCs w:val="20"/>
                <w:lang w:val="en-GB"/>
                <w14:ligatures w14:val="none"/>
              </w:rPr>
              <w:t>MES budget for science</w:t>
            </w:r>
            <w:r w:rsidR="009E4135" w:rsidRPr="00BB28A0">
              <w:rPr>
                <w:rFonts w:ascii="StobiSerif Regular" w:eastAsia="Times New Roman" w:hAnsi="StobiSerif Regular" w:cs="Times New Roman"/>
                <w:b/>
                <w:bCs/>
                <w:kern w:val="0"/>
                <w:sz w:val="20"/>
                <w:szCs w:val="20"/>
                <w:lang w:val="en-GB"/>
                <w14:ligatures w14:val="none"/>
              </w:rPr>
              <w:t xml:space="preserve"> (7)</w:t>
            </w:r>
          </w:p>
        </w:tc>
        <w:tc>
          <w:tcPr>
            <w:tcW w:w="1898" w:type="dxa"/>
            <w:shd w:val="clear" w:color="auto" w:fill="auto"/>
          </w:tcPr>
          <w:p w14:paraId="5488118B" w14:textId="77777777" w:rsidR="00807CCB" w:rsidRPr="00BB28A0" w:rsidRDefault="00807CCB" w:rsidP="009E4135">
            <w:pPr>
              <w:spacing w:after="0" w:line="360" w:lineRule="auto"/>
              <w:jc w:val="both"/>
              <w:rPr>
                <w:rFonts w:ascii="StobiSerif Regular" w:eastAsia="Times New Roman" w:hAnsi="StobiSerif Regular" w:cs="Times New Roman"/>
                <w:b/>
                <w:bCs/>
                <w:kern w:val="0"/>
                <w:sz w:val="20"/>
                <w:szCs w:val="20"/>
                <w:lang w:val="en-GB"/>
                <w14:ligatures w14:val="none"/>
              </w:rPr>
            </w:pPr>
          </w:p>
          <w:p w14:paraId="4BB39F50" w14:textId="07194C6A" w:rsidR="009E4135" w:rsidRPr="00BB28A0" w:rsidRDefault="00A27D62" w:rsidP="00A27D62">
            <w:pPr>
              <w:spacing w:after="0" w:line="360" w:lineRule="auto"/>
              <w:jc w:val="both"/>
              <w:rPr>
                <w:rFonts w:ascii="StobiSerif Regular" w:eastAsia="Times New Roman" w:hAnsi="StobiSerif Regular" w:cs="Times New Roman"/>
                <w:kern w:val="0"/>
                <w:sz w:val="20"/>
                <w:szCs w:val="20"/>
                <w:lang w:val="en-GB"/>
                <w14:ligatures w14:val="none"/>
              </w:rPr>
            </w:pPr>
            <w:r w:rsidRPr="00BB28A0">
              <w:rPr>
                <w:rFonts w:ascii="StobiSerif Regular" w:eastAsia="Times New Roman" w:hAnsi="StobiSerif Regular" w:cs="Times New Roman"/>
                <w:b/>
                <w:bCs/>
                <w:kern w:val="0"/>
                <w:sz w:val="20"/>
                <w:szCs w:val="20"/>
                <w:lang w:val="en-GB"/>
                <w14:ligatures w14:val="none"/>
              </w:rPr>
              <w:t>B</w:t>
            </w:r>
            <w:r w:rsidR="009E4135" w:rsidRPr="00BB28A0">
              <w:rPr>
                <w:rFonts w:ascii="StobiSerif Regular" w:eastAsia="Times New Roman" w:hAnsi="StobiSerif Regular" w:cs="Times New Roman"/>
                <w:b/>
                <w:bCs/>
                <w:kern w:val="0"/>
                <w:sz w:val="20"/>
                <w:szCs w:val="20"/>
                <w:lang w:val="en-GB"/>
                <w14:ligatures w14:val="none"/>
              </w:rPr>
              <w:t xml:space="preserve">. </w:t>
            </w:r>
            <w:r w:rsidRPr="00BB28A0">
              <w:rPr>
                <w:rFonts w:ascii="StobiSerif Regular" w:eastAsia="Times New Roman" w:hAnsi="StobiSerif Regular" w:cs="Times New Roman"/>
                <w:b/>
                <w:bCs/>
                <w:kern w:val="0"/>
                <w:sz w:val="20"/>
                <w:szCs w:val="20"/>
                <w:lang w:val="en-GB"/>
                <w14:ligatures w14:val="none"/>
              </w:rPr>
              <w:t xml:space="preserve">MES budget </w:t>
            </w:r>
          </w:p>
        </w:tc>
        <w:tc>
          <w:tcPr>
            <w:tcW w:w="1818" w:type="dxa"/>
            <w:shd w:val="clear" w:color="auto" w:fill="auto"/>
          </w:tcPr>
          <w:p w14:paraId="7B358543" w14:textId="77777777" w:rsidR="00807CCB" w:rsidRPr="00BB28A0" w:rsidRDefault="00807CCB" w:rsidP="009E4135">
            <w:pPr>
              <w:spacing w:after="0" w:line="240" w:lineRule="auto"/>
              <w:jc w:val="center"/>
              <w:rPr>
                <w:rFonts w:ascii="StobiSerif Regular" w:eastAsia="Times New Roman" w:hAnsi="StobiSerif Regular" w:cs="Times New Roman"/>
                <w:b/>
                <w:bCs/>
                <w:kern w:val="0"/>
                <w:sz w:val="20"/>
                <w:szCs w:val="20"/>
                <w:lang w:val="en-GB"/>
                <w14:ligatures w14:val="none"/>
              </w:rPr>
            </w:pPr>
          </w:p>
          <w:p w14:paraId="51E53342" w14:textId="2A8EA695" w:rsidR="009E4135" w:rsidRPr="00BB28A0" w:rsidRDefault="00A27D62" w:rsidP="00A27D62">
            <w:pPr>
              <w:spacing w:after="0" w:line="240" w:lineRule="auto"/>
              <w:jc w:val="center"/>
              <w:rPr>
                <w:rFonts w:ascii="StobiSerif Regular" w:eastAsia="Times New Roman" w:hAnsi="StobiSerif Regular" w:cs="Times New Roman"/>
                <w:kern w:val="0"/>
                <w:sz w:val="20"/>
                <w:szCs w:val="20"/>
                <w:lang w:val="en-GB"/>
                <w14:ligatures w14:val="none"/>
              </w:rPr>
            </w:pPr>
            <w:r w:rsidRPr="00BB28A0">
              <w:rPr>
                <w:rFonts w:ascii="StobiSerif Regular" w:eastAsia="Times New Roman" w:hAnsi="StobiSerif Regular" w:cs="Times New Roman"/>
                <w:b/>
                <w:bCs/>
                <w:kern w:val="0"/>
                <w:sz w:val="20"/>
                <w:szCs w:val="20"/>
                <w:lang w:val="en-GB"/>
                <w14:ligatures w14:val="none"/>
              </w:rPr>
              <w:t xml:space="preserve">Share of A in B in </w:t>
            </w:r>
            <w:r w:rsidR="009E4135" w:rsidRPr="00BB28A0">
              <w:rPr>
                <w:rFonts w:ascii="StobiSerif Regular" w:eastAsia="Times New Roman" w:hAnsi="StobiSerif Regular" w:cs="Times New Roman"/>
                <w:b/>
                <w:bCs/>
                <w:kern w:val="0"/>
                <w:sz w:val="20"/>
                <w:szCs w:val="20"/>
                <w:lang w:val="en-GB"/>
                <w14:ligatures w14:val="none"/>
              </w:rPr>
              <w:t>%</w:t>
            </w:r>
          </w:p>
        </w:tc>
      </w:tr>
      <w:tr w:rsidR="009E4135" w:rsidRPr="00BB28A0" w14:paraId="0FB5364A" w14:textId="77777777" w:rsidTr="002C5EDB">
        <w:tc>
          <w:tcPr>
            <w:tcW w:w="1838" w:type="dxa"/>
            <w:shd w:val="clear" w:color="auto" w:fill="auto"/>
          </w:tcPr>
          <w:p w14:paraId="378A41D5" w14:textId="77777777" w:rsidR="009E4135" w:rsidRPr="00BB28A0" w:rsidRDefault="009E4135" w:rsidP="009E4135">
            <w:pPr>
              <w:spacing w:after="0" w:line="360" w:lineRule="auto"/>
              <w:jc w:val="center"/>
              <w:rPr>
                <w:rFonts w:ascii="StobiSerif Regular" w:eastAsia="Times New Roman" w:hAnsi="StobiSerif Regular" w:cs="Times New Roman"/>
                <w:color w:val="000000" w:themeColor="text1"/>
                <w:kern w:val="0"/>
                <w:sz w:val="20"/>
                <w:szCs w:val="20"/>
                <w:lang w:val="en-GB"/>
                <w14:ligatures w14:val="none"/>
              </w:rPr>
            </w:pPr>
            <w:r w:rsidRPr="00BB28A0">
              <w:rPr>
                <w:rFonts w:ascii="StobiSerif Regular" w:eastAsia="Times New Roman" w:hAnsi="StobiSerif Regular" w:cs="Times New Roman"/>
                <w:color w:val="000000" w:themeColor="text1"/>
                <w:kern w:val="0"/>
                <w:sz w:val="20"/>
                <w:szCs w:val="20"/>
                <w:lang w:val="en-GB"/>
                <w14:ligatures w14:val="none"/>
              </w:rPr>
              <w:t>2020</w:t>
            </w:r>
          </w:p>
        </w:tc>
        <w:tc>
          <w:tcPr>
            <w:tcW w:w="1898" w:type="dxa"/>
            <w:shd w:val="clear" w:color="auto" w:fill="auto"/>
          </w:tcPr>
          <w:p w14:paraId="4E0C5122" w14:textId="77777777" w:rsidR="009E4135" w:rsidRPr="00BB28A0" w:rsidRDefault="009E4135" w:rsidP="009E4135">
            <w:pPr>
              <w:spacing w:after="0" w:line="360" w:lineRule="auto"/>
              <w:jc w:val="center"/>
              <w:rPr>
                <w:rFonts w:ascii="StobiSerif Regular" w:eastAsia="Times New Roman" w:hAnsi="StobiSerif Regular" w:cs="Times New Roman"/>
                <w:color w:val="000000" w:themeColor="text1"/>
                <w:kern w:val="0"/>
                <w:sz w:val="20"/>
                <w:szCs w:val="20"/>
                <w:lang w:val="en-GB"/>
                <w14:ligatures w14:val="none"/>
              </w:rPr>
            </w:pPr>
            <w:r w:rsidRPr="00BB28A0">
              <w:rPr>
                <w:rFonts w:ascii="StobiSerif Regular" w:eastAsia="Times New Roman" w:hAnsi="StobiSerif Regular" w:cs="Times New Roman"/>
                <w:color w:val="000000" w:themeColor="text1"/>
                <w:kern w:val="0"/>
                <w:sz w:val="20"/>
                <w:szCs w:val="20"/>
                <w:lang w:val="en-GB"/>
                <w14:ligatures w14:val="none"/>
              </w:rPr>
              <w:t>82.120.000</w:t>
            </w:r>
          </w:p>
        </w:tc>
        <w:tc>
          <w:tcPr>
            <w:tcW w:w="1898" w:type="dxa"/>
            <w:shd w:val="clear" w:color="auto" w:fill="auto"/>
          </w:tcPr>
          <w:p w14:paraId="49916D80" w14:textId="77777777" w:rsidR="009E4135" w:rsidRPr="00BB28A0" w:rsidRDefault="009E4135" w:rsidP="009E4135">
            <w:pPr>
              <w:spacing w:after="0" w:line="360" w:lineRule="auto"/>
              <w:jc w:val="center"/>
              <w:rPr>
                <w:rFonts w:ascii="StobiSerif Regular" w:eastAsia="Times New Roman" w:hAnsi="StobiSerif Regular" w:cs="Times New Roman"/>
                <w:color w:val="000000" w:themeColor="text1"/>
                <w:kern w:val="0"/>
                <w:sz w:val="20"/>
                <w:szCs w:val="20"/>
                <w:lang w:val="en-GB"/>
                <w14:ligatures w14:val="none"/>
              </w:rPr>
            </w:pPr>
            <w:r w:rsidRPr="00BB28A0">
              <w:rPr>
                <w:rFonts w:ascii="StobiSerif Regular" w:eastAsia="Times New Roman" w:hAnsi="StobiSerif Regular" w:cs="Times New Roman"/>
                <w:color w:val="000000" w:themeColor="text1"/>
                <w:kern w:val="0"/>
                <w:sz w:val="20"/>
                <w:szCs w:val="20"/>
                <w:lang w:val="en-GB"/>
                <w14:ligatures w14:val="none"/>
              </w:rPr>
              <w:t>288.294.000</w:t>
            </w:r>
          </w:p>
        </w:tc>
        <w:tc>
          <w:tcPr>
            <w:tcW w:w="1898" w:type="dxa"/>
            <w:shd w:val="clear" w:color="auto" w:fill="auto"/>
          </w:tcPr>
          <w:p w14:paraId="6B22B3C5" w14:textId="77777777" w:rsidR="009E4135" w:rsidRPr="00BB28A0" w:rsidRDefault="009E4135" w:rsidP="009E4135">
            <w:pPr>
              <w:spacing w:after="0" w:line="360" w:lineRule="auto"/>
              <w:jc w:val="center"/>
              <w:rPr>
                <w:rFonts w:ascii="StobiSerif Regular" w:eastAsia="Times New Roman" w:hAnsi="StobiSerif Regular" w:cs="Times New Roman"/>
                <w:color w:val="000000" w:themeColor="text1"/>
                <w:kern w:val="0"/>
                <w:sz w:val="20"/>
                <w:szCs w:val="20"/>
                <w:lang w:val="en-GB"/>
                <w14:ligatures w14:val="none"/>
              </w:rPr>
            </w:pPr>
            <w:r w:rsidRPr="00BB28A0">
              <w:rPr>
                <w:rFonts w:ascii="StobiSerif Regular" w:eastAsia="Times New Roman" w:hAnsi="StobiSerif Regular" w:cs="Times New Roman"/>
                <w:color w:val="000000" w:themeColor="text1"/>
                <w:kern w:val="0"/>
                <w:sz w:val="20"/>
                <w:szCs w:val="20"/>
                <w:lang w:val="en-GB"/>
                <w14:ligatures w14:val="none"/>
              </w:rPr>
              <w:t>22.802.983.000</w:t>
            </w:r>
          </w:p>
        </w:tc>
        <w:tc>
          <w:tcPr>
            <w:tcW w:w="1818" w:type="dxa"/>
            <w:tcBorders>
              <w:top w:val="nil"/>
              <w:left w:val="single" w:sz="4" w:space="0" w:color="auto"/>
              <w:bottom w:val="single" w:sz="4" w:space="0" w:color="auto"/>
              <w:right w:val="single" w:sz="4" w:space="0" w:color="auto"/>
            </w:tcBorders>
            <w:shd w:val="clear" w:color="auto" w:fill="auto"/>
            <w:vAlign w:val="bottom"/>
          </w:tcPr>
          <w:p w14:paraId="2D577877" w14:textId="77777777" w:rsidR="009E4135" w:rsidRPr="00BB28A0" w:rsidRDefault="009E4135" w:rsidP="009E4135">
            <w:pPr>
              <w:spacing w:after="0" w:line="240" w:lineRule="auto"/>
              <w:jc w:val="right"/>
              <w:rPr>
                <w:rFonts w:ascii="StobiSerif Regular" w:eastAsia="Times New Roman" w:hAnsi="StobiSerif Regular" w:cs="Calibri"/>
                <w:color w:val="000000" w:themeColor="text1"/>
                <w:kern w:val="0"/>
                <w:sz w:val="20"/>
                <w:szCs w:val="20"/>
                <w:lang w:val="en-GB"/>
                <w14:ligatures w14:val="none"/>
              </w:rPr>
            </w:pPr>
            <w:r w:rsidRPr="00BB28A0">
              <w:rPr>
                <w:rFonts w:ascii="StobiSerif Regular" w:eastAsia="Times New Roman" w:hAnsi="StobiSerif Regular" w:cs="Calibri"/>
                <w:color w:val="000000" w:themeColor="text1"/>
                <w:kern w:val="0"/>
                <w:sz w:val="20"/>
                <w:szCs w:val="20"/>
                <w:lang w:val="en-GB"/>
                <w14:ligatures w14:val="none"/>
              </w:rPr>
              <w:t>0,36</w:t>
            </w:r>
          </w:p>
        </w:tc>
      </w:tr>
      <w:tr w:rsidR="009E4135" w:rsidRPr="00BB28A0" w14:paraId="10777669" w14:textId="77777777" w:rsidTr="002C5EDB">
        <w:tc>
          <w:tcPr>
            <w:tcW w:w="1838" w:type="dxa"/>
            <w:shd w:val="clear" w:color="auto" w:fill="auto"/>
          </w:tcPr>
          <w:p w14:paraId="35F06C2E" w14:textId="77777777" w:rsidR="009E4135" w:rsidRPr="00BB28A0" w:rsidRDefault="009E4135" w:rsidP="009E4135">
            <w:pPr>
              <w:spacing w:after="0" w:line="360" w:lineRule="auto"/>
              <w:jc w:val="center"/>
              <w:rPr>
                <w:rFonts w:ascii="StobiSerif Regular" w:eastAsia="Times New Roman" w:hAnsi="StobiSerif Regular" w:cs="Times New Roman"/>
                <w:kern w:val="0"/>
                <w:sz w:val="20"/>
                <w:szCs w:val="20"/>
                <w:lang w:val="en-GB"/>
                <w14:ligatures w14:val="none"/>
              </w:rPr>
            </w:pPr>
            <w:r w:rsidRPr="00BB28A0">
              <w:rPr>
                <w:rFonts w:ascii="StobiSerif Regular" w:eastAsia="Times New Roman" w:hAnsi="StobiSerif Regular" w:cs="Times New Roman"/>
                <w:kern w:val="0"/>
                <w:sz w:val="20"/>
                <w:szCs w:val="20"/>
                <w:lang w:val="en-GB"/>
                <w14:ligatures w14:val="none"/>
              </w:rPr>
              <w:t>2021</w:t>
            </w:r>
          </w:p>
        </w:tc>
        <w:tc>
          <w:tcPr>
            <w:tcW w:w="1898" w:type="dxa"/>
            <w:shd w:val="clear" w:color="auto" w:fill="auto"/>
          </w:tcPr>
          <w:p w14:paraId="6372FC7F" w14:textId="77777777" w:rsidR="009E4135" w:rsidRPr="00BB28A0" w:rsidRDefault="009E4135" w:rsidP="009E4135">
            <w:pPr>
              <w:spacing w:after="0" w:line="360" w:lineRule="auto"/>
              <w:jc w:val="center"/>
              <w:rPr>
                <w:rFonts w:ascii="StobiSerif Regular" w:eastAsia="Times New Roman" w:hAnsi="StobiSerif Regular" w:cs="Times New Roman"/>
                <w:kern w:val="0"/>
                <w:sz w:val="20"/>
                <w:szCs w:val="20"/>
                <w:lang w:val="en-GB"/>
                <w14:ligatures w14:val="none"/>
              </w:rPr>
            </w:pPr>
            <w:r w:rsidRPr="00BB28A0">
              <w:rPr>
                <w:rFonts w:ascii="StobiSerif Regular" w:eastAsia="Times New Roman" w:hAnsi="StobiSerif Regular" w:cs="Times New Roman"/>
                <w:kern w:val="0"/>
                <w:sz w:val="20"/>
                <w:szCs w:val="20"/>
                <w:lang w:val="en-GB"/>
                <w14:ligatures w14:val="none"/>
              </w:rPr>
              <w:t>80.500.000,00</w:t>
            </w:r>
          </w:p>
        </w:tc>
        <w:tc>
          <w:tcPr>
            <w:tcW w:w="1898" w:type="dxa"/>
            <w:shd w:val="clear" w:color="auto" w:fill="auto"/>
          </w:tcPr>
          <w:p w14:paraId="4D4D8188" w14:textId="77777777" w:rsidR="009E4135" w:rsidRPr="00BB28A0" w:rsidRDefault="009E4135" w:rsidP="009E4135">
            <w:pPr>
              <w:spacing w:after="0" w:line="360" w:lineRule="auto"/>
              <w:jc w:val="center"/>
              <w:rPr>
                <w:rFonts w:ascii="StobiSerif Regular" w:eastAsia="Times New Roman" w:hAnsi="StobiSerif Regular" w:cs="Times New Roman"/>
                <w:kern w:val="0"/>
                <w:sz w:val="20"/>
                <w:szCs w:val="20"/>
                <w:lang w:val="en-GB"/>
                <w14:ligatures w14:val="none"/>
              </w:rPr>
            </w:pPr>
            <w:r w:rsidRPr="00BB28A0">
              <w:rPr>
                <w:rFonts w:ascii="StobiSerif Regular" w:eastAsia="Times New Roman" w:hAnsi="StobiSerif Regular" w:cs="Times New Roman"/>
                <w:kern w:val="0"/>
                <w:sz w:val="20"/>
                <w:szCs w:val="20"/>
                <w:lang w:val="en-GB"/>
                <w14:ligatures w14:val="none"/>
              </w:rPr>
              <w:t>405.347.000,00</w:t>
            </w:r>
          </w:p>
        </w:tc>
        <w:tc>
          <w:tcPr>
            <w:tcW w:w="1898" w:type="dxa"/>
            <w:shd w:val="clear" w:color="auto" w:fill="auto"/>
          </w:tcPr>
          <w:p w14:paraId="316F1FBD" w14:textId="77777777" w:rsidR="009E4135" w:rsidRPr="00BB28A0" w:rsidRDefault="009E4135" w:rsidP="009E4135">
            <w:pPr>
              <w:spacing w:after="0" w:line="360" w:lineRule="auto"/>
              <w:jc w:val="center"/>
              <w:rPr>
                <w:rFonts w:ascii="StobiSerif Regular" w:eastAsia="Times New Roman" w:hAnsi="StobiSerif Regular" w:cs="Times New Roman"/>
                <w:kern w:val="0"/>
                <w:sz w:val="20"/>
                <w:szCs w:val="20"/>
                <w:lang w:val="en-GB"/>
                <w14:ligatures w14:val="none"/>
              </w:rPr>
            </w:pPr>
            <w:r w:rsidRPr="00BB28A0">
              <w:rPr>
                <w:rFonts w:ascii="StobiSerif Regular" w:eastAsia="Times New Roman" w:hAnsi="StobiSerif Regular" w:cs="Times New Roman"/>
                <w:kern w:val="0"/>
                <w:sz w:val="20"/>
                <w:szCs w:val="20"/>
                <w:lang w:val="en-GB"/>
                <w14:ligatures w14:val="none"/>
              </w:rPr>
              <w:t>23.144.000.000</w:t>
            </w:r>
          </w:p>
        </w:tc>
        <w:tc>
          <w:tcPr>
            <w:tcW w:w="1818" w:type="dxa"/>
            <w:shd w:val="clear" w:color="auto" w:fill="auto"/>
          </w:tcPr>
          <w:p w14:paraId="0F216DA1" w14:textId="77777777" w:rsidR="009E4135" w:rsidRPr="00BB28A0" w:rsidRDefault="009E4135" w:rsidP="009E4135">
            <w:pPr>
              <w:spacing w:after="0" w:line="360" w:lineRule="auto"/>
              <w:jc w:val="right"/>
              <w:rPr>
                <w:rFonts w:ascii="StobiSerif Regular" w:eastAsia="Times New Roman" w:hAnsi="StobiSerif Regular" w:cs="Times New Roman"/>
                <w:kern w:val="0"/>
                <w:sz w:val="20"/>
                <w:szCs w:val="20"/>
                <w:lang w:val="en-GB"/>
                <w14:ligatures w14:val="none"/>
              </w:rPr>
            </w:pPr>
            <w:r w:rsidRPr="00BB28A0">
              <w:rPr>
                <w:rFonts w:ascii="StobiSerif Regular" w:eastAsia="Times New Roman" w:hAnsi="StobiSerif Regular" w:cs="Times New Roman"/>
                <w:kern w:val="0"/>
                <w:sz w:val="20"/>
                <w:szCs w:val="20"/>
                <w:lang w:val="en-GB"/>
                <w14:ligatures w14:val="none"/>
              </w:rPr>
              <w:t>0,34</w:t>
            </w:r>
          </w:p>
        </w:tc>
      </w:tr>
      <w:tr w:rsidR="009E4135" w:rsidRPr="00BB28A0" w14:paraId="5491CFB3" w14:textId="77777777" w:rsidTr="002C5EDB">
        <w:tc>
          <w:tcPr>
            <w:tcW w:w="1838" w:type="dxa"/>
            <w:shd w:val="clear" w:color="auto" w:fill="auto"/>
          </w:tcPr>
          <w:p w14:paraId="5206411B" w14:textId="77777777" w:rsidR="009E4135" w:rsidRPr="00BB28A0" w:rsidRDefault="009E4135" w:rsidP="009E4135">
            <w:pPr>
              <w:spacing w:after="0" w:line="360" w:lineRule="auto"/>
              <w:jc w:val="center"/>
              <w:rPr>
                <w:rFonts w:ascii="StobiSerif Regular" w:eastAsia="Times New Roman" w:hAnsi="StobiSerif Regular" w:cs="Times New Roman"/>
                <w:kern w:val="0"/>
                <w:sz w:val="20"/>
                <w:szCs w:val="20"/>
                <w:lang w:val="en-GB"/>
                <w14:ligatures w14:val="none"/>
              </w:rPr>
            </w:pPr>
            <w:r w:rsidRPr="00BB28A0">
              <w:rPr>
                <w:rFonts w:ascii="StobiSerif Regular" w:eastAsia="Times New Roman" w:hAnsi="StobiSerif Regular" w:cs="Times New Roman"/>
                <w:kern w:val="0"/>
                <w:sz w:val="20"/>
                <w:szCs w:val="20"/>
                <w:lang w:val="en-GB"/>
                <w14:ligatures w14:val="none"/>
              </w:rPr>
              <w:t>2022</w:t>
            </w:r>
          </w:p>
        </w:tc>
        <w:tc>
          <w:tcPr>
            <w:tcW w:w="1898" w:type="dxa"/>
            <w:shd w:val="clear" w:color="auto" w:fill="auto"/>
          </w:tcPr>
          <w:p w14:paraId="54FC9408" w14:textId="77777777" w:rsidR="009E4135" w:rsidRPr="00BB28A0" w:rsidRDefault="009E4135" w:rsidP="009E4135">
            <w:pPr>
              <w:spacing w:after="0" w:line="360" w:lineRule="auto"/>
              <w:jc w:val="center"/>
              <w:rPr>
                <w:rFonts w:ascii="StobiSerif Regular" w:eastAsia="Times New Roman" w:hAnsi="StobiSerif Regular" w:cs="Times New Roman"/>
                <w:kern w:val="0"/>
                <w:sz w:val="20"/>
                <w:szCs w:val="20"/>
                <w:lang w:val="en-GB"/>
                <w14:ligatures w14:val="none"/>
              </w:rPr>
            </w:pPr>
            <w:r w:rsidRPr="00BB28A0">
              <w:rPr>
                <w:rFonts w:ascii="StobiSerif Regular" w:eastAsia="Times New Roman" w:hAnsi="StobiSerif Regular" w:cs="Times New Roman"/>
                <w:kern w:val="0"/>
                <w:sz w:val="20"/>
                <w:szCs w:val="20"/>
                <w:lang w:val="en-GB"/>
                <w14:ligatures w14:val="none"/>
              </w:rPr>
              <w:t>218.060.000,00</w:t>
            </w:r>
          </w:p>
        </w:tc>
        <w:tc>
          <w:tcPr>
            <w:tcW w:w="1898" w:type="dxa"/>
            <w:shd w:val="clear" w:color="auto" w:fill="auto"/>
          </w:tcPr>
          <w:p w14:paraId="78C7CDF8" w14:textId="77777777" w:rsidR="009E4135" w:rsidRPr="00BB28A0" w:rsidRDefault="009E4135" w:rsidP="009E4135">
            <w:pPr>
              <w:spacing w:after="0" w:line="360" w:lineRule="auto"/>
              <w:jc w:val="center"/>
              <w:rPr>
                <w:rFonts w:ascii="StobiSerif Regular" w:eastAsia="Times New Roman" w:hAnsi="StobiSerif Regular" w:cs="Times New Roman"/>
                <w:kern w:val="0"/>
                <w:sz w:val="20"/>
                <w:szCs w:val="20"/>
                <w:lang w:val="en-GB"/>
                <w14:ligatures w14:val="none"/>
              </w:rPr>
            </w:pPr>
            <w:r w:rsidRPr="00BB28A0">
              <w:rPr>
                <w:rFonts w:ascii="StobiSerif Regular" w:eastAsia="Times New Roman" w:hAnsi="StobiSerif Regular" w:cs="Times New Roman"/>
                <w:kern w:val="0"/>
                <w:sz w:val="20"/>
                <w:szCs w:val="20"/>
                <w:lang w:val="en-GB"/>
                <w14:ligatures w14:val="none"/>
              </w:rPr>
              <w:t>414.135.000,00</w:t>
            </w:r>
          </w:p>
        </w:tc>
        <w:tc>
          <w:tcPr>
            <w:tcW w:w="1898" w:type="dxa"/>
            <w:shd w:val="clear" w:color="auto" w:fill="auto"/>
          </w:tcPr>
          <w:p w14:paraId="2435A5D8" w14:textId="77777777" w:rsidR="009E4135" w:rsidRPr="00BB28A0" w:rsidRDefault="009E4135" w:rsidP="009E4135">
            <w:pPr>
              <w:spacing w:after="0" w:line="360" w:lineRule="auto"/>
              <w:jc w:val="center"/>
              <w:rPr>
                <w:rFonts w:ascii="StobiSerif Regular" w:eastAsia="Times New Roman" w:hAnsi="StobiSerif Regular" w:cs="Times New Roman"/>
                <w:kern w:val="0"/>
                <w:sz w:val="20"/>
                <w:szCs w:val="20"/>
                <w:lang w:val="en-GB"/>
                <w14:ligatures w14:val="none"/>
              </w:rPr>
            </w:pPr>
            <w:r w:rsidRPr="00BB28A0">
              <w:rPr>
                <w:rFonts w:ascii="StobiSerif Regular" w:eastAsia="Times New Roman" w:hAnsi="StobiSerif Regular" w:cs="Times New Roman"/>
                <w:kern w:val="0"/>
                <w:sz w:val="20"/>
                <w:szCs w:val="20"/>
                <w:lang w:val="en-GB"/>
                <w14:ligatures w14:val="none"/>
              </w:rPr>
              <w:t>24.675.377.000</w:t>
            </w:r>
          </w:p>
        </w:tc>
        <w:tc>
          <w:tcPr>
            <w:tcW w:w="1818" w:type="dxa"/>
            <w:shd w:val="clear" w:color="auto" w:fill="auto"/>
          </w:tcPr>
          <w:p w14:paraId="392827F6" w14:textId="77777777" w:rsidR="009E4135" w:rsidRPr="00BB28A0" w:rsidRDefault="009E4135" w:rsidP="009E4135">
            <w:pPr>
              <w:spacing w:after="0" w:line="360" w:lineRule="auto"/>
              <w:jc w:val="right"/>
              <w:rPr>
                <w:rFonts w:ascii="StobiSerif Regular" w:eastAsia="Times New Roman" w:hAnsi="StobiSerif Regular" w:cs="Times New Roman"/>
                <w:kern w:val="0"/>
                <w:sz w:val="20"/>
                <w:szCs w:val="20"/>
                <w:lang w:val="en-GB"/>
                <w14:ligatures w14:val="none"/>
              </w:rPr>
            </w:pPr>
            <w:r w:rsidRPr="00BB28A0">
              <w:rPr>
                <w:rFonts w:ascii="StobiSerif Regular" w:eastAsia="Times New Roman" w:hAnsi="StobiSerif Regular" w:cs="Times New Roman"/>
                <w:kern w:val="0"/>
                <w:sz w:val="20"/>
                <w:szCs w:val="20"/>
                <w:lang w:val="en-GB"/>
                <w14:ligatures w14:val="none"/>
              </w:rPr>
              <w:t>0,88</w:t>
            </w:r>
          </w:p>
        </w:tc>
      </w:tr>
      <w:tr w:rsidR="009E4135" w:rsidRPr="00BB28A0" w14:paraId="7CF969AC" w14:textId="77777777" w:rsidTr="002C5EDB">
        <w:tc>
          <w:tcPr>
            <w:tcW w:w="1838" w:type="dxa"/>
            <w:shd w:val="clear" w:color="auto" w:fill="auto"/>
          </w:tcPr>
          <w:p w14:paraId="78D9DCDE" w14:textId="77777777" w:rsidR="009E4135" w:rsidRPr="00BB28A0" w:rsidRDefault="009E4135" w:rsidP="009E4135">
            <w:pPr>
              <w:spacing w:after="0" w:line="360" w:lineRule="auto"/>
              <w:jc w:val="center"/>
              <w:rPr>
                <w:rFonts w:ascii="StobiSerif Regular" w:eastAsia="Times New Roman" w:hAnsi="StobiSerif Regular" w:cs="Times New Roman"/>
                <w:kern w:val="0"/>
                <w:sz w:val="20"/>
                <w:szCs w:val="20"/>
                <w:lang w:val="en-GB"/>
                <w14:ligatures w14:val="none"/>
              </w:rPr>
            </w:pPr>
            <w:r w:rsidRPr="00BB28A0">
              <w:rPr>
                <w:rFonts w:ascii="StobiSerif Regular" w:eastAsia="Times New Roman" w:hAnsi="StobiSerif Regular" w:cs="Times New Roman"/>
                <w:kern w:val="0"/>
                <w:sz w:val="20"/>
                <w:szCs w:val="20"/>
                <w:lang w:val="en-GB"/>
                <w14:ligatures w14:val="none"/>
              </w:rPr>
              <w:t>2023</w:t>
            </w:r>
          </w:p>
        </w:tc>
        <w:tc>
          <w:tcPr>
            <w:tcW w:w="1898" w:type="dxa"/>
            <w:shd w:val="clear" w:color="auto" w:fill="auto"/>
          </w:tcPr>
          <w:p w14:paraId="58FB1E7E" w14:textId="77777777" w:rsidR="009E4135" w:rsidRPr="00BB28A0" w:rsidRDefault="009E4135" w:rsidP="009E4135">
            <w:pPr>
              <w:spacing w:after="0" w:line="360" w:lineRule="auto"/>
              <w:jc w:val="center"/>
              <w:rPr>
                <w:rFonts w:ascii="StobiSerif Regular" w:eastAsia="Times New Roman" w:hAnsi="StobiSerif Regular" w:cs="Times New Roman"/>
                <w:kern w:val="0"/>
                <w:sz w:val="20"/>
                <w:szCs w:val="20"/>
                <w:lang w:val="en-GB"/>
                <w14:ligatures w14:val="none"/>
              </w:rPr>
            </w:pPr>
            <w:r w:rsidRPr="00BB28A0">
              <w:rPr>
                <w:rFonts w:ascii="StobiSerif Regular" w:eastAsia="Times New Roman" w:hAnsi="StobiSerif Regular" w:cs="Times New Roman"/>
                <w:kern w:val="0"/>
                <w:sz w:val="20"/>
                <w:szCs w:val="20"/>
                <w:lang w:val="en-GB"/>
                <w14:ligatures w14:val="none"/>
              </w:rPr>
              <w:t>225.406.000,00</w:t>
            </w:r>
          </w:p>
        </w:tc>
        <w:tc>
          <w:tcPr>
            <w:tcW w:w="1898" w:type="dxa"/>
            <w:shd w:val="clear" w:color="auto" w:fill="auto"/>
          </w:tcPr>
          <w:p w14:paraId="34CDACB4" w14:textId="77777777" w:rsidR="009E4135" w:rsidRPr="00BB28A0" w:rsidRDefault="009E4135" w:rsidP="009E4135">
            <w:pPr>
              <w:spacing w:after="0" w:line="360" w:lineRule="auto"/>
              <w:jc w:val="center"/>
              <w:rPr>
                <w:rFonts w:ascii="StobiSerif Regular" w:eastAsia="Times New Roman" w:hAnsi="StobiSerif Regular" w:cs="Times New Roman"/>
                <w:kern w:val="0"/>
                <w:sz w:val="20"/>
                <w:szCs w:val="20"/>
                <w:lang w:val="en-GB"/>
                <w14:ligatures w14:val="none"/>
              </w:rPr>
            </w:pPr>
            <w:r w:rsidRPr="00BB28A0">
              <w:rPr>
                <w:rFonts w:ascii="StobiSerif Regular" w:eastAsia="Times New Roman" w:hAnsi="StobiSerif Regular" w:cs="Times New Roman"/>
                <w:kern w:val="0"/>
                <w:sz w:val="20"/>
                <w:szCs w:val="20"/>
                <w:lang w:val="en-GB"/>
                <w14:ligatures w14:val="none"/>
              </w:rPr>
              <w:t>412.236.000,00</w:t>
            </w:r>
          </w:p>
        </w:tc>
        <w:tc>
          <w:tcPr>
            <w:tcW w:w="1898" w:type="dxa"/>
            <w:shd w:val="clear" w:color="auto" w:fill="auto"/>
          </w:tcPr>
          <w:p w14:paraId="51674291" w14:textId="77777777" w:rsidR="009E4135" w:rsidRPr="00BB28A0" w:rsidRDefault="009E4135" w:rsidP="009E4135">
            <w:pPr>
              <w:spacing w:after="0" w:line="360" w:lineRule="auto"/>
              <w:jc w:val="center"/>
              <w:rPr>
                <w:rFonts w:ascii="StobiSerif Regular" w:eastAsia="Times New Roman" w:hAnsi="StobiSerif Regular" w:cs="Times New Roman"/>
                <w:kern w:val="0"/>
                <w:sz w:val="20"/>
                <w:szCs w:val="20"/>
                <w:lang w:val="en-GB"/>
                <w14:ligatures w14:val="none"/>
              </w:rPr>
            </w:pPr>
            <w:r w:rsidRPr="00BB28A0">
              <w:rPr>
                <w:rFonts w:ascii="StobiSerif Regular" w:eastAsia="Times New Roman" w:hAnsi="StobiSerif Regular" w:cs="Times New Roman"/>
                <w:kern w:val="0"/>
                <w:sz w:val="20"/>
                <w:szCs w:val="20"/>
                <w:lang w:val="en-GB"/>
                <w14:ligatures w14:val="none"/>
              </w:rPr>
              <w:t>28.356.886.000</w:t>
            </w:r>
          </w:p>
        </w:tc>
        <w:tc>
          <w:tcPr>
            <w:tcW w:w="1818" w:type="dxa"/>
            <w:shd w:val="clear" w:color="auto" w:fill="auto"/>
          </w:tcPr>
          <w:p w14:paraId="017191F7" w14:textId="77777777" w:rsidR="009E4135" w:rsidRPr="00BB28A0" w:rsidRDefault="009E4135" w:rsidP="009E4135">
            <w:pPr>
              <w:spacing w:after="0" w:line="360" w:lineRule="auto"/>
              <w:jc w:val="right"/>
              <w:rPr>
                <w:rFonts w:ascii="StobiSerif Regular" w:eastAsia="Times New Roman" w:hAnsi="StobiSerif Regular" w:cs="Times New Roman"/>
                <w:kern w:val="0"/>
                <w:sz w:val="20"/>
                <w:szCs w:val="20"/>
                <w:lang w:val="en-GB"/>
                <w14:ligatures w14:val="none"/>
              </w:rPr>
            </w:pPr>
            <w:r w:rsidRPr="00BB28A0">
              <w:rPr>
                <w:rFonts w:ascii="StobiSerif Regular" w:eastAsia="Times New Roman" w:hAnsi="StobiSerif Regular" w:cs="Times New Roman"/>
                <w:kern w:val="0"/>
                <w:sz w:val="20"/>
                <w:szCs w:val="20"/>
                <w:lang w:val="en-GB"/>
                <w14:ligatures w14:val="none"/>
              </w:rPr>
              <w:t>0,79</w:t>
            </w:r>
          </w:p>
        </w:tc>
      </w:tr>
      <w:tr w:rsidR="009E4135" w:rsidRPr="00BB28A0" w14:paraId="696F12E4" w14:textId="77777777" w:rsidTr="002C5EDB">
        <w:tc>
          <w:tcPr>
            <w:tcW w:w="1838" w:type="dxa"/>
            <w:shd w:val="clear" w:color="auto" w:fill="auto"/>
          </w:tcPr>
          <w:p w14:paraId="0757ED7D" w14:textId="77777777" w:rsidR="009E4135" w:rsidRPr="00BB28A0" w:rsidRDefault="009E4135" w:rsidP="009E4135">
            <w:pPr>
              <w:spacing w:after="0" w:line="360" w:lineRule="auto"/>
              <w:jc w:val="center"/>
              <w:rPr>
                <w:rFonts w:ascii="StobiSerif Regular" w:eastAsia="Times New Roman" w:hAnsi="StobiSerif Regular" w:cs="Times New Roman"/>
                <w:kern w:val="0"/>
                <w:sz w:val="20"/>
                <w:szCs w:val="20"/>
                <w:lang w:val="en-GB"/>
                <w14:ligatures w14:val="none"/>
              </w:rPr>
            </w:pPr>
            <w:r w:rsidRPr="00BB28A0">
              <w:rPr>
                <w:rFonts w:ascii="StobiSerif Regular" w:eastAsia="Times New Roman" w:hAnsi="StobiSerif Regular" w:cs="Times New Roman"/>
                <w:kern w:val="0"/>
                <w:sz w:val="20"/>
                <w:szCs w:val="20"/>
                <w:lang w:val="en-GB"/>
                <w14:ligatures w14:val="none"/>
              </w:rPr>
              <w:t>2024</w:t>
            </w:r>
          </w:p>
        </w:tc>
        <w:tc>
          <w:tcPr>
            <w:tcW w:w="1898" w:type="dxa"/>
            <w:shd w:val="clear" w:color="auto" w:fill="auto"/>
          </w:tcPr>
          <w:p w14:paraId="533E991E" w14:textId="77777777" w:rsidR="009E4135" w:rsidRPr="00BB28A0" w:rsidRDefault="009E4135" w:rsidP="009E4135">
            <w:pPr>
              <w:spacing w:after="0" w:line="360" w:lineRule="auto"/>
              <w:jc w:val="center"/>
              <w:rPr>
                <w:rFonts w:ascii="StobiSerif Regular" w:eastAsia="Times New Roman" w:hAnsi="StobiSerif Regular" w:cs="Times New Roman"/>
                <w:kern w:val="0"/>
                <w:sz w:val="20"/>
                <w:szCs w:val="20"/>
                <w:lang w:val="en-GB"/>
                <w14:ligatures w14:val="none"/>
              </w:rPr>
            </w:pPr>
            <w:r w:rsidRPr="00BB28A0">
              <w:rPr>
                <w:rFonts w:ascii="StobiSerif Regular" w:eastAsia="Times New Roman" w:hAnsi="StobiSerif Regular" w:cs="Times New Roman"/>
                <w:kern w:val="0"/>
                <w:sz w:val="20"/>
                <w:szCs w:val="20"/>
                <w:lang w:val="en-GB"/>
                <w14:ligatures w14:val="none"/>
              </w:rPr>
              <w:t>158.939.000</w:t>
            </w:r>
          </w:p>
        </w:tc>
        <w:tc>
          <w:tcPr>
            <w:tcW w:w="1898" w:type="dxa"/>
            <w:shd w:val="clear" w:color="auto" w:fill="auto"/>
          </w:tcPr>
          <w:p w14:paraId="23850365" w14:textId="77777777" w:rsidR="009E4135" w:rsidRPr="00BB28A0" w:rsidRDefault="009E4135" w:rsidP="009E4135">
            <w:pPr>
              <w:spacing w:after="0" w:line="360" w:lineRule="auto"/>
              <w:jc w:val="center"/>
              <w:rPr>
                <w:rFonts w:ascii="StobiSerif Regular" w:eastAsia="Times New Roman" w:hAnsi="StobiSerif Regular" w:cs="Times New Roman"/>
                <w:kern w:val="0"/>
                <w:sz w:val="20"/>
                <w:szCs w:val="20"/>
                <w:lang w:val="en-GB"/>
                <w14:ligatures w14:val="none"/>
              </w:rPr>
            </w:pPr>
            <w:r w:rsidRPr="00BB28A0">
              <w:rPr>
                <w:rFonts w:ascii="StobiSerif Regular" w:eastAsia="Times New Roman" w:hAnsi="StobiSerif Regular" w:cs="Times New Roman"/>
                <w:kern w:val="0"/>
                <w:sz w:val="20"/>
                <w:szCs w:val="20"/>
                <w:lang w:val="en-GB"/>
                <w14:ligatures w14:val="none"/>
              </w:rPr>
              <w:t>391.595.000</w:t>
            </w:r>
          </w:p>
        </w:tc>
        <w:tc>
          <w:tcPr>
            <w:tcW w:w="1898" w:type="dxa"/>
            <w:shd w:val="clear" w:color="auto" w:fill="auto"/>
          </w:tcPr>
          <w:p w14:paraId="40DFF7F5" w14:textId="77777777" w:rsidR="009E4135" w:rsidRPr="00BB28A0" w:rsidRDefault="009E4135" w:rsidP="009E4135">
            <w:pPr>
              <w:spacing w:after="0" w:line="360" w:lineRule="auto"/>
              <w:jc w:val="center"/>
              <w:rPr>
                <w:rFonts w:ascii="StobiSerif Regular" w:eastAsia="Times New Roman" w:hAnsi="StobiSerif Regular" w:cs="Times New Roman"/>
                <w:kern w:val="0"/>
                <w:sz w:val="20"/>
                <w:szCs w:val="20"/>
                <w:lang w:val="en-GB"/>
                <w14:ligatures w14:val="none"/>
              </w:rPr>
            </w:pPr>
            <w:r w:rsidRPr="00BB28A0">
              <w:rPr>
                <w:rFonts w:ascii="StobiSerif Regular" w:eastAsia="Times New Roman" w:hAnsi="StobiSerif Regular" w:cs="Times New Roman"/>
                <w:kern w:val="0"/>
                <w:sz w:val="20"/>
                <w:szCs w:val="20"/>
                <w:lang w:val="en-GB"/>
                <w14:ligatures w14:val="none"/>
              </w:rPr>
              <w:t>33.005.111.000</w:t>
            </w:r>
          </w:p>
        </w:tc>
        <w:tc>
          <w:tcPr>
            <w:tcW w:w="1818" w:type="dxa"/>
            <w:shd w:val="clear" w:color="auto" w:fill="auto"/>
          </w:tcPr>
          <w:p w14:paraId="6B3849AB" w14:textId="77777777" w:rsidR="009E4135" w:rsidRPr="00BB28A0" w:rsidRDefault="009E4135" w:rsidP="009E4135">
            <w:pPr>
              <w:spacing w:after="0" w:line="360" w:lineRule="auto"/>
              <w:jc w:val="right"/>
              <w:rPr>
                <w:rFonts w:ascii="StobiSerif Regular" w:eastAsia="Times New Roman" w:hAnsi="StobiSerif Regular" w:cs="Times New Roman"/>
                <w:kern w:val="0"/>
                <w:sz w:val="20"/>
                <w:szCs w:val="20"/>
                <w:lang w:val="en-GB"/>
                <w14:ligatures w14:val="none"/>
              </w:rPr>
            </w:pPr>
            <w:r w:rsidRPr="00BB28A0">
              <w:rPr>
                <w:rFonts w:ascii="StobiSerif Regular" w:eastAsia="Times New Roman" w:hAnsi="StobiSerif Regular" w:cs="Times New Roman"/>
                <w:kern w:val="0"/>
                <w:sz w:val="20"/>
                <w:szCs w:val="20"/>
                <w:lang w:val="en-GB"/>
                <w14:ligatures w14:val="none"/>
              </w:rPr>
              <w:t>0,48</w:t>
            </w:r>
          </w:p>
        </w:tc>
      </w:tr>
      <w:tr w:rsidR="00506FDB" w:rsidRPr="00BB28A0" w14:paraId="46E7E18A" w14:textId="77777777" w:rsidTr="002C5EDB">
        <w:tc>
          <w:tcPr>
            <w:tcW w:w="1838" w:type="dxa"/>
            <w:shd w:val="clear" w:color="auto" w:fill="auto"/>
          </w:tcPr>
          <w:p w14:paraId="03E933B2" w14:textId="49AC896C" w:rsidR="00506FDB" w:rsidRPr="00BB28A0" w:rsidRDefault="00506FDB" w:rsidP="009E4135">
            <w:pPr>
              <w:spacing w:after="0" w:line="360" w:lineRule="auto"/>
              <w:jc w:val="center"/>
              <w:rPr>
                <w:rFonts w:ascii="StobiSerif Regular" w:eastAsia="Times New Roman" w:hAnsi="StobiSerif Regular" w:cs="Times New Roman"/>
                <w:kern w:val="0"/>
                <w:sz w:val="20"/>
                <w:szCs w:val="20"/>
                <w:lang w:val="en-GB"/>
                <w14:ligatures w14:val="none"/>
              </w:rPr>
            </w:pPr>
            <w:r w:rsidRPr="00BB28A0">
              <w:rPr>
                <w:rFonts w:ascii="StobiSerif Regular" w:eastAsia="Times New Roman" w:hAnsi="StobiSerif Regular" w:cs="Times New Roman"/>
                <w:kern w:val="0"/>
                <w:sz w:val="20"/>
                <w:szCs w:val="20"/>
                <w:lang w:val="en-GB"/>
                <w14:ligatures w14:val="none"/>
              </w:rPr>
              <w:t>2025</w:t>
            </w:r>
          </w:p>
        </w:tc>
        <w:tc>
          <w:tcPr>
            <w:tcW w:w="1898" w:type="dxa"/>
            <w:shd w:val="clear" w:color="auto" w:fill="auto"/>
          </w:tcPr>
          <w:p w14:paraId="2470F8E6" w14:textId="0C60828F" w:rsidR="00506FDB" w:rsidRPr="00BB28A0" w:rsidRDefault="00506FDB" w:rsidP="009E4135">
            <w:pPr>
              <w:spacing w:after="0" w:line="360" w:lineRule="auto"/>
              <w:jc w:val="center"/>
              <w:rPr>
                <w:rFonts w:ascii="StobiSerif Regular" w:eastAsia="Times New Roman" w:hAnsi="StobiSerif Regular" w:cs="Times New Roman"/>
                <w:kern w:val="0"/>
                <w:sz w:val="20"/>
                <w:szCs w:val="20"/>
                <w:lang w:val="en-GB"/>
                <w14:ligatures w14:val="none"/>
              </w:rPr>
            </w:pPr>
            <w:r w:rsidRPr="00BB28A0">
              <w:rPr>
                <w:rFonts w:ascii="StobiSerif Regular" w:eastAsia="Times New Roman" w:hAnsi="StobiSerif Regular" w:cs="Times New Roman"/>
                <w:kern w:val="0"/>
                <w:sz w:val="20"/>
                <w:szCs w:val="20"/>
                <w:lang w:val="en-GB"/>
                <w14:ligatures w14:val="none"/>
              </w:rPr>
              <w:t>277.927.000</w:t>
            </w:r>
          </w:p>
        </w:tc>
        <w:tc>
          <w:tcPr>
            <w:tcW w:w="1898" w:type="dxa"/>
            <w:shd w:val="clear" w:color="auto" w:fill="auto"/>
          </w:tcPr>
          <w:p w14:paraId="1D09631A" w14:textId="799F9014" w:rsidR="00506FDB" w:rsidRPr="00BB28A0" w:rsidRDefault="00506FDB" w:rsidP="009E4135">
            <w:pPr>
              <w:spacing w:after="0" w:line="360" w:lineRule="auto"/>
              <w:jc w:val="center"/>
              <w:rPr>
                <w:rFonts w:ascii="StobiSerif Regular" w:eastAsia="Times New Roman" w:hAnsi="StobiSerif Regular" w:cs="Times New Roman"/>
                <w:kern w:val="0"/>
                <w:sz w:val="20"/>
                <w:szCs w:val="20"/>
                <w:lang w:val="en-GB"/>
                <w14:ligatures w14:val="none"/>
              </w:rPr>
            </w:pPr>
            <w:r w:rsidRPr="00BB28A0">
              <w:rPr>
                <w:rFonts w:ascii="StobiSerif Regular" w:eastAsia="Times New Roman" w:hAnsi="StobiSerif Regular" w:cs="Times New Roman"/>
                <w:kern w:val="0"/>
                <w:sz w:val="20"/>
                <w:szCs w:val="20"/>
                <w:lang w:val="en-GB"/>
                <w14:ligatures w14:val="none"/>
              </w:rPr>
              <w:t>676.031.000</w:t>
            </w:r>
          </w:p>
        </w:tc>
        <w:tc>
          <w:tcPr>
            <w:tcW w:w="1898" w:type="dxa"/>
            <w:shd w:val="clear" w:color="auto" w:fill="auto"/>
          </w:tcPr>
          <w:p w14:paraId="0C2BA43B" w14:textId="2110AAB4" w:rsidR="00506FDB" w:rsidRPr="00BB28A0" w:rsidRDefault="00F46925" w:rsidP="009E4135">
            <w:pPr>
              <w:spacing w:after="0" w:line="360" w:lineRule="auto"/>
              <w:jc w:val="center"/>
              <w:rPr>
                <w:rFonts w:ascii="StobiSerif Regular" w:eastAsia="Times New Roman" w:hAnsi="StobiSerif Regular" w:cs="Times New Roman"/>
                <w:kern w:val="0"/>
                <w:sz w:val="20"/>
                <w:szCs w:val="20"/>
                <w:lang w:val="en-GB"/>
                <w14:ligatures w14:val="none"/>
              </w:rPr>
            </w:pPr>
            <w:r w:rsidRPr="00BB28A0">
              <w:rPr>
                <w:rFonts w:ascii="StobiSerif Regular" w:eastAsia="Times New Roman" w:hAnsi="StobiSerif Regular" w:cs="Times New Roman"/>
                <w:kern w:val="0"/>
                <w:sz w:val="20"/>
                <w:szCs w:val="20"/>
                <w:lang w:val="en-GB"/>
                <w14:ligatures w14:val="none"/>
              </w:rPr>
              <w:t>38.475.070.000</w:t>
            </w:r>
          </w:p>
        </w:tc>
        <w:tc>
          <w:tcPr>
            <w:tcW w:w="1818" w:type="dxa"/>
            <w:shd w:val="clear" w:color="auto" w:fill="auto"/>
          </w:tcPr>
          <w:p w14:paraId="01481F5D" w14:textId="5AA26728" w:rsidR="00506FDB" w:rsidRPr="00BB28A0" w:rsidRDefault="00306C5E" w:rsidP="009E4135">
            <w:pPr>
              <w:spacing w:after="0" w:line="360" w:lineRule="auto"/>
              <w:jc w:val="right"/>
              <w:rPr>
                <w:rFonts w:ascii="StobiSerif Regular" w:eastAsia="Times New Roman" w:hAnsi="StobiSerif Regular" w:cs="Times New Roman"/>
                <w:kern w:val="0"/>
                <w:sz w:val="20"/>
                <w:szCs w:val="20"/>
                <w:lang w:val="en-GB"/>
                <w14:ligatures w14:val="none"/>
              </w:rPr>
            </w:pPr>
            <w:r w:rsidRPr="00BB28A0">
              <w:rPr>
                <w:rFonts w:ascii="StobiSerif Regular" w:eastAsia="Times New Roman" w:hAnsi="StobiSerif Regular" w:cs="Times New Roman"/>
                <w:kern w:val="0"/>
                <w:sz w:val="20"/>
                <w:szCs w:val="20"/>
                <w:lang w:val="en-GB"/>
                <w14:ligatures w14:val="none"/>
              </w:rPr>
              <w:t>0,72</w:t>
            </w:r>
          </w:p>
        </w:tc>
      </w:tr>
    </w:tbl>
    <w:p w14:paraId="58C9082F" w14:textId="6DE02E36" w:rsidR="00A27D62" w:rsidRPr="00BB28A0" w:rsidRDefault="00A27D62" w:rsidP="00795779">
      <w:pPr>
        <w:jc w:val="both"/>
        <w:rPr>
          <w:rFonts w:ascii="StobiSerif Regular" w:hAnsi="StobiSerif Regular"/>
          <w:sz w:val="24"/>
          <w:szCs w:val="24"/>
          <w:lang w:val="en-GB"/>
        </w:rPr>
      </w:pPr>
    </w:p>
    <w:p w14:paraId="4C59AF96" w14:textId="1E64E9F0" w:rsidR="00F057D4" w:rsidRPr="00BB28A0" w:rsidRDefault="00F057D4" w:rsidP="00F057D4">
      <w:pPr>
        <w:jc w:val="both"/>
        <w:rPr>
          <w:rFonts w:ascii="StobiSerif Regular" w:hAnsi="StobiSerif Regular"/>
          <w:sz w:val="24"/>
          <w:szCs w:val="24"/>
          <w:lang w:val="en-GB"/>
        </w:rPr>
      </w:pPr>
      <w:r w:rsidRPr="00BB28A0">
        <w:rPr>
          <w:rFonts w:ascii="StobiSerif Regular" w:hAnsi="StobiSerif Regular"/>
          <w:sz w:val="24"/>
          <w:szCs w:val="24"/>
          <w:lang w:val="en-GB"/>
        </w:rPr>
        <w:lastRenderedPageBreak/>
        <w:t>The Ministry of Education and Science consistently encourages and financially supports the publication of scientific papers in international peer-reviewed journals, including Web of Science and Scopus.</w:t>
      </w:r>
    </w:p>
    <w:p w14:paraId="1811E82D" w14:textId="33A9AA55" w:rsidR="00F057D4" w:rsidRPr="00BB28A0" w:rsidRDefault="00F057D4" w:rsidP="00434811">
      <w:pPr>
        <w:jc w:val="both"/>
        <w:rPr>
          <w:rFonts w:ascii="StobiSerif Regular" w:hAnsi="StobiSerif Regular"/>
          <w:sz w:val="24"/>
          <w:szCs w:val="24"/>
          <w:lang w:val="en-GB"/>
        </w:rPr>
      </w:pPr>
      <w:r w:rsidRPr="00BB28A0">
        <w:rPr>
          <w:rFonts w:ascii="StobiSerif Regular" w:hAnsi="StobiSerif Regular"/>
          <w:sz w:val="24"/>
          <w:szCs w:val="24"/>
          <w:lang w:val="en-GB"/>
        </w:rPr>
        <w:t>Researchers from the Republic of North Macedonia have historically lacked access to the world’s largest scientific databases</w:t>
      </w:r>
      <w:r w:rsidR="009876F6" w:rsidRPr="00BB28A0">
        <w:rPr>
          <w:rFonts w:ascii="StobiSerif Regular" w:hAnsi="StobiSerif Regular"/>
          <w:sz w:val="24"/>
          <w:szCs w:val="24"/>
          <w:lang w:val="en-GB"/>
        </w:rPr>
        <w:t>, such as Web of Science and Scopus</w:t>
      </w:r>
      <w:r w:rsidRPr="00BB28A0">
        <w:rPr>
          <w:rFonts w:ascii="StobiSerif Regular" w:hAnsi="StobiSerif Regular"/>
          <w:sz w:val="24"/>
          <w:szCs w:val="24"/>
          <w:lang w:val="en-GB"/>
        </w:rPr>
        <w:t xml:space="preserve">. However, the Ministry actively works to improve access </w:t>
      </w:r>
      <w:r w:rsidR="009876F6" w:rsidRPr="00BB28A0">
        <w:rPr>
          <w:rFonts w:ascii="StobiSerif Regular" w:hAnsi="StobiSerif Regular"/>
          <w:sz w:val="24"/>
          <w:szCs w:val="24"/>
          <w:lang w:val="en-GB"/>
        </w:rPr>
        <w:t>to the electronic databases of various scientific journals</w:t>
      </w:r>
      <w:r w:rsidRPr="00BB28A0">
        <w:rPr>
          <w:rFonts w:ascii="StobiSerif Regular" w:hAnsi="StobiSerif Regular"/>
          <w:sz w:val="24"/>
          <w:szCs w:val="24"/>
          <w:lang w:val="en-GB"/>
        </w:rPr>
        <w:t>. By 2019, access to 14 databases had been established, with Academic Search being one of the most notable. In that year, access was further enhanced by adding the Academic Complete database.</w:t>
      </w:r>
      <w:r w:rsidR="009876F6" w:rsidRPr="00BB28A0">
        <w:rPr>
          <w:rFonts w:ascii="StobiSerif Regular" w:hAnsi="StobiSerif Regular"/>
          <w:sz w:val="24"/>
          <w:szCs w:val="24"/>
          <w:lang w:val="en-GB"/>
        </w:rPr>
        <w:t xml:space="preserve"> Thus</w:t>
      </w:r>
      <w:r w:rsidR="00E47458" w:rsidRPr="00BB28A0">
        <w:rPr>
          <w:rFonts w:ascii="StobiSerif Regular" w:hAnsi="StobiSerif Regular"/>
          <w:sz w:val="24"/>
          <w:szCs w:val="24"/>
          <w:lang w:val="en-GB"/>
        </w:rPr>
        <w:t>,</w:t>
      </w:r>
      <w:r w:rsidR="009876F6" w:rsidRPr="00BB28A0">
        <w:rPr>
          <w:rFonts w:ascii="StobiSerif Regular" w:hAnsi="StobiSerif Regular"/>
          <w:sz w:val="24"/>
          <w:szCs w:val="24"/>
          <w:lang w:val="en-GB"/>
        </w:rPr>
        <w:t xml:space="preserve"> access was granted to a total of 14 databases containing electronic scientific journals with an impact factor, which collectively include over 57,000 titles</w:t>
      </w:r>
      <w:r w:rsidR="00E47458" w:rsidRPr="00BB28A0">
        <w:rPr>
          <w:rFonts w:ascii="StobiSerif Regular" w:hAnsi="StobiSerif Regular"/>
          <w:sz w:val="24"/>
          <w:szCs w:val="24"/>
          <w:lang w:val="en-GB"/>
        </w:rPr>
        <w:t>, of which</w:t>
      </w:r>
      <w:r w:rsidR="009876F6" w:rsidRPr="00BB28A0">
        <w:rPr>
          <w:rFonts w:ascii="StobiSerif Regular" w:hAnsi="StobiSerif Regular"/>
          <w:sz w:val="24"/>
          <w:szCs w:val="24"/>
          <w:lang w:val="en-GB"/>
        </w:rPr>
        <w:t xml:space="preserve">, more than 22,000 are fully accessible electronic journals in PDF format, and over 5,000 are highly cited journals with impact factors. These resources are available to researchers and students of the higher education institutions and public research institutions in the Republic of North Macedonia. In 2022, the Ministry </w:t>
      </w:r>
      <w:r w:rsidR="00E47458" w:rsidRPr="00BB28A0">
        <w:rPr>
          <w:rFonts w:ascii="StobiSerif Regular" w:hAnsi="StobiSerif Regular"/>
          <w:sz w:val="24"/>
          <w:szCs w:val="24"/>
          <w:lang w:val="en-GB"/>
        </w:rPr>
        <w:t xml:space="preserve">also provided </w:t>
      </w:r>
      <w:r w:rsidR="009876F6" w:rsidRPr="00BB28A0">
        <w:rPr>
          <w:rFonts w:ascii="StobiSerif Regular" w:hAnsi="StobiSerif Regular"/>
          <w:sz w:val="24"/>
          <w:szCs w:val="24"/>
          <w:lang w:val="en-GB"/>
        </w:rPr>
        <w:t xml:space="preserve">access </w:t>
      </w:r>
      <w:r w:rsidR="00E47458" w:rsidRPr="00BB28A0">
        <w:rPr>
          <w:rFonts w:ascii="StobiSerif Regular" w:hAnsi="StobiSerif Regular"/>
          <w:sz w:val="24"/>
          <w:szCs w:val="24"/>
          <w:lang w:val="en-GB"/>
        </w:rPr>
        <w:t xml:space="preserve">to </w:t>
      </w:r>
      <w:r w:rsidR="009876F6" w:rsidRPr="00BB28A0">
        <w:rPr>
          <w:rFonts w:ascii="StobiSerif Regular" w:hAnsi="StobiSerif Regular"/>
          <w:sz w:val="24"/>
          <w:szCs w:val="24"/>
          <w:lang w:val="en-GB"/>
        </w:rPr>
        <w:t xml:space="preserve">the Computers &amp; Applied Science Complete database, thereby </w:t>
      </w:r>
      <w:r w:rsidR="00E47458" w:rsidRPr="00BB28A0">
        <w:rPr>
          <w:rFonts w:ascii="StobiSerif Regular" w:hAnsi="StobiSerif Regular"/>
          <w:sz w:val="24"/>
          <w:szCs w:val="24"/>
          <w:lang w:val="en-GB"/>
        </w:rPr>
        <w:t xml:space="preserve">providing </w:t>
      </w:r>
      <w:r w:rsidR="009876F6" w:rsidRPr="00BB28A0">
        <w:rPr>
          <w:rFonts w:ascii="StobiSerif Regular" w:hAnsi="StobiSerif Regular"/>
          <w:sz w:val="24"/>
          <w:szCs w:val="24"/>
          <w:lang w:val="en-GB"/>
        </w:rPr>
        <w:t>access to highly cited journals in the fields of computer science, electrical engineering, and information technology.</w:t>
      </w:r>
      <w:r w:rsidRPr="00BB28A0">
        <w:rPr>
          <w:rFonts w:ascii="StobiSerif Regular" w:hAnsi="StobiSerif Regular"/>
          <w:sz w:val="24"/>
          <w:szCs w:val="24"/>
          <w:lang w:val="en-GB"/>
        </w:rPr>
        <w:t xml:space="preserve"> </w:t>
      </w:r>
    </w:p>
    <w:p w14:paraId="03094FE0" w14:textId="009AE152" w:rsidR="009876F6" w:rsidRPr="00BB28A0" w:rsidRDefault="009876F6" w:rsidP="00795779">
      <w:pPr>
        <w:jc w:val="both"/>
        <w:rPr>
          <w:rFonts w:ascii="StobiSerif Regular" w:hAnsi="StobiSerif Regular"/>
          <w:sz w:val="24"/>
          <w:szCs w:val="24"/>
          <w:lang w:val="en-GB"/>
        </w:rPr>
      </w:pPr>
      <w:r w:rsidRPr="00BB28A0">
        <w:rPr>
          <w:rFonts w:ascii="StobiSerif Regular" w:hAnsi="StobiSerif Regular"/>
          <w:sz w:val="24"/>
          <w:szCs w:val="24"/>
          <w:lang w:val="en-GB"/>
        </w:rPr>
        <w:t xml:space="preserve">It is important to highlight the project titled "Equipping Laboratories for Scientific Research and Applied Activity," which was implemented by the Ministry of Education and Science in 2010 to strengthen the research infrastructure capacities of public higher education institutions and research institutes. The specific objectives of this project included: </w:t>
      </w:r>
    </w:p>
    <w:p w14:paraId="4409C18A" w14:textId="56C4CF26" w:rsidR="009876F6" w:rsidRPr="00BB28A0" w:rsidRDefault="009876F6" w:rsidP="002B2EAF">
      <w:pPr>
        <w:pStyle w:val="ListParagraph"/>
        <w:numPr>
          <w:ilvl w:val="0"/>
          <w:numId w:val="20"/>
        </w:numPr>
        <w:jc w:val="both"/>
        <w:rPr>
          <w:rFonts w:ascii="StobiSerif Regular" w:hAnsi="StobiSerif Regular"/>
          <w:sz w:val="24"/>
          <w:szCs w:val="24"/>
          <w:lang w:val="en-GB"/>
        </w:rPr>
      </w:pPr>
      <w:r w:rsidRPr="00BB28A0">
        <w:rPr>
          <w:rFonts w:ascii="StobiSerif Regular" w:hAnsi="StobiSerif Regular"/>
          <w:sz w:val="24"/>
          <w:szCs w:val="24"/>
          <w:lang w:val="en-GB"/>
        </w:rPr>
        <w:t xml:space="preserve">Equip </w:t>
      </w:r>
      <w:r w:rsidR="002B2EAF" w:rsidRPr="00BB28A0">
        <w:rPr>
          <w:rFonts w:ascii="StobiSerif Regular" w:hAnsi="StobiSerif Regular"/>
          <w:sz w:val="24"/>
          <w:szCs w:val="24"/>
          <w:lang w:val="en-GB"/>
        </w:rPr>
        <w:t xml:space="preserve">and strengthen </w:t>
      </w:r>
      <w:r w:rsidRPr="00BB28A0">
        <w:rPr>
          <w:rFonts w:ascii="StobiSerif Regular" w:hAnsi="StobiSerif Regular"/>
          <w:sz w:val="24"/>
          <w:szCs w:val="24"/>
          <w:lang w:val="en-GB"/>
        </w:rPr>
        <w:t>universities and other public educational institutions with state-of-the-art technical equipment.</w:t>
      </w:r>
    </w:p>
    <w:p w14:paraId="4552A38C" w14:textId="244952BF" w:rsidR="009876F6" w:rsidRPr="00BB28A0" w:rsidRDefault="009876F6" w:rsidP="002B2EAF">
      <w:pPr>
        <w:pStyle w:val="ListParagraph"/>
        <w:numPr>
          <w:ilvl w:val="0"/>
          <w:numId w:val="20"/>
        </w:numPr>
        <w:jc w:val="both"/>
        <w:rPr>
          <w:rFonts w:ascii="StobiSerif Regular" w:hAnsi="StobiSerif Regular"/>
          <w:sz w:val="24"/>
          <w:szCs w:val="24"/>
          <w:lang w:val="en-GB"/>
        </w:rPr>
      </w:pPr>
      <w:r w:rsidRPr="00BB28A0">
        <w:rPr>
          <w:rFonts w:ascii="StobiSerif Regular" w:hAnsi="StobiSerif Regular"/>
          <w:sz w:val="24"/>
          <w:szCs w:val="24"/>
          <w:lang w:val="en-GB"/>
        </w:rPr>
        <w:t xml:space="preserve">Support research institutions in </w:t>
      </w:r>
      <w:r w:rsidR="002B2EAF" w:rsidRPr="00BB28A0">
        <w:rPr>
          <w:rFonts w:ascii="StobiSerif Regular" w:hAnsi="StobiSerif Regular"/>
          <w:sz w:val="24"/>
          <w:szCs w:val="24"/>
          <w:lang w:val="en-GB"/>
        </w:rPr>
        <w:t>the implementation of their scientific research projects</w:t>
      </w:r>
      <w:r w:rsidRPr="00BB28A0">
        <w:rPr>
          <w:rFonts w:ascii="StobiSerif Regular" w:hAnsi="StobiSerif Regular"/>
          <w:sz w:val="24"/>
          <w:szCs w:val="24"/>
          <w:lang w:val="en-GB"/>
        </w:rPr>
        <w:t>.</w:t>
      </w:r>
    </w:p>
    <w:p w14:paraId="0E591897" w14:textId="6917D4D9" w:rsidR="009876F6" w:rsidRPr="00BB28A0" w:rsidRDefault="002B2EAF" w:rsidP="009876F6">
      <w:pPr>
        <w:pStyle w:val="ListParagraph"/>
        <w:numPr>
          <w:ilvl w:val="0"/>
          <w:numId w:val="20"/>
        </w:numPr>
        <w:jc w:val="both"/>
        <w:rPr>
          <w:rFonts w:ascii="StobiSerif Regular" w:hAnsi="StobiSerif Regular"/>
          <w:sz w:val="24"/>
          <w:szCs w:val="24"/>
          <w:lang w:val="en-GB"/>
        </w:rPr>
      </w:pPr>
      <w:r w:rsidRPr="00BB28A0">
        <w:rPr>
          <w:rFonts w:ascii="StobiSerif Regular" w:hAnsi="StobiSerif Regular"/>
          <w:sz w:val="24"/>
          <w:szCs w:val="24"/>
          <w:lang w:val="en-GB"/>
        </w:rPr>
        <w:t xml:space="preserve">Support </w:t>
      </w:r>
      <w:r w:rsidR="009876F6" w:rsidRPr="00BB28A0">
        <w:rPr>
          <w:rFonts w:ascii="StobiSerif Regular" w:hAnsi="StobiSerif Regular"/>
          <w:sz w:val="24"/>
          <w:szCs w:val="24"/>
          <w:lang w:val="en-GB"/>
        </w:rPr>
        <w:t>the organization of practical classes for students.</w:t>
      </w:r>
    </w:p>
    <w:p w14:paraId="50C2C8CD" w14:textId="60A37BAC" w:rsidR="009876F6" w:rsidRPr="00BB28A0" w:rsidRDefault="009876F6" w:rsidP="009876F6">
      <w:pPr>
        <w:pStyle w:val="ListParagraph"/>
        <w:numPr>
          <w:ilvl w:val="0"/>
          <w:numId w:val="20"/>
        </w:numPr>
        <w:jc w:val="both"/>
        <w:rPr>
          <w:rFonts w:ascii="StobiSerif Regular" w:hAnsi="StobiSerif Regular"/>
          <w:sz w:val="24"/>
          <w:szCs w:val="24"/>
          <w:lang w:val="en-GB"/>
        </w:rPr>
      </w:pPr>
      <w:r w:rsidRPr="00BB28A0">
        <w:rPr>
          <w:rFonts w:ascii="StobiSerif Regular" w:hAnsi="StobiSerif Regular"/>
          <w:sz w:val="24"/>
          <w:szCs w:val="24"/>
          <w:lang w:val="en-GB"/>
        </w:rPr>
        <w:t>Encourage collaboration with the private sector</w:t>
      </w:r>
      <w:r w:rsidR="002B2EAF" w:rsidRPr="00BB28A0">
        <w:rPr>
          <w:rFonts w:ascii="StobiSerif Regular" w:hAnsi="StobiSerif Regular"/>
          <w:sz w:val="24"/>
          <w:szCs w:val="24"/>
          <w:lang w:val="en-GB"/>
        </w:rPr>
        <w:t xml:space="preserve"> to </w:t>
      </w:r>
      <w:r w:rsidRPr="00BB28A0">
        <w:rPr>
          <w:rFonts w:ascii="StobiSerif Regular" w:hAnsi="StobiSerif Regular"/>
          <w:sz w:val="24"/>
          <w:szCs w:val="24"/>
          <w:lang w:val="en-GB"/>
        </w:rPr>
        <w:t>generat</w:t>
      </w:r>
      <w:r w:rsidR="002B2EAF" w:rsidRPr="00BB28A0">
        <w:rPr>
          <w:rFonts w:ascii="StobiSerif Regular" w:hAnsi="StobiSerif Regular"/>
          <w:sz w:val="24"/>
          <w:szCs w:val="24"/>
          <w:lang w:val="en-GB"/>
        </w:rPr>
        <w:t xml:space="preserve">e </w:t>
      </w:r>
      <w:r w:rsidRPr="00BB28A0">
        <w:rPr>
          <w:rFonts w:ascii="StobiSerif Regular" w:hAnsi="StobiSerif Regular"/>
          <w:sz w:val="24"/>
          <w:szCs w:val="24"/>
          <w:lang w:val="en-GB"/>
        </w:rPr>
        <w:t xml:space="preserve">additional </w:t>
      </w:r>
      <w:r w:rsidR="002B2EAF" w:rsidRPr="00BB28A0">
        <w:rPr>
          <w:rFonts w:ascii="StobiSerif Regular" w:hAnsi="StobiSerif Regular"/>
          <w:sz w:val="24"/>
          <w:szCs w:val="24"/>
          <w:lang w:val="en-GB"/>
        </w:rPr>
        <w:t xml:space="preserve">revenue </w:t>
      </w:r>
      <w:r w:rsidRPr="00BB28A0">
        <w:rPr>
          <w:rFonts w:ascii="StobiSerif Regular" w:hAnsi="StobiSerif Regular"/>
          <w:sz w:val="24"/>
          <w:szCs w:val="24"/>
          <w:lang w:val="en-GB"/>
        </w:rPr>
        <w:t xml:space="preserve">for the involved institutions to ensure the sustainability of the laboratories and the institutions </w:t>
      </w:r>
      <w:r w:rsidR="002B2EAF" w:rsidRPr="00BB28A0">
        <w:rPr>
          <w:rFonts w:ascii="StobiSerif Regular" w:hAnsi="StobiSerif Regular"/>
          <w:sz w:val="24"/>
          <w:szCs w:val="24"/>
          <w:lang w:val="en-GB"/>
        </w:rPr>
        <w:t>in general</w:t>
      </w:r>
      <w:r w:rsidRPr="00BB28A0">
        <w:rPr>
          <w:rFonts w:ascii="StobiSerif Regular" w:hAnsi="StobiSerif Regular"/>
          <w:sz w:val="24"/>
          <w:szCs w:val="24"/>
          <w:lang w:val="en-GB"/>
        </w:rPr>
        <w:t>.</w:t>
      </w:r>
    </w:p>
    <w:p w14:paraId="09561E38" w14:textId="0CB9CCC3" w:rsidR="009F7667" w:rsidRPr="00BB28A0" w:rsidRDefault="009F7667" w:rsidP="00795779">
      <w:pPr>
        <w:jc w:val="both"/>
        <w:rPr>
          <w:rFonts w:ascii="StobiSerif Regular" w:hAnsi="StobiSerif Regular"/>
          <w:sz w:val="24"/>
          <w:szCs w:val="24"/>
          <w:lang w:val="en-GB"/>
        </w:rPr>
      </w:pPr>
      <w:r w:rsidRPr="00BB28A0">
        <w:rPr>
          <w:rFonts w:ascii="StobiSerif Regular" w:hAnsi="StobiSerif Regular"/>
          <w:sz w:val="24"/>
          <w:szCs w:val="24"/>
          <w:lang w:val="en-GB"/>
        </w:rPr>
        <w:t xml:space="preserve">As a result of this project, a total of 80 research laboratories </w:t>
      </w:r>
      <w:r w:rsidR="00E47458" w:rsidRPr="00BB28A0">
        <w:rPr>
          <w:rFonts w:ascii="StobiSerif Regular" w:hAnsi="StobiSerif Regular"/>
          <w:sz w:val="24"/>
          <w:szCs w:val="24"/>
          <w:lang w:val="en-GB"/>
        </w:rPr>
        <w:t xml:space="preserve">were </w:t>
      </w:r>
      <w:r w:rsidRPr="00BB28A0">
        <w:rPr>
          <w:rFonts w:ascii="StobiSerif Regular" w:hAnsi="StobiSerif Regular"/>
          <w:sz w:val="24"/>
          <w:szCs w:val="24"/>
          <w:lang w:val="en-GB"/>
        </w:rPr>
        <w:t xml:space="preserve">equipped with research equipment of a total value of approximately 23 million euros. The final beneficiaries of this project represent various research fields, including </w:t>
      </w:r>
      <w:r w:rsidR="00CE0308" w:rsidRPr="00BB28A0">
        <w:rPr>
          <w:rFonts w:ascii="StobiSerif Regular" w:hAnsi="StobiSerif Regular"/>
          <w:sz w:val="24"/>
          <w:szCs w:val="24"/>
          <w:lang w:val="en-GB"/>
        </w:rPr>
        <w:t xml:space="preserve">computer </w:t>
      </w:r>
      <w:r w:rsidRPr="00BB28A0">
        <w:rPr>
          <w:rFonts w:ascii="StobiSerif Regular" w:hAnsi="StobiSerif Regular"/>
          <w:sz w:val="24"/>
          <w:szCs w:val="24"/>
          <w:lang w:val="en-GB"/>
        </w:rPr>
        <w:t>sciences</w:t>
      </w:r>
      <w:r w:rsidR="00E47458" w:rsidRPr="00BB28A0">
        <w:rPr>
          <w:rFonts w:ascii="StobiSerif Regular" w:hAnsi="StobiSerif Regular"/>
          <w:sz w:val="24"/>
          <w:szCs w:val="24"/>
          <w:lang w:val="en-GB"/>
        </w:rPr>
        <w:t xml:space="preserve">, </w:t>
      </w:r>
      <w:r w:rsidRPr="00BB28A0">
        <w:rPr>
          <w:rFonts w:ascii="StobiSerif Regular" w:hAnsi="StobiSerif Regular"/>
          <w:sz w:val="24"/>
          <w:szCs w:val="24"/>
          <w:lang w:val="en-GB"/>
        </w:rPr>
        <w:t>technical and technological sciences</w:t>
      </w:r>
      <w:r w:rsidR="00CE0308" w:rsidRPr="00BB28A0">
        <w:rPr>
          <w:rFonts w:ascii="StobiSerif Regular" w:hAnsi="StobiSerif Regular"/>
          <w:sz w:val="24"/>
          <w:szCs w:val="24"/>
          <w:lang w:val="en-GB"/>
        </w:rPr>
        <w:t xml:space="preserve">, </w:t>
      </w:r>
      <w:r w:rsidRPr="00BB28A0">
        <w:rPr>
          <w:rFonts w:ascii="StobiSerif Regular" w:hAnsi="StobiSerif Regular"/>
          <w:sz w:val="24"/>
          <w:szCs w:val="24"/>
          <w:lang w:val="en-GB"/>
        </w:rPr>
        <w:t>medical sciences</w:t>
      </w:r>
      <w:r w:rsidR="00CE0308" w:rsidRPr="00BB28A0">
        <w:rPr>
          <w:rFonts w:ascii="StobiSerif Regular" w:hAnsi="StobiSerif Regular"/>
          <w:sz w:val="24"/>
          <w:szCs w:val="24"/>
          <w:lang w:val="en-GB"/>
        </w:rPr>
        <w:t xml:space="preserve">, </w:t>
      </w:r>
      <w:r w:rsidRPr="00BB28A0">
        <w:rPr>
          <w:rFonts w:ascii="StobiSerif Regular" w:hAnsi="StobiSerif Regular"/>
          <w:sz w:val="24"/>
          <w:szCs w:val="24"/>
          <w:lang w:val="en-GB"/>
        </w:rPr>
        <w:t>natural sciences and mathematics</w:t>
      </w:r>
      <w:r w:rsidR="00CE0308" w:rsidRPr="00BB28A0">
        <w:rPr>
          <w:rFonts w:ascii="StobiSerif Regular" w:hAnsi="StobiSerif Regular"/>
          <w:sz w:val="24"/>
          <w:szCs w:val="24"/>
          <w:lang w:val="en-GB"/>
        </w:rPr>
        <w:t xml:space="preserve">, </w:t>
      </w:r>
      <w:r w:rsidRPr="00BB28A0">
        <w:rPr>
          <w:rFonts w:ascii="StobiSerif Regular" w:hAnsi="StobiSerif Regular"/>
          <w:sz w:val="24"/>
          <w:szCs w:val="24"/>
          <w:lang w:val="en-GB"/>
        </w:rPr>
        <w:t>biotechnical sciences</w:t>
      </w:r>
      <w:r w:rsidR="00CE0308" w:rsidRPr="00BB28A0">
        <w:rPr>
          <w:rFonts w:ascii="StobiSerif Regular" w:hAnsi="StobiSerif Regular"/>
          <w:sz w:val="24"/>
          <w:szCs w:val="24"/>
          <w:lang w:val="en-GB"/>
        </w:rPr>
        <w:t xml:space="preserve">, </w:t>
      </w:r>
      <w:r w:rsidRPr="00BB28A0">
        <w:rPr>
          <w:rFonts w:ascii="StobiSerif Regular" w:hAnsi="StobiSerif Regular"/>
          <w:sz w:val="24"/>
          <w:szCs w:val="24"/>
          <w:lang w:val="en-GB"/>
        </w:rPr>
        <w:t>as well as humanities and social sciences.</w:t>
      </w:r>
    </w:p>
    <w:p w14:paraId="0F3BA695" w14:textId="77777777" w:rsidR="009F7667" w:rsidRPr="00BB28A0" w:rsidRDefault="009F7667" w:rsidP="00795779">
      <w:pPr>
        <w:jc w:val="both"/>
        <w:rPr>
          <w:rFonts w:ascii="StobiSerif Regular" w:hAnsi="StobiSerif Regular"/>
          <w:sz w:val="24"/>
          <w:szCs w:val="24"/>
          <w:lang w:val="en-GB"/>
        </w:rPr>
      </w:pPr>
      <w:r w:rsidRPr="00BB28A0">
        <w:rPr>
          <w:rFonts w:ascii="StobiSerif Regular" w:hAnsi="StobiSerif Regular"/>
          <w:sz w:val="24"/>
          <w:szCs w:val="24"/>
          <w:lang w:val="en-GB"/>
        </w:rPr>
        <w:t xml:space="preserve">Research laboratories operating within the University of Ss. Cyril and Methodius in Skopje received the largest share of funding for their research laboratories/institutes (77%), which was expected given that this University is the largest and most important higher education institution in the Republic of North Macedonia. About 11% of the funds were allocated to the University of </w:t>
      </w:r>
      <w:proofErr w:type="spellStart"/>
      <w:r w:rsidRPr="00BB28A0">
        <w:rPr>
          <w:rFonts w:ascii="StobiSerif Regular" w:hAnsi="StobiSerif Regular"/>
          <w:sz w:val="24"/>
          <w:szCs w:val="24"/>
          <w:lang w:val="en-GB"/>
        </w:rPr>
        <w:t>Goce</w:t>
      </w:r>
      <w:proofErr w:type="spellEnd"/>
      <w:r w:rsidRPr="00BB28A0">
        <w:rPr>
          <w:rFonts w:ascii="StobiSerif Regular" w:hAnsi="StobiSerif Regular"/>
          <w:sz w:val="24"/>
          <w:szCs w:val="24"/>
          <w:lang w:val="en-GB"/>
        </w:rPr>
        <w:t xml:space="preserve"> </w:t>
      </w:r>
      <w:proofErr w:type="spellStart"/>
      <w:r w:rsidRPr="00BB28A0">
        <w:rPr>
          <w:rFonts w:ascii="StobiSerif Regular" w:hAnsi="StobiSerif Regular"/>
          <w:sz w:val="24"/>
          <w:szCs w:val="24"/>
          <w:lang w:val="en-GB"/>
        </w:rPr>
        <w:t>Delchev</w:t>
      </w:r>
      <w:proofErr w:type="spellEnd"/>
      <w:r w:rsidRPr="00BB28A0">
        <w:rPr>
          <w:rFonts w:ascii="StobiSerif Regular" w:hAnsi="StobiSerif Regular"/>
          <w:sz w:val="24"/>
          <w:szCs w:val="24"/>
          <w:lang w:val="en-GB"/>
        </w:rPr>
        <w:t>, while other universities received 5% or less (Chart 1).</w:t>
      </w:r>
    </w:p>
    <w:p w14:paraId="287508EF" w14:textId="77777777" w:rsidR="009F7667" w:rsidRPr="00BB28A0" w:rsidRDefault="009F7667" w:rsidP="00795779">
      <w:pPr>
        <w:jc w:val="both"/>
        <w:rPr>
          <w:rFonts w:ascii="StobiSerif Regular" w:hAnsi="StobiSerif Regular"/>
          <w:sz w:val="24"/>
          <w:szCs w:val="24"/>
          <w:lang w:val="en-GB"/>
        </w:rPr>
      </w:pPr>
      <w:r w:rsidRPr="00BB28A0">
        <w:rPr>
          <w:rFonts w:ascii="StobiSerif Regular" w:hAnsi="StobiSerif Regular"/>
          <w:sz w:val="24"/>
          <w:szCs w:val="24"/>
          <w:lang w:val="en-GB"/>
        </w:rPr>
        <w:t>Chart 1: Share of allocated funds per university under the project "Equipping laboratories for scientific research and applied activity"</w:t>
      </w:r>
    </w:p>
    <w:p w14:paraId="16F79EEF" w14:textId="2BAAD1D9" w:rsidR="009F7667" w:rsidRPr="00BB28A0" w:rsidRDefault="009F7667" w:rsidP="009F7667">
      <w:pPr>
        <w:jc w:val="both"/>
        <w:rPr>
          <w:rFonts w:ascii="StobiSerif Regular" w:hAnsi="StobiSerif Regular"/>
          <w:sz w:val="24"/>
          <w:szCs w:val="24"/>
          <w:lang w:val="en-GB"/>
        </w:rPr>
      </w:pPr>
      <w:r w:rsidRPr="00BB28A0">
        <w:rPr>
          <w:noProof/>
        </w:rPr>
        <w:lastRenderedPageBreak/>
        <w:drawing>
          <wp:inline distT="0" distB="0" distL="0" distR="0" wp14:anchorId="36F11A59" wp14:editId="7319A000">
            <wp:extent cx="5318760" cy="3329940"/>
            <wp:effectExtent l="0" t="0" r="15240" b="2286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BB28A0">
        <w:rPr>
          <w:rFonts w:ascii="StobiSerif Regular" w:hAnsi="StobiSerif Regular"/>
          <w:sz w:val="24"/>
          <w:szCs w:val="24"/>
          <w:lang w:val="en-GB"/>
        </w:rPr>
        <w:t xml:space="preserve"> Source: calculations based on the data provided by the Ministry of Education and Science</w:t>
      </w:r>
    </w:p>
    <w:p w14:paraId="69F852E8" w14:textId="0FA6023F" w:rsidR="00B71B23" w:rsidRPr="00BB28A0" w:rsidRDefault="00B71B23" w:rsidP="007350DB">
      <w:pPr>
        <w:jc w:val="both"/>
        <w:rPr>
          <w:rFonts w:ascii="StobiSerif Regular" w:hAnsi="StobiSerif Regular"/>
          <w:sz w:val="24"/>
          <w:szCs w:val="24"/>
          <w:lang w:val="en-GB"/>
        </w:rPr>
      </w:pPr>
      <w:r w:rsidRPr="00BB28A0">
        <w:rPr>
          <w:rFonts w:ascii="StobiSerif Regular" w:hAnsi="StobiSerif Regular"/>
          <w:sz w:val="24"/>
          <w:szCs w:val="24"/>
          <w:lang w:val="en-GB"/>
        </w:rPr>
        <w:t>Considering the role of scientific research in the overall development of the country, evaluating the critical necessity of funding projects aimed at developing laboratory resources as an area of ​​special and public interest, and introducing a funding system to support the development of laboratory resources and, for this purpose, ensuring a greater allocation of the research and development budget that would encourage greater investments in research activities, on 06.08.2021, the Ministry of Education and Science published a C</w:t>
      </w:r>
      <w:r w:rsidR="00CE0308" w:rsidRPr="00BB28A0">
        <w:rPr>
          <w:rFonts w:ascii="StobiSerif Regular" w:hAnsi="StobiSerif Regular"/>
          <w:sz w:val="24"/>
          <w:szCs w:val="24"/>
          <w:lang w:val="en-GB"/>
        </w:rPr>
        <w:t xml:space="preserve">ompetition </w:t>
      </w:r>
      <w:r w:rsidRPr="00BB28A0">
        <w:rPr>
          <w:rFonts w:ascii="StobiSerif Regular" w:hAnsi="StobiSerif Regular"/>
          <w:sz w:val="24"/>
          <w:szCs w:val="24"/>
          <w:lang w:val="en-GB"/>
        </w:rPr>
        <w:t xml:space="preserve">on its official website for funding scientific research projects that are of special and public interest for the year 2021 (support for development of laboratory resources) that were funded in the period 2021, 2022, and 2023. This </w:t>
      </w:r>
      <w:r w:rsidR="00CE0308" w:rsidRPr="00BB28A0">
        <w:rPr>
          <w:rFonts w:ascii="StobiSerif Regular" w:hAnsi="StobiSerif Regular"/>
          <w:sz w:val="24"/>
          <w:szCs w:val="24"/>
          <w:lang w:val="en-GB"/>
        </w:rPr>
        <w:t xml:space="preserve">Competition </w:t>
      </w:r>
      <w:r w:rsidRPr="00BB28A0">
        <w:rPr>
          <w:rFonts w:ascii="StobiSerif Regular" w:hAnsi="StobiSerif Regular"/>
          <w:sz w:val="24"/>
          <w:szCs w:val="24"/>
          <w:lang w:val="en-GB"/>
        </w:rPr>
        <w:t>for funding focused on projects of particular public interest to support the development of laboratory resources:</w:t>
      </w:r>
    </w:p>
    <w:p w14:paraId="58E0FB26" w14:textId="77777777" w:rsidR="008146C7" w:rsidRPr="00BB28A0" w:rsidRDefault="008146C7" w:rsidP="008146C7">
      <w:pPr>
        <w:pStyle w:val="ListParagraph"/>
        <w:numPr>
          <w:ilvl w:val="0"/>
          <w:numId w:val="21"/>
        </w:numPr>
        <w:jc w:val="both"/>
        <w:rPr>
          <w:rFonts w:ascii="StobiSerif Regular" w:hAnsi="StobiSerif Regular"/>
          <w:sz w:val="24"/>
          <w:szCs w:val="24"/>
          <w:lang w:val="en-GB"/>
        </w:rPr>
      </w:pPr>
      <w:r w:rsidRPr="00BB28A0">
        <w:rPr>
          <w:rFonts w:ascii="StobiSerif Regular" w:hAnsi="StobiSerif Regular"/>
          <w:sz w:val="24"/>
          <w:szCs w:val="24"/>
          <w:lang w:val="en-GB"/>
        </w:rPr>
        <w:t>Projects from project line 1: Support for the formal recognition of laboratory competence (formal recognition of the capability to perform laboratory activities or technical competence of testing laboratories, calibration laboratories and inspection bodies)</w:t>
      </w:r>
    </w:p>
    <w:p w14:paraId="4A0FCAFA" w14:textId="77777777" w:rsidR="008146C7" w:rsidRPr="00BB28A0" w:rsidRDefault="008146C7" w:rsidP="008146C7">
      <w:pPr>
        <w:pStyle w:val="ListParagraph"/>
        <w:numPr>
          <w:ilvl w:val="0"/>
          <w:numId w:val="21"/>
        </w:numPr>
        <w:jc w:val="both"/>
        <w:rPr>
          <w:rFonts w:ascii="StobiSerif Regular" w:hAnsi="StobiSerif Regular"/>
          <w:sz w:val="24"/>
          <w:szCs w:val="24"/>
          <w:lang w:val="en-GB"/>
        </w:rPr>
      </w:pPr>
      <w:r w:rsidRPr="00BB28A0">
        <w:rPr>
          <w:rFonts w:ascii="StobiSerif Regular" w:hAnsi="StobiSerif Regular"/>
          <w:sz w:val="24"/>
          <w:szCs w:val="24"/>
          <w:lang w:val="en-GB"/>
        </w:rPr>
        <w:t>Projects from project line 2: Support for the maintenance of technical competence and the introduction of new analytical methods</w:t>
      </w:r>
    </w:p>
    <w:p w14:paraId="21CBECD4" w14:textId="285ED2C8" w:rsidR="008146C7" w:rsidRPr="00BB28A0" w:rsidRDefault="008146C7" w:rsidP="008146C7">
      <w:pPr>
        <w:pStyle w:val="ListParagraph"/>
        <w:numPr>
          <w:ilvl w:val="0"/>
          <w:numId w:val="21"/>
        </w:numPr>
        <w:jc w:val="both"/>
        <w:rPr>
          <w:rFonts w:ascii="StobiSerif Regular" w:hAnsi="StobiSerif Regular"/>
          <w:sz w:val="24"/>
          <w:szCs w:val="24"/>
          <w:lang w:val="en-GB"/>
        </w:rPr>
      </w:pPr>
      <w:r w:rsidRPr="00BB28A0">
        <w:rPr>
          <w:rFonts w:ascii="StobiSerif Regular" w:hAnsi="StobiSerif Regular"/>
          <w:sz w:val="24"/>
          <w:szCs w:val="24"/>
          <w:lang w:val="en-GB"/>
        </w:rPr>
        <w:t>Projects from project line 3: Support for the modernization and development of laboratory resources (p</w:t>
      </w:r>
      <w:r w:rsidR="00CE0308" w:rsidRPr="00BB28A0">
        <w:rPr>
          <w:rFonts w:ascii="StobiSerif Regular" w:hAnsi="StobiSerif Regular"/>
          <w:sz w:val="24"/>
          <w:szCs w:val="24"/>
          <w:lang w:val="en-GB"/>
        </w:rPr>
        <w:t>urchase of equipment</w:t>
      </w:r>
      <w:r w:rsidRPr="00BB28A0">
        <w:rPr>
          <w:rFonts w:ascii="StobiSerif Regular" w:hAnsi="StobiSerif Regular"/>
          <w:sz w:val="24"/>
          <w:szCs w:val="24"/>
          <w:lang w:val="en-GB"/>
        </w:rPr>
        <w:t>)</w:t>
      </w:r>
    </w:p>
    <w:p w14:paraId="0FC8B818" w14:textId="6E100218" w:rsidR="00EC5B36" w:rsidRPr="00BB28A0" w:rsidRDefault="00EC5B36" w:rsidP="00981DC5">
      <w:pPr>
        <w:jc w:val="both"/>
        <w:rPr>
          <w:rFonts w:ascii="StobiSerif Regular" w:hAnsi="StobiSerif Regular"/>
          <w:sz w:val="24"/>
          <w:szCs w:val="24"/>
          <w:lang w:val="en-GB"/>
        </w:rPr>
      </w:pPr>
      <w:r w:rsidRPr="00BB28A0">
        <w:rPr>
          <w:rFonts w:ascii="StobiSerif Regular" w:hAnsi="StobiSerif Regular"/>
          <w:sz w:val="24"/>
          <w:szCs w:val="24"/>
          <w:lang w:val="en-GB"/>
        </w:rPr>
        <w:t>As a result of this C</w:t>
      </w:r>
      <w:r w:rsidR="00303188" w:rsidRPr="00BB28A0">
        <w:rPr>
          <w:rFonts w:ascii="StobiSerif Regular" w:hAnsi="StobiSerif Regular"/>
          <w:sz w:val="24"/>
          <w:szCs w:val="24"/>
          <w:lang w:val="en-GB"/>
        </w:rPr>
        <w:t xml:space="preserve">ompetition, </w:t>
      </w:r>
      <w:r w:rsidRPr="00BB28A0">
        <w:rPr>
          <w:rFonts w:ascii="StobiSerif Regular" w:hAnsi="StobiSerif Regular"/>
          <w:sz w:val="24"/>
          <w:szCs w:val="24"/>
          <w:lang w:val="en-GB"/>
        </w:rPr>
        <w:t xml:space="preserve">a total of 41 research laboratories were equipped with research equipment with a total value of approximately 220 million </w:t>
      </w:r>
      <w:proofErr w:type="spellStart"/>
      <w:r w:rsidRPr="00BB28A0">
        <w:rPr>
          <w:rFonts w:ascii="StobiSerif Regular" w:hAnsi="StobiSerif Regular"/>
          <w:sz w:val="24"/>
          <w:szCs w:val="24"/>
          <w:lang w:val="en-GB"/>
        </w:rPr>
        <w:t>denar</w:t>
      </w:r>
      <w:proofErr w:type="spellEnd"/>
      <w:r w:rsidR="00303188" w:rsidRPr="00BB28A0">
        <w:rPr>
          <w:rFonts w:ascii="StobiSerif Regular" w:hAnsi="StobiSerif Regular"/>
          <w:sz w:val="24"/>
          <w:szCs w:val="24"/>
          <w:lang w:val="en-GB"/>
        </w:rPr>
        <w:t>.</w:t>
      </w:r>
      <w:r w:rsidRPr="00BB28A0">
        <w:rPr>
          <w:rFonts w:ascii="StobiSerif Regular" w:hAnsi="StobiSerif Regular"/>
          <w:sz w:val="24"/>
          <w:szCs w:val="24"/>
          <w:lang w:val="en-GB"/>
        </w:rPr>
        <w:t xml:space="preserve"> The final beneficiaries of the project represented the following research areas: Natural sciences and mathematics: biochemistry; physics; chemistry (analytical chemistry, organic and inorganic chemistry), materials science; Technical and technological sciences: civil engineering and water management (</w:t>
      </w:r>
      <w:proofErr w:type="spellStart"/>
      <w:r w:rsidRPr="00BB28A0">
        <w:rPr>
          <w:rFonts w:ascii="StobiSerif Regular" w:hAnsi="StobiSerif Regular"/>
          <w:sz w:val="24"/>
          <w:szCs w:val="24"/>
          <w:lang w:val="en-GB"/>
        </w:rPr>
        <w:t>geotechnics</w:t>
      </w:r>
      <w:proofErr w:type="spellEnd"/>
      <w:r w:rsidRPr="00BB28A0">
        <w:rPr>
          <w:rFonts w:ascii="StobiSerif Regular" w:hAnsi="StobiSerif Regular"/>
          <w:sz w:val="24"/>
          <w:szCs w:val="24"/>
          <w:lang w:val="en-GB"/>
        </w:rPr>
        <w:t xml:space="preserve">, earthquake engineering, mechanics of solid buildings); food technology; environment, (energy, water, air and soil); Medical sciences and health: </w:t>
      </w:r>
      <w:r w:rsidRPr="00BB28A0">
        <w:rPr>
          <w:rFonts w:ascii="StobiSerif Regular" w:hAnsi="StobiSerif Regular"/>
          <w:sz w:val="24"/>
          <w:szCs w:val="24"/>
          <w:lang w:val="en-GB"/>
        </w:rPr>
        <w:lastRenderedPageBreak/>
        <w:t>fundamental medical sciences (microbiology, genomics, reproductive genetics, forensics, medical genetics); nutrition; Biotechnical sciences: plant protection; crop production; fruit growing; viticulture; wood processing (testing of furniture, glass and builders joinery and carpentry); food technology (food quality and safety control): technology of agricultural products, livestock production and Humanities: historical sciences (history, cultural studies); archaeology.</w:t>
      </w:r>
    </w:p>
    <w:p w14:paraId="7D1CA265" w14:textId="0FDC1E05" w:rsidR="00EC5B36" w:rsidRPr="00BB28A0" w:rsidRDefault="00EC5B36" w:rsidP="00981DC5">
      <w:pPr>
        <w:jc w:val="both"/>
        <w:rPr>
          <w:rFonts w:ascii="StobiSerif Regular" w:hAnsi="StobiSerif Regular"/>
          <w:sz w:val="24"/>
          <w:szCs w:val="24"/>
          <w:lang w:val="en-GB"/>
        </w:rPr>
      </w:pPr>
      <w:r w:rsidRPr="00BB28A0">
        <w:rPr>
          <w:rFonts w:ascii="StobiSerif Regular" w:hAnsi="StobiSerif Regular"/>
          <w:sz w:val="24"/>
          <w:szCs w:val="24"/>
          <w:lang w:val="en-GB"/>
        </w:rPr>
        <w:t>In accordance with the Decision on funding of projects subsequent to the published C</w:t>
      </w:r>
      <w:r w:rsidR="00CE0308" w:rsidRPr="00BB28A0">
        <w:rPr>
          <w:rFonts w:ascii="StobiSerif Regular" w:hAnsi="StobiSerif Regular"/>
          <w:sz w:val="24"/>
          <w:szCs w:val="24"/>
          <w:lang w:val="en-GB"/>
        </w:rPr>
        <w:t xml:space="preserve">ompetition </w:t>
      </w:r>
      <w:r w:rsidRPr="00BB28A0">
        <w:rPr>
          <w:rFonts w:ascii="StobiSerif Regular" w:hAnsi="StobiSerif Regular"/>
          <w:sz w:val="24"/>
          <w:szCs w:val="24"/>
          <w:lang w:val="en-GB"/>
        </w:rPr>
        <w:t xml:space="preserve">for funding scientific and research projects of special and public interest for the year 2021 (support for development of laboratory resources) to be funded in the period 2021, 2022, and 2023, a total of 44 projects </w:t>
      </w:r>
      <w:r w:rsidR="00303188" w:rsidRPr="00BB28A0">
        <w:rPr>
          <w:rFonts w:ascii="StobiSerif Regular" w:hAnsi="StobiSerif Regular"/>
          <w:sz w:val="24"/>
          <w:szCs w:val="24"/>
          <w:lang w:val="en-GB"/>
        </w:rPr>
        <w:t xml:space="preserve">were </w:t>
      </w:r>
      <w:r w:rsidRPr="00BB28A0">
        <w:rPr>
          <w:rFonts w:ascii="StobiSerif Regular" w:hAnsi="StobiSerif Regular"/>
          <w:sz w:val="24"/>
          <w:szCs w:val="24"/>
          <w:lang w:val="en-GB"/>
        </w:rPr>
        <w:t>approved for funding. This includes 5 projects from project line 1, 25 projects from project line 2, and 14 projects from project line 3.</w:t>
      </w:r>
    </w:p>
    <w:p w14:paraId="191B0D4D" w14:textId="70D90C7F" w:rsidR="00EC5B36" w:rsidRPr="00BB28A0" w:rsidRDefault="00EC5B36" w:rsidP="00EC5B36">
      <w:pPr>
        <w:jc w:val="both"/>
        <w:rPr>
          <w:rFonts w:ascii="StobiSerif Regular" w:hAnsi="StobiSerif Regular"/>
          <w:sz w:val="24"/>
          <w:szCs w:val="24"/>
          <w:lang w:val="en-GB"/>
        </w:rPr>
      </w:pPr>
      <w:r w:rsidRPr="00BB28A0">
        <w:rPr>
          <w:rFonts w:ascii="StobiSerif Regular" w:hAnsi="StobiSerif Regular"/>
          <w:sz w:val="24"/>
          <w:szCs w:val="24"/>
          <w:lang w:val="en-GB"/>
        </w:rPr>
        <w:t xml:space="preserve">Total approved funds for the projects: 317,843,947.00 </w:t>
      </w:r>
      <w:proofErr w:type="spellStart"/>
      <w:r w:rsidRPr="00BB28A0">
        <w:rPr>
          <w:rFonts w:ascii="StobiSerif Regular" w:hAnsi="StobiSerif Regular"/>
          <w:sz w:val="24"/>
          <w:szCs w:val="24"/>
          <w:lang w:val="en-GB"/>
        </w:rPr>
        <w:t>denar</w:t>
      </w:r>
      <w:proofErr w:type="spellEnd"/>
      <w:r w:rsidR="00303188" w:rsidRPr="00BB28A0">
        <w:rPr>
          <w:rFonts w:ascii="StobiSerif Regular" w:hAnsi="StobiSerif Regular"/>
          <w:sz w:val="24"/>
          <w:szCs w:val="24"/>
          <w:lang w:val="en-GB"/>
        </w:rPr>
        <w:t>.</w:t>
      </w:r>
      <w:r w:rsidRPr="00BB28A0">
        <w:rPr>
          <w:rFonts w:ascii="StobiSerif Regular" w:hAnsi="StobiSerif Regular"/>
          <w:sz w:val="24"/>
          <w:szCs w:val="24"/>
          <w:lang w:val="en-GB"/>
        </w:rPr>
        <w:t xml:space="preserve"> </w:t>
      </w:r>
    </w:p>
    <w:p w14:paraId="3DD9F028" w14:textId="754B86D6" w:rsidR="00EC5B36" w:rsidRPr="00BB28A0" w:rsidRDefault="00EC5B36" w:rsidP="00EC5B36">
      <w:pPr>
        <w:jc w:val="both"/>
        <w:rPr>
          <w:rFonts w:ascii="StobiSerif Regular" w:hAnsi="StobiSerif Regular"/>
          <w:sz w:val="24"/>
          <w:szCs w:val="24"/>
          <w:lang w:val="en-GB"/>
        </w:rPr>
      </w:pPr>
      <w:r w:rsidRPr="00BB28A0">
        <w:rPr>
          <w:rFonts w:ascii="StobiSerif Regular" w:hAnsi="StobiSerif Regular"/>
          <w:sz w:val="24"/>
          <w:szCs w:val="24"/>
          <w:lang w:val="en-GB"/>
        </w:rPr>
        <w:t xml:space="preserve">Total amount of approved funds from the budget of the Ministry of Education and Science: 224,654,896.00 </w:t>
      </w:r>
      <w:proofErr w:type="spellStart"/>
      <w:r w:rsidRPr="00BB28A0">
        <w:rPr>
          <w:rFonts w:ascii="StobiSerif Regular" w:hAnsi="StobiSerif Regular"/>
          <w:sz w:val="24"/>
          <w:szCs w:val="24"/>
          <w:lang w:val="en-GB"/>
        </w:rPr>
        <w:t>denar</w:t>
      </w:r>
      <w:proofErr w:type="spellEnd"/>
      <w:r w:rsidR="00303188" w:rsidRPr="00BB28A0">
        <w:rPr>
          <w:rFonts w:ascii="StobiSerif Regular" w:hAnsi="StobiSerif Regular"/>
          <w:sz w:val="24"/>
          <w:szCs w:val="24"/>
          <w:lang w:val="en-GB"/>
        </w:rPr>
        <w:t>.</w:t>
      </w:r>
    </w:p>
    <w:p w14:paraId="6CDEF64F" w14:textId="0468DF2C" w:rsidR="00EC5B36" w:rsidRPr="00BB28A0" w:rsidRDefault="00EC5B36" w:rsidP="00EC5B36">
      <w:pPr>
        <w:jc w:val="both"/>
        <w:rPr>
          <w:rFonts w:ascii="StobiSerif Regular" w:hAnsi="StobiSerif Regular"/>
          <w:sz w:val="24"/>
          <w:szCs w:val="24"/>
          <w:lang w:val="en-GB"/>
        </w:rPr>
      </w:pPr>
      <w:r w:rsidRPr="00BB28A0">
        <w:rPr>
          <w:rFonts w:ascii="StobiSerif Regular" w:hAnsi="StobiSerif Regular"/>
          <w:sz w:val="24"/>
          <w:szCs w:val="24"/>
          <w:lang w:val="en-GB"/>
        </w:rPr>
        <w:t xml:space="preserve">Contribution of project beneficiaries: 93,189,051.00 </w:t>
      </w:r>
      <w:proofErr w:type="spellStart"/>
      <w:r w:rsidRPr="00BB28A0">
        <w:rPr>
          <w:rFonts w:ascii="StobiSerif Regular" w:hAnsi="StobiSerif Regular"/>
          <w:sz w:val="24"/>
          <w:szCs w:val="24"/>
          <w:lang w:val="en-GB"/>
        </w:rPr>
        <w:t>denar</w:t>
      </w:r>
      <w:proofErr w:type="spellEnd"/>
      <w:r w:rsidR="00303188" w:rsidRPr="00BB28A0">
        <w:rPr>
          <w:rFonts w:ascii="StobiSerif Regular" w:hAnsi="StobiSerif Regular"/>
          <w:sz w:val="24"/>
          <w:szCs w:val="24"/>
          <w:lang w:val="en-GB"/>
        </w:rPr>
        <w:t>.</w:t>
      </w:r>
    </w:p>
    <w:p w14:paraId="409C355A" w14:textId="76D738EB" w:rsidR="00EC5B36" w:rsidRPr="00BB28A0" w:rsidRDefault="00EC5B36" w:rsidP="00EC5B36">
      <w:pPr>
        <w:jc w:val="both"/>
        <w:rPr>
          <w:rFonts w:ascii="StobiSerif Regular" w:hAnsi="StobiSerif Regular"/>
          <w:sz w:val="24"/>
          <w:szCs w:val="24"/>
          <w:lang w:val="en-GB"/>
        </w:rPr>
      </w:pPr>
      <w:r w:rsidRPr="00BB28A0">
        <w:rPr>
          <w:rFonts w:ascii="StobiSerif Regular" w:hAnsi="StobiSerif Regular"/>
          <w:sz w:val="24"/>
          <w:szCs w:val="24"/>
          <w:lang w:val="en-GB"/>
        </w:rPr>
        <w:t xml:space="preserve">Total amount of funds requested from the MES budget for 2021: 10,914,585.00 </w:t>
      </w:r>
      <w:proofErr w:type="spellStart"/>
      <w:r w:rsidRPr="00BB28A0">
        <w:rPr>
          <w:rFonts w:ascii="StobiSerif Regular" w:hAnsi="StobiSerif Regular"/>
          <w:sz w:val="24"/>
          <w:szCs w:val="24"/>
          <w:lang w:val="en-GB"/>
        </w:rPr>
        <w:t>denar</w:t>
      </w:r>
      <w:proofErr w:type="spellEnd"/>
      <w:r w:rsidR="00303188" w:rsidRPr="00BB28A0">
        <w:rPr>
          <w:rFonts w:ascii="StobiSerif Regular" w:hAnsi="StobiSerif Regular"/>
          <w:sz w:val="24"/>
          <w:szCs w:val="24"/>
          <w:lang w:val="en-GB"/>
        </w:rPr>
        <w:t>.</w:t>
      </w:r>
    </w:p>
    <w:p w14:paraId="43B792E4" w14:textId="4FF52506" w:rsidR="00EC5B36" w:rsidRPr="00BB28A0" w:rsidRDefault="00EC5B36" w:rsidP="00EC5B36">
      <w:pPr>
        <w:jc w:val="both"/>
        <w:rPr>
          <w:rFonts w:ascii="StobiSerif Regular" w:hAnsi="StobiSerif Regular"/>
          <w:sz w:val="24"/>
          <w:szCs w:val="24"/>
          <w:lang w:val="en-GB"/>
        </w:rPr>
      </w:pPr>
      <w:r w:rsidRPr="00BB28A0">
        <w:rPr>
          <w:rFonts w:ascii="StobiSerif Regular" w:hAnsi="StobiSerif Regular"/>
          <w:sz w:val="24"/>
          <w:szCs w:val="24"/>
          <w:lang w:val="en-GB"/>
        </w:rPr>
        <w:t xml:space="preserve">Total amount of funds requested from the MES budget for 2022: 178,315,717.00 </w:t>
      </w:r>
      <w:proofErr w:type="spellStart"/>
      <w:r w:rsidRPr="00BB28A0">
        <w:rPr>
          <w:rFonts w:ascii="StobiSerif Regular" w:hAnsi="StobiSerif Regular"/>
          <w:sz w:val="24"/>
          <w:szCs w:val="24"/>
          <w:lang w:val="en-GB"/>
        </w:rPr>
        <w:t>denar</w:t>
      </w:r>
      <w:proofErr w:type="spellEnd"/>
      <w:r w:rsidR="00303188" w:rsidRPr="00BB28A0">
        <w:rPr>
          <w:rFonts w:ascii="StobiSerif Regular" w:hAnsi="StobiSerif Regular"/>
          <w:sz w:val="24"/>
          <w:szCs w:val="24"/>
          <w:lang w:val="en-GB"/>
        </w:rPr>
        <w:t>.</w:t>
      </w:r>
    </w:p>
    <w:p w14:paraId="748AFC75" w14:textId="4693FC39" w:rsidR="00EC5B36" w:rsidRPr="00BB28A0" w:rsidRDefault="00EC5B36" w:rsidP="00EC5B36">
      <w:pPr>
        <w:jc w:val="both"/>
        <w:rPr>
          <w:rFonts w:ascii="StobiSerif Regular" w:hAnsi="StobiSerif Regular"/>
          <w:sz w:val="24"/>
          <w:szCs w:val="24"/>
          <w:lang w:val="en-GB"/>
        </w:rPr>
      </w:pPr>
      <w:r w:rsidRPr="00BB28A0">
        <w:rPr>
          <w:rFonts w:ascii="StobiSerif Regular" w:hAnsi="StobiSerif Regular"/>
          <w:sz w:val="24"/>
          <w:szCs w:val="24"/>
          <w:lang w:val="en-GB"/>
        </w:rPr>
        <w:t xml:space="preserve">Total amount of funds requested from the MES budget for 2023: 35,424,594.00 </w:t>
      </w:r>
      <w:proofErr w:type="spellStart"/>
      <w:r w:rsidRPr="00BB28A0">
        <w:rPr>
          <w:rFonts w:ascii="StobiSerif Regular" w:hAnsi="StobiSerif Regular"/>
          <w:sz w:val="24"/>
          <w:szCs w:val="24"/>
          <w:lang w:val="en-GB"/>
        </w:rPr>
        <w:t>denar</w:t>
      </w:r>
      <w:proofErr w:type="spellEnd"/>
      <w:r w:rsidR="00303188" w:rsidRPr="00BB28A0">
        <w:rPr>
          <w:rFonts w:ascii="StobiSerif Regular" w:hAnsi="StobiSerif Regular"/>
          <w:sz w:val="24"/>
          <w:szCs w:val="24"/>
          <w:lang w:val="en-GB"/>
        </w:rPr>
        <w:t>.</w:t>
      </w:r>
    </w:p>
    <w:p w14:paraId="13040739" w14:textId="499701DF" w:rsidR="00EC5B36" w:rsidRPr="00BB28A0" w:rsidRDefault="00EC5B36" w:rsidP="00EC5B36">
      <w:pPr>
        <w:jc w:val="both"/>
        <w:rPr>
          <w:rFonts w:ascii="StobiSerif Regular" w:hAnsi="StobiSerif Regular"/>
          <w:sz w:val="24"/>
          <w:szCs w:val="24"/>
          <w:lang w:val="en-GB"/>
        </w:rPr>
      </w:pPr>
      <w:r w:rsidRPr="00BB28A0">
        <w:rPr>
          <w:rFonts w:ascii="StobiSerif Regular" w:hAnsi="StobiSerif Regular"/>
          <w:sz w:val="24"/>
          <w:szCs w:val="24"/>
          <w:lang w:val="en-GB"/>
        </w:rPr>
        <w:t xml:space="preserve">Total funds disbursed in 2021: 10,792,585.00 </w:t>
      </w:r>
      <w:proofErr w:type="spellStart"/>
      <w:r w:rsidRPr="00BB28A0">
        <w:rPr>
          <w:rFonts w:ascii="StobiSerif Regular" w:hAnsi="StobiSerif Regular"/>
          <w:sz w:val="24"/>
          <w:szCs w:val="24"/>
          <w:lang w:val="en-GB"/>
        </w:rPr>
        <w:t>denar</w:t>
      </w:r>
      <w:proofErr w:type="spellEnd"/>
      <w:r w:rsidR="00303188" w:rsidRPr="00BB28A0">
        <w:rPr>
          <w:rFonts w:ascii="StobiSerif Regular" w:hAnsi="StobiSerif Regular"/>
          <w:sz w:val="24"/>
          <w:szCs w:val="24"/>
          <w:lang w:val="en-GB"/>
        </w:rPr>
        <w:t>.</w:t>
      </w:r>
    </w:p>
    <w:p w14:paraId="1C95CCC8" w14:textId="74DBB6AD" w:rsidR="00EC5B36" w:rsidRPr="00BB28A0" w:rsidRDefault="00EC5B36" w:rsidP="00EC5B36">
      <w:pPr>
        <w:jc w:val="both"/>
        <w:rPr>
          <w:rFonts w:ascii="StobiSerif Regular" w:hAnsi="StobiSerif Regular"/>
          <w:sz w:val="24"/>
          <w:szCs w:val="24"/>
          <w:lang w:val="en-GB"/>
        </w:rPr>
      </w:pPr>
      <w:r w:rsidRPr="00BB28A0">
        <w:rPr>
          <w:rFonts w:ascii="StobiSerif Regular" w:hAnsi="StobiSerif Regular"/>
          <w:sz w:val="24"/>
          <w:szCs w:val="24"/>
          <w:lang w:val="en-GB"/>
        </w:rPr>
        <w:t xml:space="preserve">Total funds disbursed in 2022: 113,823,597.00 </w:t>
      </w:r>
      <w:proofErr w:type="spellStart"/>
      <w:r w:rsidRPr="00BB28A0">
        <w:rPr>
          <w:rFonts w:ascii="StobiSerif Regular" w:hAnsi="StobiSerif Regular"/>
          <w:sz w:val="24"/>
          <w:szCs w:val="24"/>
          <w:lang w:val="en-GB"/>
        </w:rPr>
        <w:t>denar</w:t>
      </w:r>
      <w:proofErr w:type="spellEnd"/>
      <w:r w:rsidR="00303188" w:rsidRPr="00BB28A0">
        <w:rPr>
          <w:rFonts w:ascii="StobiSerif Regular" w:hAnsi="StobiSerif Regular"/>
          <w:sz w:val="24"/>
          <w:szCs w:val="24"/>
          <w:lang w:val="en-GB"/>
        </w:rPr>
        <w:t>.</w:t>
      </w:r>
    </w:p>
    <w:p w14:paraId="635D7791" w14:textId="6C184029" w:rsidR="00EC5B36" w:rsidRPr="00BB28A0" w:rsidRDefault="00EC5B36" w:rsidP="00EC5B36">
      <w:pPr>
        <w:jc w:val="both"/>
        <w:rPr>
          <w:rFonts w:ascii="StobiSerif Regular" w:hAnsi="StobiSerif Regular"/>
          <w:sz w:val="24"/>
          <w:szCs w:val="24"/>
          <w:lang w:val="en-GB"/>
        </w:rPr>
      </w:pPr>
      <w:r w:rsidRPr="00BB28A0">
        <w:rPr>
          <w:rFonts w:ascii="StobiSerif Regular" w:hAnsi="StobiSerif Regular"/>
          <w:sz w:val="24"/>
          <w:szCs w:val="24"/>
          <w:lang w:val="en-GB"/>
        </w:rPr>
        <w:t xml:space="preserve">Total funds disbursed in 2023: 86,461,932.00 </w:t>
      </w:r>
      <w:proofErr w:type="spellStart"/>
      <w:r w:rsidRPr="00BB28A0">
        <w:rPr>
          <w:rFonts w:ascii="StobiSerif Regular" w:hAnsi="StobiSerif Regular"/>
          <w:sz w:val="24"/>
          <w:szCs w:val="24"/>
          <w:lang w:val="en-GB"/>
        </w:rPr>
        <w:t>denar</w:t>
      </w:r>
      <w:proofErr w:type="spellEnd"/>
      <w:r w:rsidR="00303188" w:rsidRPr="00BB28A0">
        <w:rPr>
          <w:rFonts w:ascii="StobiSerif Regular" w:hAnsi="StobiSerif Regular"/>
          <w:sz w:val="24"/>
          <w:szCs w:val="24"/>
          <w:lang w:val="en-GB"/>
        </w:rPr>
        <w:t>.</w:t>
      </w:r>
    </w:p>
    <w:p w14:paraId="2D16EC1F" w14:textId="432528B5" w:rsidR="001B5E4A" w:rsidRPr="00BB28A0" w:rsidRDefault="00303738" w:rsidP="00B76872">
      <w:pPr>
        <w:pStyle w:val="Heading1"/>
        <w:ind w:firstLine="720"/>
        <w:rPr>
          <w:lang w:val="en-GB"/>
        </w:rPr>
      </w:pPr>
      <w:r w:rsidRPr="00BB28A0">
        <w:rPr>
          <w:lang w:val="en-GB"/>
        </w:rPr>
        <w:t xml:space="preserve">4.2 </w:t>
      </w:r>
      <w:r w:rsidR="00405CFD" w:rsidRPr="00BB28A0">
        <w:rPr>
          <w:lang w:val="en-GB"/>
        </w:rPr>
        <w:t xml:space="preserve">    </w:t>
      </w:r>
      <w:r w:rsidR="00AB3100" w:rsidRPr="00BB28A0">
        <w:rPr>
          <w:lang w:val="en-GB"/>
        </w:rPr>
        <w:t xml:space="preserve">Concluding observations </w:t>
      </w:r>
    </w:p>
    <w:p w14:paraId="561445EA" w14:textId="754D4348" w:rsidR="004F5370" w:rsidRPr="00BB28A0" w:rsidRDefault="004F5370" w:rsidP="004F5370">
      <w:pPr>
        <w:jc w:val="both"/>
        <w:rPr>
          <w:rFonts w:ascii="StobiSerif Regular" w:hAnsi="StobiSerif Regular"/>
          <w:sz w:val="24"/>
          <w:szCs w:val="24"/>
          <w:lang w:val="en-GB"/>
        </w:rPr>
      </w:pPr>
      <w:r w:rsidRPr="00BB28A0">
        <w:rPr>
          <w:rFonts w:ascii="StobiSerif Regular" w:hAnsi="StobiSerif Regular"/>
          <w:sz w:val="24"/>
          <w:szCs w:val="24"/>
          <w:lang w:val="en-GB"/>
        </w:rPr>
        <w:t xml:space="preserve">The research laboratories, faculties, and institutes </w:t>
      </w:r>
      <w:r w:rsidR="00303188" w:rsidRPr="00BB28A0">
        <w:rPr>
          <w:rFonts w:ascii="StobiSerif Regular" w:hAnsi="StobiSerif Regular"/>
          <w:sz w:val="24"/>
          <w:szCs w:val="24"/>
          <w:lang w:val="en-GB"/>
        </w:rPr>
        <w:t xml:space="preserve">in </w:t>
      </w:r>
      <w:r w:rsidRPr="00BB28A0">
        <w:rPr>
          <w:rFonts w:ascii="StobiSerif Regular" w:hAnsi="StobiSerif Regular"/>
          <w:sz w:val="24"/>
          <w:szCs w:val="24"/>
          <w:lang w:val="en-GB"/>
        </w:rPr>
        <w:t xml:space="preserve">the University "Ss. Cyril and Methodius" in Skopje have secured the predominant share of funding allocated for research laboratories, accounting for 84% of the total. This outcome was anticipated, given that this University is recognized as the largest and most significant higher education institution in the Republic of North Macedonia. Among the total of 44 projects that received funding, 37 projects of the University "Ss. Cyril and Methodius" </w:t>
      </w:r>
      <w:r w:rsidR="00303188" w:rsidRPr="00BB28A0">
        <w:rPr>
          <w:rFonts w:ascii="StobiSerif Regular" w:hAnsi="StobiSerif Regular"/>
          <w:sz w:val="24"/>
          <w:szCs w:val="24"/>
          <w:lang w:val="en-GB"/>
        </w:rPr>
        <w:t xml:space="preserve">(UKIM) </w:t>
      </w:r>
      <w:r w:rsidRPr="00BB28A0">
        <w:rPr>
          <w:rFonts w:ascii="StobiSerif Regular" w:hAnsi="StobiSerif Regular"/>
          <w:sz w:val="24"/>
          <w:szCs w:val="24"/>
          <w:lang w:val="en-GB"/>
        </w:rPr>
        <w:t>Skopje were approved, 1 project of the University "</w:t>
      </w:r>
      <w:proofErr w:type="spellStart"/>
      <w:r w:rsidRPr="00BB28A0">
        <w:rPr>
          <w:rFonts w:ascii="StobiSerif Regular" w:hAnsi="StobiSerif Regular"/>
          <w:sz w:val="24"/>
          <w:szCs w:val="24"/>
          <w:lang w:val="en-GB"/>
        </w:rPr>
        <w:t>Goce</w:t>
      </w:r>
      <w:proofErr w:type="spellEnd"/>
      <w:r w:rsidRPr="00BB28A0">
        <w:rPr>
          <w:rFonts w:ascii="StobiSerif Regular" w:hAnsi="StobiSerif Regular"/>
          <w:sz w:val="24"/>
          <w:szCs w:val="24"/>
          <w:lang w:val="en-GB"/>
        </w:rPr>
        <w:t xml:space="preserve"> </w:t>
      </w:r>
      <w:proofErr w:type="spellStart"/>
      <w:r w:rsidRPr="00BB28A0">
        <w:rPr>
          <w:rFonts w:ascii="StobiSerif Regular" w:hAnsi="StobiSerif Regular"/>
          <w:sz w:val="24"/>
          <w:szCs w:val="24"/>
          <w:lang w:val="en-GB"/>
        </w:rPr>
        <w:t>Delchev</w:t>
      </w:r>
      <w:proofErr w:type="spellEnd"/>
      <w:r w:rsidRPr="00BB28A0">
        <w:rPr>
          <w:rFonts w:ascii="StobiSerif Regular" w:hAnsi="StobiSerif Regular"/>
          <w:sz w:val="24"/>
          <w:szCs w:val="24"/>
          <w:lang w:val="en-GB"/>
        </w:rPr>
        <w:t xml:space="preserve">" </w:t>
      </w:r>
      <w:proofErr w:type="spellStart"/>
      <w:r w:rsidRPr="00BB28A0">
        <w:rPr>
          <w:rFonts w:ascii="StobiSerif Regular" w:hAnsi="StobiSerif Regular"/>
          <w:sz w:val="24"/>
          <w:szCs w:val="24"/>
          <w:lang w:val="en-GB"/>
        </w:rPr>
        <w:t>Shtip</w:t>
      </w:r>
      <w:proofErr w:type="spellEnd"/>
      <w:r w:rsidRPr="00BB28A0">
        <w:rPr>
          <w:rFonts w:ascii="StobiSerif Regular" w:hAnsi="StobiSerif Regular"/>
          <w:sz w:val="24"/>
          <w:szCs w:val="24"/>
          <w:lang w:val="en-GB"/>
        </w:rPr>
        <w:t xml:space="preserve"> (about 2%), 5 projects of the University "St. </w:t>
      </w:r>
      <w:proofErr w:type="spellStart"/>
      <w:r w:rsidR="00571EC4" w:rsidRPr="00BB28A0">
        <w:rPr>
          <w:rFonts w:ascii="StobiSerif Regular" w:hAnsi="StobiSerif Regular"/>
          <w:sz w:val="24"/>
          <w:szCs w:val="24"/>
          <w:lang w:val="en-GB"/>
        </w:rPr>
        <w:t>Kliment</w:t>
      </w:r>
      <w:proofErr w:type="spellEnd"/>
      <w:r w:rsidR="00571EC4" w:rsidRPr="00BB28A0">
        <w:rPr>
          <w:rFonts w:ascii="StobiSerif Regular" w:hAnsi="StobiSerif Regular"/>
          <w:sz w:val="24"/>
          <w:szCs w:val="24"/>
          <w:lang w:val="en-GB"/>
        </w:rPr>
        <w:t xml:space="preserve"> </w:t>
      </w:r>
      <w:proofErr w:type="spellStart"/>
      <w:r w:rsidR="00571EC4" w:rsidRPr="00BB28A0">
        <w:rPr>
          <w:rFonts w:ascii="StobiSerif Regular" w:hAnsi="StobiSerif Regular"/>
          <w:sz w:val="24"/>
          <w:szCs w:val="24"/>
          <w:lang w:val="en-GB"/>
        </w:rPr>
        <w:t>Ohridski</w:t>
      </w:r>
      <w:proofErr w:type="spellEnd"/>
      <w:r w:rsidRPr="00BB28A0">
        <w:rPr>
          <w:rFonts w:ascii="StobiSerif Regular" w:hAnsi="StobiSerif Regular"/>
          <w:sz w:val="24"/>
          <w:szCs w:val="24"/>
          <w:lang w:val="en-GB"/>
        </w:rPr>
        <w:t xml:space="preserve">" Bitola (about 11%), and 1 project of the Macedonian Academy of Sciences and Arts (about 2%), as presented in Chart 1 and 2. A further analysis of the distribution of awarded projects by faculty or institute reveals that the Faculty of Natural Sciences and Mathematics, UKIM, has the highest representation with 13 awarded projects, followed by the Faculty of Pharmacy, UKIM, with 5 projects, and the Faculty of Medicine, UKIM, with 4 projects, among others, as illustrated in Chart 3. </w:t>
      </w:r>
    </w:p>
    <w:p w14:paraId="01DD744C" w14:textId="77777777" w:rsidR="001B3EE8" w:rsidRPr="00BB28A0" w:rsidRDefault="001B3EE8" w:rsidP="00DD007C">
      <w:pPr>
        <w:jc w:val="both"/>
        <w:rPr>
          <w:rFonts w:ascii="StobiSerif Regular" w:hAnsi="StobiSerif Regular"/>
          <w:sz w:val="24"/>
          <w:szCs w:val="24"/>
          <w:lang w:val="en-GB"/>
        </w:rPr>
      </w:pPr>
    </w:p>
    <w:p w14:paraId="05DD5C64" w14:textId="77777777" w:rsidR="001B3EE8" w:rsidRPr="00BB28A0" w:rsidRDefault="001B3EE8" w:rsidP="00DD007C">
      <w:pPr>
        <w:jc w:val="both"/>
        <w:rPr>
          <w:rFonts w:ascii="StobiSerif Regular" w:hAnsi="StobiSerif Regular"/>
          <w:sz w:val="24"/>
          <w:szCs w:val="24"/>
          <w:lang w:val="en-GB"/>
        </w:rPr>
      </w:pPr>
    </w:p>
    <w:p w14:paraId="7301FDBA" w14:textId="7B5B569B" w:rsidR="001B3EE8" w:rsidRPr="00BB28A0" w:rsidRDefault="001B3EE8" w:rsidP="00DD007C">
      <w:pPr>
        <w:jc w:val="both"/>
        <w:rPr>
          <w:rFonts w:ascii="StobiSerif Regular" w:hAnsi="StobiSerif Regular"/>
          <w:sz w:val="24"/>
          <w:szCs w:val="24"/>
          <w:lang w:val="en-GB"/>
        </w:rPr>
      </w:pPr>
      <w:r w:rsidRPr="00BB28A0">
        <w:rPr>
          <w:rFonts w:ascii="StobiSerif Regular" w:hAnsi="StobiSerif Regular"/>
          <w:sz w:val="24"/>
          <w:szCs w:val="24"/>
          <w:lang w:val="en-GB"/>
        </w:rPr>
        <w:lastRenderedPageBreak/>
        <w:t>Chart 1: Share of awarded projects by University and MASA in response to the C</w:t>
      </w:r>
      <w:r w:rsidR="00CE0308" w:rsidRPr="00BB28A0">
        <w:rPr>
          <w:rFonts w:ascii="StobiSerif Regular" w:hAnsi="StobiSerif Regular"/>
          <w:sz w:val="24"/>
          <w:szCs w:val="24"/>
          <w:lang w:val="en-GB"/>
        </w:rPr>
        <w:t xml:space="preserve">ompetition for </w:t>
      </w:r>
      <w:r w:rsidRPr="00BB28A0">
        <w:rPr>
          <w:rFonts w:ascii="StobiSerif Regular" w:hAnsi="StobiSerif Regular"/>
          <w:sz w:val="24"/>
          <w:szCs w:val="24"/>
          <w:lang w:val="en-GB"/>
        </w:rPr>
        <w:t>funding scientific and research projects of special and public interest for 2021 (support for development of laboratory resources) announced by the Ministry of Education and Science</w:t>
      </w:r>
    </w:p>
    <w:p w14:paraId="4764656E" w14:textId="42A3640C" w:rsidR="001B5E4A" w:rsidRPr="00BB28A0" w:rsidRDefault="007D1A1F" w:rsidP="00795779">
      <w:pPr>
        <w:jc w:val="both"/>
        <w:rPr>
          <w:rFonts w:ascii="StobiSerif Regular" w:hAnsi="StobiSerif Regular"/>
          <w:sz w:val="24"/>
          <w:szCs w:val="24"/>
          <w:lang w:val="en-GB"/>
        </w:rPr>
      </w:pPr>
      <w:r w:rsidRPr="00BB28A0">
        <w:rPr>
          <w:rFonts w:ascii="StobiSerif Regular" w:hAnsi="StobiSerif Regular"/>
          <w:noProof/>
          <w:sz w:val="24"/>
          <w:szCs w:val="24"/>
        </w:rPr>
        <w:drawing>
          <wp:inline distT="0" distB="0" distL="0" distR="0" wp14:anchorId="1141FDA6" wp14:editId="7AEE3373">
            <wp:extent cx="5905500" cy="5534025"/>
            <wp:effectExtent l="0" t="0" r="0" b="9525"/>
            <wp:docPr id="8656601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6695090" w14:textId="77777777" w:rsidR="0099162D" w:rsidRPr="00BB28A0" w:rsidRDefault="0099162D" w:rsidP="00795779">
      <w:pPr>
        <w:jc w:val="both"/>
        <w:rPr>
          <w:rFonts w:ascii="StobiSerif Regular" w:hAnsi="StobiSerif Regular"/>
          <w:sz w:val="24"/>
          <w:szCs w:val="24"/>
          <w:lang w:val="en-GB"/>
        </w:rPr>
      </w:pPr>
    </w:p>
    <w:p w14:paraId="22936F44" w14:textId="3CAE9275" w:rsidR="000670FB" w:rsidRPr="00BB28A0" w:rsidRDefault="000670FB" w:rsidP="00795779">
      <w:pPr>
        <w:jc w:val="both"/>
        <w:rPr>
          <w:rFonts w:ascii="StobiSerif Regular" w:hAnsi="StobiSerif Regular"/>
          <w:sz w:val="24"/>
          <w:szCs w:val="24"/>
          <w:lang w:val="en-GB"/>
        </w:rPr>
      </w:pPr>
    </w:p>
    <w:p w14:paraId="10357689" w14:textId="6F4B0A55" w:rsidR="001B3EE8" w:rsidRPr="00BB28A0" w:rsidRDefault="001B3EE8" w:rsidP="00795779">
      <w:pPr>
        <w:jc w:val="both"/>
        <w:rPr>
          <w:rFonts w:ascii="StobiSerif Regular" w:hAnsi="StobiSerif Regular"/>
          <w:sz w:val="24"/>
          <w:szCs w:val="24"/>
          <w:lang w:val="en-GB"/>
        </w:rPr>
      </w:pPr>
    </w:p>
    <w:p w14:paraId="2CD859FD" w14:textId="3997B00A" w:rsidR="001B3EE8" w:rsidRPr="00BB28A0" w:rsidRDefault="001B3EE8" w:rsidP="00795779">
      <w:pPr>
        <w:jc w:val="both"/>
        <w:rPr>
          <w:rFonts w:ascii="StobiSerif Regular" w:hAnsi="StobiSerif Regular"/>
          <w:sz w:val="24"/>
          <w:szCs w:val="24"/>
          <w:lang w:val="en-GB"/>
        </w:rPr>
      </w:pPr>
    </w:p>
    <w:p w14:paraId="0B49541D" w14:textId="12B8AD52" w:rsidR="001B3EE8" w:rsidRPr="00BB28A0" w:rsidRDefault="001B3EE8" w:rsidP="00795779">
      <w:pPr>
        <w:jc w:val="both"/>
        <w:rPr>
          <w:rFonts w:ascii="StobiSerif Regular" w:hAnsi="StobiSerif Regular"/>
          <w:sz w:val="24"/>
          <w:szCs w:val="24"/>
          <w:lang w:val="en-GB"/>
        </w:rPr>
      </w:pPr>
    </w:p>
    <w:p w14:paraId="51DDDD9B" w14:textId="77777777" w:rsidR="001B3EE8" w:rsidRPr="00BB28A0" w:rsidRDefault="001B3EE8" w:rsidP="00795779">
      <w:pPr>
        <w:jc w:val="both"/>
        <w:rPr>
          <w:rFonts w:ascii="StobiSerif Regular" w:hAnsi="StobiSerif Regular"/>
          <w:sz w:val="24"/>
          <w:szCs w:val="24"/>
          <w:lang w:val="en-GB"/>
        </w:rPr>
      </w:pPr>
    </w:p>
    <w:p w14:paraId="2CF0D7D6" w14:textId="77777777" w:rsidR="000670FB" w:rsidRPr="00BB28A0" w:rsidRDefault="000670FB" w:rsidP="00795779">
      <w:pPr>
        <w:jc w:val="both"/>
        <w:rPr>
          <w:rFonts w:ascii="StobiSerif Regular" w:hAnsi="StobiSerif Regular"/>
          <w:sz w:val="24"/>
          <w:szCs w:val="24"/>
          <w:lang w:val="en-GB"/>
        </w:rPr>
      </w:pPr>
    </w:p>
    <w:p w14:paraId="217BA9BB" w14:textId="77777777" w:rsidR="000670FB" w:rsidRPr="00BB28A0" w:rsidRDefault="000670FB" w:rsidP="00795779">
      <w:pPr>
        <w:jc w:val="both"/>
        <w:rPr>
          <w:rFonts w:ascii="StobiSerif Regular" w:hAnsi="StobiSerif Regular"/>
          <w:sz w:val="24"/>
          <w:szCs w:val="24"/>
          <w:lang w:val="en-GB"/>
        </w:rPr>
      </w:pPr>
    </w:p>
    <w:p w14:paraId="710691D5" w14:textId="02F198FE" w:rsidR="000626F9" w:rsidRPr="00BB28A0" w:rsidRDefault="001B3EE8" w:rsidP="00795779">
      <w:pPr>
        <w:jc w:val="both"/>
        <w:rPr>
          <w:rFonts w:ascii="StobiSerif Regular" w:hAnsi="StobiSerif Regular"/>
          <w:sz w:val="24"/>
          <w:szCs w:val="24"/>
          <w:lang w:val="en-GB"/>
        </w:rPr>
      </w:pPr>
      <w:r w:rsidRPr="00BB28A0">
        <w:rPr>
          <w:rFonts w:ascii="StobiSerif Regular" w:hAnsi="StobiSerif Regular"/>
          <w:sz w:val="24"/>
          <w:szCs w:val="24"/>
          <w:lang w:val="en-GB"/>
        </w:rPr>
        <w:lastRenderedPageBreak/>
        <w:t>Chart 2</w:t>
      </w:r>
      <w:r w:rsidR="000626F9" w:rsidRPr="00BB28A0">
        <w:rPr>
          <w:rFonts w:ascii="StobiSerif Regular" w:hAnsi="StobiSerif Regular"/>
          <w:sz w:val="24"/>
          <w:szCs w:val="24"/>
          <w:lang w:val="en-GB"/>
        </w:rPr>
        <w:t xml:space="preserve">: </w:t>
      </w:r>
      <w:r w:rsidRPr="00BB28A0">
        <w:rPr>
          <w:rFonts w:ascii="StobiSerif Regular" w:hAnsi="StobiSerif Regular"/>
          <w:sz w:val="24"/>
          <w:szCs w:val="24"/>
          <w:lang w:val="en-GB"/>
        </w:rPr>
        <w:t xml:space="preserve">Total awarded projects by University and MASA </w:t>
      </w:r>
    </w:p>
    <w:p w14:paraId="591A5E05" w14:textId="294256BE" w:rsidR="001B5E4A" w:rsidRPr="00BB28A0" w:rsidRDefault="000626F9" w:rsidP="00795779">
      <w:pPr>
        <w:jc w:val="both"/>
        <w:rPr>
          <w:rFonts w:ascii="StobiSerif Regular" w:hAnsi="StobiSerif Regular"/>
          <w:sz w:val="24"/>
          <w:szCs w:val="24"/>
          <w:lang w:val="en-GB"/>
        </w:rPr>
      </w:pPr>
      <w:r w:rsidRPr="00BB28A0">
        <w:rPr>
          <w:rFonts w:ascii="StobiSerif Regular" w:hAnsi="StobiSerif Regular"/>
          <w:noProof/>
          <w:sz w:val="24"/>
          <w:szCs w:val="24"/>
        </w:rPr>
        <w:drawing>
          <wp:inline distT="0" distB="0" distL="0" distR="0" wp14:anchorId="591EFB6C" wp14:editId="7A804256">
            <wp:extent cx="5848350" cy="7781925"/>
            <wp:effectExtent l="0" t="0" r="0" b="9525"/>
            <wp:docPr id="1791744018"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70F1DDD" w14:textId="77777777" w:rsidR="000670FB" w:rsidRPr="00BB28A0" w:rsidRDefault="000670FB" w:rsidP="00795779">
      <w:pPr>
        <w:jc w:val="both"/>
        <w:rPr>
          <w:rFonts w:ascii="StobiSerif Regular" w:hAnsi="StobiSerif Regular"/>
          <w:sz w:val="24"/>
          <w:szCs w:val="24"/>
          <w:lang w:val="en-GB"/>
        </w:rPr>
      </w:pPr>
    </w:p>
    <w:p w14:paraId="4B728A94" w14:textId="77777777" w:rsidR="001B3EE8" w:rsidRPr="00BB28A0" w:rsidRDefault="001B3EE8" w:rsidP="00795779">
      <w:pPr>
        <w:jc w:val="both"/>
        <w:rPr>
          <w:rFonts w:ascii="StobiSerif Regular" w:hAnsi="StobiSerif Regular"/>
          <w:sz w:val="24"/>
          <w:szCs w:val="24"/>
          <w:lang w:val="en-GB"/>
        </w:rPr>
      </w:pPr>
    </w:p>
    <w:p w14:paraId="7224800B" w14:textId="3407B29C" w:rsidR="001B3EE8" w:rsidRPr="00BB28A0" w:rsidRDefault="001B3EE8" w:rsidP="00795779">
      <w:pPr>
        <w:jc w:val="both"/>
        <w:rPr>
          <w:rFonts w:ascii="StobiSerif Regular" w:hAnsi="StobiSerif Regular"/>
          <w:sz w:val="24"/>
          <w:szCs w:val="24"/>
          <w:lang w:val="en-GB"/>
        </w:rPr>
      </w:pPr>
      <w:r w:rsidRPr="00BB28A0">
        <w:rPr>
          <w:rFonts w:ascii="StobiSerif Regular" w:hAnsi="StobiSerif Regular"/>
          <w:sz w:val="24"/>
          <w:szCs w:val="24"/>
          <w:lang w:val="en-GB"/>
        </w:rPr>
        <w:lastRenderedPageBreak/>
        <w:t>Chart 3: Total awarded</w:t>
      </w:r>
      <w:r w:rsidR="00303188" w:rsidRPr="00BB28A0">
        <w:rPr>
          <w:rFonts w:ascii="StobiSerif Regular" w:hAnsi="StobiSerif Regular"/>
          <w:sz w:val="24"/>
          <w:szCs w:val="24"/>
          <w:lang w:val="en-GB"/>
        </w:rPr>
        <w:t xml:space="preserve"> projects by f</w:t>
      </w:r>
      <w:r w:rsidRPr="00BB28A0">
        <w:rPr>
          <w:rFonts w:ascii="StobiSerif Regular" w:hAnsi="StobiSerif Regular"/>
          <w:sz w:val="24"/>
          <w:szCs w:val="24"/>
          <w:lang w:val="en-GB"/>
        </w:rPr>
        <w:t>aculty/institute</w:t>
      </w:r>
    </w:p>
    <w:p w14:paraId="79B9809E" w14:textId="3AF691E0" w:rsidR="0081052D" w:rsidRPr="00BB28A0" w:rsidRDefault="002D2D57" w:rsidP="00795779">
      <w:pPr>
        <w:jc w:val="both"/>
        <w:rPr>
          <w:rFonts w:ascii="StobiSerif Regular" w:hAnsi="StobiSerif Regular"/>
          <w:sz w:val="24"/>
          <w:szCs w:val="24"/>
          <w:lang w:val="en-GB"/>
        </w:rPr>
      </w:pPr>
      <w:r>
        <w:rPr>
          <w:noProof/>
        </w:rPr>
        <w:drawing>
          <wp:inline distT="0" distB="0" distL="0" distR="0" wp14:anchorId="20470FE6" wp14:editId="21F9275D">
            <wp:extent cx="5728335" cy="7772400"/>
            <wp:effectExtent l="0" t="0" r="5715" b="0"/>
            <wp:docPr id="3" name="Chart 3">
              <a:extLst xmlns:a="http://schemas.openxmlformats.org/drawingml/2006/main">
                <a:ext uri="{FF2B5EF4-FFF2-40B4-BE49-F238E27FC236}">
                  <a16:creationId xmlns:a16="http://schemas.microsoft.com/office/drawing/2014/main" id="{97B0ED70-7D1B-3030-B4B2-EE8E9175F7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202D56D" w14:textId="77777777" w:rsidR="0094383C" w:rsidRPr="00BB28A0" w:rsidRDefault="0094383C" w:rsidP="00795779">
      <w:pPr>
        <w:jc w:val="both"/>
        <w:rPr>
          <w:rFonts w:ascii="StobiSerif Regular" w:hAnsi="StobiSerif Regular"/>
          <w:sz w:val="24"/>
          <w:szCs w:val="24"/>
          <w:lang w:val="en-GB"/>
        </w:rPr>
      </w:pPr>
    </w:p>
    <w:p w14:paraId="2E027110" w14:textId="77777777" w:rsidR="009046E4" w:rsidRPr="00BB28A0" w:rsidRDefault="009046E4" w:rsidP="00795779">
      <w:pPr>
        <w:jc w:val="both"/>
        <w:rPr>
          <w:rFonts w:ascii="StobiSerif Regular" w:hAnsi="StobiSerif Regular"/>
          <w:sz w:val="24"/>
          <w:szCs w:val="24"/>
          <w:lang w:val="en-GB"/>
        </w:rPr>
      </w:pPr>
      <w:r w:rsidRPr="00BB28A0">
        <w:rPr>
          <w:rFonts w:ascii="StobiSerif Regular" w:hAnsi="StobiSerif Regular"/>
          <w:sz w:val="24"/>
          <w:szCs w:val="24"/>
          <w:lang w:val="en-GB"/>
        </w:rPr>
        <w:lastRenderedPageBreak/>
        <w:t>In terms of the interest presented by project beneficiaries, the most approved funds are in the field of Natural Sciences and Mathematics with a total of 16 projects, the same number of projects are approved in the field of Medical Sciences and Health with a total of 10 projects and in the field of Technical and Technological Sciences with a total of 10, a total of 7 projects are approved in the field of Biotechnical Sciences, and only 1 project is approved in the field of Humanities, as illustrated in Chart 4.</w:t>
      </w:r>
    </w:p>
    <w:p w14:paraId="5B6C5BA3" w14:textId="77777777" w:rsidR="00303188" w:rsidRPr="00BB28A0" w:rsidRDefault="00303188" w:rsidP="00795779">
      <w:pPr>
        <w:jc w:val="both"/>
        <w:rPr>
          <w:rFonts w:ascii="StobiSerif Regular" w:hAnsi="StobiSerif Regular"/>
          <w:sz w:val="24"/>
          <w:szCs w:val="24"/>
          <w:lang w:val="en-GB"/>
        </w:rPr>
      </w:pPr>
    </w:p>
    <w:p w14:paraId="1D04B6AF" w14:textId="2D136091" w:rsidR="009046E4" w:rsidRPr="00BB28A0" w:rsidRDefault="009046E4" w:rsidP="00795779">
      <w:pPr>
        <w:jc w:val="both"/>
        <w:rPr>
          <w:rFonts w:ascii="StobiSerif Regular" w:hAnsi="StobiSerif Regular"/>
          <w:sz w:val="24"/>
          <w:szCs w:val="24"/>
          <w:lang w:val="en-GB"/>
        </w:rPr>
      </w:pPr>
      <w:r w:rsidRPr="00BB28A0">
        <w:rPr>
          <w:rFonts w:ascii="StobiSerif Regular" w:hAnsi="StobiSerif Regular"/>
          <w:sz w:val="24"/>
          <w:szCs w:val="24"/>
          <w:lang w:val="en-GB"/>
        </w:rPr>
        <w:t>Chart 4: Approved projects by scientific field</w:t>
      </w:r>
    </w:p>
    <w:p w14:paraId="3FB38226" w14:textId="2C2C8B94" w:rsidR="0081052D" w:rsidRPr="00BB28A0" w:rsidRDefault="00A80E66" w:rsidP="00795779">
      <w:pPr>
        <w:jc w:val="both"/>
        <w:rPr>
          <w:rFonts w:ascii="StobiSerif Regular" w:hAnsi="StobiSerif Regular"/>
          <w:sz w:val="24"/>
          <w:szCs w:val="24"/>
          <w:lang w:val="en-GB"/>
        </w:rPr>
      </w:pPr>
      <w:r w:rsidRPr="00BB28A0">
        <w:rPr>
          <w:rFonts w:ascii="StobiSerif Regular" w:hAnsi="StobiSerif Regular"/>
          <w:noProof/>
          <w:sz w:val="24"/>
          <w:szCs w:val="24"/>
        </w:rPr>
        <w:drawing>
          <wp:inline distT="0" distB="0" distL="0" distR="0" wp14:anchorId="43F38A6D" wp14:editId="777B185F">
            <wp:extent cx="5486400" cy="4419600"/>
            <wp:effectExtent l="0" t="0" r="0" b="0"/>
            <wp:docPr id="883721660"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A60BD43" w14:textId="310CCE02" w:rsidR="0081052D" w:rsidRPr="00BB28A0" w:rsidRDefault="0081052D" w:rsidP="00795779">
      <w:pPr>
        <w:jc w:val="both"/>
        <w:rPr>
          <w:rFonts w:ascii="StobiSerif Regular" w:hAnsi="StobiSerif Regular"/>
          <w:sz w:val="24"/>
          <w:szCs w:val="24"/>
          <w:lang w:val="en-GB"/>
        </w:rPr>
      </w:pPr>
    </w:p>
    <w:p w14:paraId="5347EC01" w14:textId="5B50945B" w:rsidR="00027F3E" w:rsidRPr="00BB28A0" w:rsidRDefault="00027F3E" w:rsidP="00795779">
      <w:pPr>
        <w:jc w:val="both"/>
        <w:rPr>
          <w:rFonts w:ascii="StobiSerif Regular" w:hAnsi="StobiSerif Regular"/>
          <w:sz w:val="24"/>
          <w:szCs w:val="24"/>
          <w:lang w:val="en-GB"/>
        </w:rPr>
      </w:pPr>
    </w:p>
    <w:p w14:paraId="3D585042" w14:textId="33E6564A" w:rsidR="00027F3E" w:rsidRPr="00BB28A0" w:rsidRDefault="00027F3E" w:rsidP="00795779">
      <w:pPr>
        <w:jc w:val="both"/>
        <w:rPr>
          <w:rFonts w:ascii="StobiSerif Regular" w:hAnsi="StobiSerif Regular"/>
          <w:sz w:val="24"/>
          <w:szCs w:val="24"/>
          <w:lang w:val="en-GB"/>
        </w:rPr>
      </w:pPr>
    </w:p>
    <w:p w14:paraId="26891ACB" w14:textId="6C8996E7" w:rsidR="00027F3E" w:rsidRPr="00BB28A0" w:rsidRDefault="00027F3E" w:rsidP="00795779">
      <w:pPr>
        <w:jc w:val="both"/>
        <w:rPr>
          <w:rFonts w:ascii="StobiSerif Regular" w:hAnsi="StobiSerif Regular"/>
          <w:sz w:val="24"/>
          <w:szCs w:val="24"/>
          <w:lang w:val="en-GB"/>
        </w:rPr>
      </w:pPr>
    </w:p>
    <w:p w14:paraId="756F1885" w14:textId="0F1189AF" w:rsidR="00027F3E" w:rsidRPr="00BB28A0" w:rsidRDefault="00027F3E" w:rsidP="00795779">
      <w:pPr>
        <w:jc w:val="both"/>
        <w:rPr>
          <w:rFonts w:ascii="StobiSerif Regular" w:hAnsi="StobiSerif Regular"/>
          <w:sz w:val="24"/>
          <w:szCs w:val="24"/>
          <w:lang w:val="en-GB"/>
        </w:rPr>
      </w:pPr>
    </w:p>
    <w:p w14:paraId="2EDBA4DD" w14:textId="77777777" w:rsidR="00027F3E" w:rsidRPr="00BB28A0" w:rsidRDefault="00027F3E" w:rsidP="00795779">
      <w:pPr>
        <w:jc w:val="both"/>
        <w:rPr>
          <w:rFonts w:ascii="StobiSerif Regular" w:hAnsi="StobiSerif Regular"/>
          <w:sz w:val="24"/>
          <w:szCs w:val="24"/>
          <w:lang w:val="en-GB"/>
        </w:rPr>
      </w:pPr>
    </w:p>
    <w:p w14:paraId="6A010EB5" w14:textId="5E791B45" w:rsidR="009E5759" w:rsidRPr="00BB28A0" w:rsidRDefault="00827D7C" w:rsidP="00B76872">
      <w:pPr>
        <w:pStyle w:val="Heading1"/>
        <w:ind w:firstLine="284"/>
        <w:rPr>
          <w:lang w:val="en-GB"/>
        </w:rPr>
      </w:pPr>
      <w:r w:rsidRPr="00BB28A0">
        <w:rPr>
          <w:lang w:val="en-GB"/>
        </w:rPr>
        <w:lastRenderedPageBreak/>
        <w:t>5</w:t>
      </w:r>
      <w:r w:rsidR="009E5759" w:rsidRPr="00BB28A0">
        <w:rPr>
          <w:lang w:val="en-GB"/>
        </w:rPr>
        <w:t>.</w:t>
      </w:r>
      <w:r w:rsidRPr="00BB28A0">
        <w:rPr>
          <w:lang w:val="en-GB"/>
        </w:rPr>
        <w:tab/>
      </w:r>
      <w:r w:rsidR="00027F3E" w:rsidRPr="00BB28A0">
        <w:rPr>
          <w:lang w:val="en-GB"/>
        </w:rPr>
        <w:t>Recommendations and measures</w:t>
      </w:r>
      <w:r w:rsidRPr="00BB28A0">
        <w:rPr>
          <w:lang w:val="en-GB"/>
        </w:rPr>
        <w:t xml:space="preserve"> </w:t>
      </w:r>
    </w:p>
    <w:p w14:paraId="37C563F2" w14:textId="2CFCBB53" w:rsidR="00827D7C" w:rsidRPr="00BB28A0" w:rsidRDefault="009E5759" w:rsidP="006817A6">
      <w:pPr>
        <w:pStyle w:val="Heading1"/>
        <w:ind w:firstLine="720"/>
        <w:rPr>
          <w:lang w:val="en-GB"/>
        </w:rPr>
      </w:pPr>
      <w:r w:rsidRPr="00BB28A0">
        <w:rPr>
          <w:lang w:val="en-GB"/>
        </w:rPr>
        <w:t xml:space="preserve">5.1 </w:t>
      </w:r>
      <w:r w:rsidR="00027F3E" w:rsidRPr="00BB28A0">
        <w:rPr>
          <w:lang w:val="en-GB"/>
        </w:rPr>
        <w:t>Establish a link between the ESFRI Roadmap and the Smart Specialisation Strategy</w:t>
      </w:r>
    </w:p>
    <w:p w14:paraId="76AB18B2" w14:textId="77777777" w:rsidR="00027F3E" w:rsidRPr="00BB28A0" w:rsidRDefault="00027F3E" w:rsidP="00027F3E">
      <w:pPr>
        <w:rPr>
          <w:lang w:val="en-GB"/>
        </w:rPr>
      </w:pPr>
    </w:p>
    <w:p w14:paraId="423FE500" w14:textId="328E0CF7" w:rsidR="00CB79E3" w:rsidRPr="00BB28A0" w:rsidRDefault="000B6C7D" w:rsidP="00795779">
      <w:pPr>
        <w:jc w:val="both"/>
        <w:rPr>
          <w:rFonts w:ascii="StobiSerif Regular" w:hAnsi="StobiSerif Regular"/>
          <w:sz w:val="24"/>
          <w:szCs w:val="24"/>
          <w:lang w:val="en-GB"/>
        </w:rPr>
      </w:pPr>
      <w:proofErr w:type="spellStart"/>
      <w:r w:rsidRPr="00BB28A0">
        <w:rPr>
          <w:rFonts w:ascii="StobiSerif Regular" w:hAnsi="StobiSerif Regular"/>
          <w:sz w:val="24"/>
          <w:szCs w:val="24"/>
          <w:lang w:val="en-GB"/>
        </w:rPr>
        <w:t>Тhe</w:t>
      </w:r>
      <w:proofErr w:type="spellEnd"/>
      <w:r w:rsidRPr="00BB28A0">
        <w:rPr>
          <w:rFonts w:ascii="StobiSerif Regular" w:hAnsi="StobiSerif Regular"/>
          <w:sz w:val="24"/>
          <w:szCs w:val="24"/>
          <w:lang w:val="en-GB"/>
        </w:rPr>
        <w:t xml:space="preserve"> activities listed under objective 1.2.: </w:t>
      </w:r>
      <w:proofErr w:type="spellStart"/>
      <w:r w:rsidRPr="00BB28A0">
        <w:rPr>
          <w:rFonts w:ascii="StobiSerif Regular" w:hAnsi="StobiSerif Regular"/>
          <w:sz w:val="24"/>
          <w:szCs w:val="24"/>
          <w:lang w:val="en-GB"/>
        </w:rPr>
        <w:t>Improvе</w:t>
      </w:r>
      <w:proofErr w:type="spellEnd"/>
      <w:r w:rsidRPr="00BB28A0">
        <w:rPr>
          <w:rFonts w:ascii="StobiSerif Regular" w:hAnsi="StobiSerif Regular"/>
          <w:sz w:val="24"/>
          <w:szCs w:val="24"/>
          <w:lang w:val="en-GB"/>
        </w:rPr>
        <w:t xml:space="preserve"> research infrastructure</w:t>
      </w:r>
      <w:r w:rsidR="005A26CE" w:rsidRPr="00BB28A0">
        <w:rPr>
          <w:rFonts w:ascii="StobiSerif Regular" w:hAnsi="StobiSerif Regular"/>
          <w:sz w:val="24"/>
          <w:szCs w:val="24"/>
          <w:lang w:val="en-GB"/>
        </w:rPr>
        <w:t>,</w:t>
      </w:r>
      <w:r w:rsidRPr="00BB28A0">
        <w:rPr>
          <w:rFonts w:ascii="StobiSerif Regular" w:hAnsi="StobiSerif Regular"/>
          <w:sz w:val="24"/>
          <w:szCs w:val="24"/>
          <w:lang w:val="en-GB"/>
        </w:rPr>
        <w:t xml:space="preserve"> of the Action Plan 2024-2025</w:t>
      </w:r>
      <w:r w:rsidRPr="00BB28A0">
        <w:rPr>
          <w:rStyle w:val="FootnoteReference"/>
          <w:rFonts w:ascii="StobiSerif Regular" w:hAnsi="StobiSerif Regular"/>
          <w:sz w:val="24"/>
          <w:szCs w:val="24"/>
          <w:lang w:val="en-GB"/>
        </w:rPr>
        <w:footnoteReference w:id="11"/>
      </w:r>
      <w:r w:rsidRPr="00BB28A0">
        <w:rPr>
          <w:rFonts w:ascii="StobiSerif Regular" w:hAnsi="StobiSerif Regular"/>
          <w:sz w:val="24"/>
          <w:szCs w:val="24"/>
          <w:lang w:val="en-GB"/>
        </w:rPr>
        <w:t xml:space="preserve"> for the implementation of the Smart Specialization Strategy of the Republic of North Macedonia 2024-2027 provide for funding for the establishment or upgrade of laboratories in universities and research institutions (URIs) and infrastructure for</w:t>
      </w:r>
      <w:r w:rsidR="00CB79E3" w:rsidRPr="00BB28A0">
        <w:rPr>
          <w:rFonts w:ascii="StobiSerif Regular" w:hAnsi="StobiSerif Regular"/>
          <w:sz w:val="24"/>
          <w:szCs w:val="24"/>
          <w:lang w:val="en-GB"/>
        </w:rPr>
        <w:t xml:space="preserve"> field experiments and testing. The results indicator</w:t>
      </w:r>
      <w:r w:rsidR="005A26CE" w:rsidRPr="00BB28A0">
        <w:rPr>
          <w:rFonts w:ascii="StobiSerif Regular" w:hAnsi="StobiSerif Regular"/>
          <w:sz w:val="24"/>
          <w:szCs w:val="24"/>
          <w:lang w:val="en-GB"/>
        </w:rPr>
        <w:t>s</w:t>
      </w:r>
      <w:r w:rsidR="00CB79E3" w:rsidRPr="00BB28A0">
        <w:rPr>
          <w:rFonts w:ascii="StobiSerif Regular" w:hAnsi="StobiSerif Regular"/>
          <w:sz w:val="24"/>
          <w:szCs w:val="24"/>
          <w:lang w:val="en-GB"/>
        </w:rPr>
        <w:t xml:space="preserve"> related to this activity include: number of laboratories offering new services to companies; number of universities and research organizations capable of verification, validation and demonstration of new products and technologies; number of companies using laboratories; and development and publishing of a laboratory roadmap for the period 2024-2025.</w:t>
      </w:r>
    </w:p>
    <w:p w14:paraId="73D2B3CE" w14:textId="19145A03" w:rsidR="00CB79E3" w:rsidRPr="00BB28A0" w:rsidRDefault="00CB79E3" w:rsidP="00795779">
      <w:pPr>
        <w:jc w:val="both"/>
        <w:rPr>
          <w:rFonts w:ascii="StobiSerif Regular" w:hAnsi="StobiSerif Regular"/>
          <w:sz w:val="24"/>
          <w:szCs w:val="24"/>
          <w:lang w:val="en-GB"/>
        </w:rPr>
      </w:pPr>
      <w:bookmarkStart w:id="4" w:name="_Hlk193710392"/>
      <w:r w:rsidRPr="00BB28A0">
        <w:rPr>
          <w:rFonts w:ascii="StobiSerif Regular" w:hAnsi="StobiSerif Regular"/>
          <w:sz w:val="24"/>
          <w:szCs w:val="24"/>
          <w:lang w:val="en-GB"/>
        </w:rPr>
        <w:t>The r</w:t>
      </w:r>
      <w:r w:rsidR="005A26CE" w:rsidRPr="00BB28A0">
        <w:rPr>
          <w:rFonts w:ascii="StobiSerif Regular" w:hAnsi="StobiSerif Regular"/>
          <w:sz w:val="24"/>
          <w:szCs w:val="24"/>
          <w:lang w:val="en-GB"/>
        </w:rPr>
        <w:t>esult indicator for activity A3.</w:t>
      </w:r>
      <w:r w:rsidRPr="00BB28A0">
        <w:rPr>
          <w:rFonts w:ascii="StobiSerif Regular" w:hAnsi="StobiSerif Regular"/>
          <w:sz w:val="24"/>
          <w:szCs w:val="24"/>
          <w:lang w:val="en-GB"/>
        </w:rPr>
        <w:t xml:space="preserve"> Mapping of laboratories and services provided to companies, encompasses the development and publication of a study that maps laboratories along with their capacities and the services they provide.</w:t>
      </w:r>
    </w:p>
    <w:p w14:paraId="41F143A9" w14:textId="77777777" w:rsidR="00CB79E3" w:rsidRPr="00BB28A0" w:rsidRDefault="00CB79E3" w:rsidP="00795779">
      <w:pPr>
        <w:jc w:val="both"/>
        <w:rPr>
          <w:rFonts w:ascii="StobiSerif Regular" w:hAnsi="StobiSerif Regular"/>
          <w:sz w:val="24"/>
          <w:szCs w:val="24"/>
          <w:lang w:val="en-GB"/>
        </w:rPr>
      </w:pPr>
      <w:bookmarkStart w:id="5" w:name="_Hlk193710289"/>
      <w:bookmarkEnd w:id="4"/>
      <w:r w:rsidRPr="00BB28A0">
        <w:rPr>
          <w:rFonts w:ascii="StobiSerif Regular" w:hAnsi="StobiSerif Regular"/>
          <w:sz w:val="24"/>
          <w:szCs w:val="24"/>
          <w:lang w:val="en-GB"/>
        </w:rPr>
        <w:t>To ensure better coordination of all activities related to the development of science and innovation in the country, it is essential to link the ESFRI Roadmap with smart specialization. This will improve the relations within the academic community and between academia and the business sector, which is expected to lead to a more favourable environment for the development of innovations. Furthermore, all activities outlined in the Roadmap and its Action Plan will be positioned within the framework of smart specialization, making them strategically significant and a top priority for funding both from the government budget and from various creditors and donors.</w:t>
      </w:r>
    </w:p>
    <w:bookmarkEnd w:id="5"/>
    <w:p w14:paraId="3024BD3F" w14:textId="1DA66CE9" w:rsidR="00CB79E3" w:rsidRPr="00BB28A0" w:rsidRDefault="00A83C31" w:rsidP="00A83C31">
      <w:pPr>
        <w:pStyle w:val="Heading1"/>
        <w:ind w:firstLine="720"/>
        <w:rPr>
          <w:lang w:val="en-GB"/>
        </w:rPr>
      </w:pPr>
      <w:r w:rsidRPr="00BB28A0">
        <w:rPr>
          <w:lang w:val="en-GB"/>
        </w:rPr>
        <w:t xml:space="preserve">5.2 </w:t>
      </w:r>
      <w:r w:rsidR="00CB79E3" w:rsidRPr="00BB28A0">
        <w:rPr>
          <w:lang w:val="en-GB"/>
        </w:rPr>
        <w:t xml:space="preserve">Develop an </w:t>
      </w:r>
      <w:r w:rsidR="00BB28A0" w:rsidRPr="00BB28A0">
        <w:rPr>
          <w:lang w:val="en-GB"/>
        </w:rPr>
        <w:t>action</w:t>
      </w:r>
      <w:r w:rsidR="00241F61" w:rsidRPr="00BB28A0">
        <w:rPr>
          <w:lang w:val="en-GB"/>
        </w:rPr>
        <w:t xml:space="preserve"> p</w:t>
      </w:r>
      <w:r w:rsidR="00CB79E3" w:rsidRPr="00BB28A0">
        <w:rPr>
          <w:lang w:val="en-GB"/>
        </w:rPr>
        <w:t xml:space="preserve">lan for </w:t>
      </w:r>
      <w:r w:rsidR="00241F61" w:rsidRPr="00BB28A0">
        <w:rPr>
          <w:lang w:val="en-GB"/>
        </w:rPr>
        <w:t>development of research i</w:t>
      </w:r>
      <w:r w:rsidR="00CB79E3" w:rsidRPr="00BB28A0">
        <w:rPr>
          <w:lang w:val="en-GB"/>
        </w:rPr>
        <w:t>nfrastructures</w:t>
      </w:r>
    </w:p>
    <w:p w14:paraId="7C7EFEAD" w14:textId="6C29A02C" w:rsidR="00342E0C" w:rsidRPr="00BB28A0" w:rsidRDefault="00241F61" w:rsidP="005C57C0">
      <w:pPr>
        <w:jc w:val="both"/>
        <w:rPr>
          <w:rFonts w:ascii="StobiSerif Regular" w:hAnsi="StobiSerif Regular"/>
          <w:sz w:val="24"/>
          <w:szCs w:val="24"/>
          <w:lang w:val="en-GB"/>
        </w:rPr>
      </w:pPr>
      <w:r w:rsidRPr="00BB28A0">
        <w:rPr>
          <w:rFonts w:ascii="StobiSerif Regular" w:hAnsi="StobiSerif Regular"/>
          <w:sz w:val="24"/>
          <w:szCs w:val="24"/>
          <w:lang w:val="en-GB"/>
        </w:rPr>
        <w:t xml:space="preserve">One of the recommendations made in the first version of the Roadmap, which mapped the </w:t>
      </w:r>
      <w:r w:rsidR="005A26CE" w:rsidRPr="00BB28A0">
        <w:rPr>
          <w:rFonts w:ascii="StobiSerif Regular" w:hAnsi="StobiSerif Regular"/>
          <w:sz w:val="24"/>
          <w:szCs w:val="24"/>
          <w:lang w:val="en-GB"/>
        </w:rPr>
        <w:t xml:space="preserve">existing </w:t>
      </w:r>
      <w:r w:rsidRPr="00BB28A0">
        <w:rPr>
          <w:rFonts w:ascii="StobiSerif Regular" w:hAnsi="StobiSerif Regular"/>
          <w:sz w:val="24"/>
          <w:szCs w:val="24"/>
          <w:lang w:val="en-GB"/>
        </w:rPr>
        <w:t xml:space="preserve">research infrastructures and research infrastructure projects, was to prepare an action plan for implementation of measures and activities necessary to guarantee the continued development of research infrastructures. One of the shortcomings of the current Roadmap is that an action plan was never adopted at all, which means that the Roadmap did not have a significant impact, taking into account that the action plan's purpose is to outline the essential steps that must be taken to carry out the activities and accomplish the objectives of the Roadmap and to present the financial implications. </w:t>
      </w:r>
      <w:r w:rsidR="00342E0C" w:rsidRPr="00BB28A0">
        <w:rPr>
          <w:rFonts w:ascii="StobiSerif Regular" w:hAnsi="StobiSerif Regular"/>
          <w:sz w:val="24"/>
          <w:szCs w:val="24"/>
          <w:lang w:val="en-GB"/>
        </w:rPr>
        <w:t xml:space="preserve">The steps that should be immediately taken to fully implement the Roadmap's recommendations is to develop a new Roadmap with an </w:t>
      </w:r>
      <w:r w:rsidR="00342E0C" w:rsidRPr="00BB28A0">
        <w:rPr>
          <w:rFonts w:ascii="StobiSerif Regular" w:hAnsi="StobiSerif Regular"/>
          <w:sz w:val="24"/>
          <w:szCs w:val="24"/>
          <w:lang w:val="en-GB"/>
        </w:rPr>
        <w:lastRenderedPageBreak/>
        <w:t>Action Plan that includes specific activities and measures, implementation period, time limits, competent institutions and required funding for infrastructure development.</w:t>
      </w:r>
    </w:p>
    <w:p w14:paraId="1E44BA8D" w14:textId="77777777" w:rsidR="00685D9E" w:rsidRPr="00BB28A0" w:rsidRDefault="0011536B" w:rsidP="002039DA">
      <w:pPr>
        <w:pStyle w:val="Heading1"/>
        <w:ind w:firstLine="720"/>
        <w:jc w:val="both"/>
        <w:rPr>
          <w:lang w:val="en-GB"/>
        </w:rPr>
      </w:pPr>
      <w:r w:rsidRPr="00BB28A0">
        <w:rPr>
          <w:lang w:val="en-GB"/>
        </w:rPr>
        <w:t xml:space="preserve">5.3 </w:t>
      </w:r>
      <w:r w:rsidR="00685D9E" w:rsidRPr="00BB28A0">
        <w:rPr>
          <w:lang w:val="en-GB"/>
        </w:rPr>
        <w:t>Increase investments in research infrastructures</w:t>
      </w:r>
    </w:p>
    <w:p w14:paraId="63AD1E44" w14:textId="3C05555B" w:rsidR="00685D9E" w:rsidRPr="00BB28A0" w:rsidRDefault="00685D9E" w:rsidP="00685D9E">
      <w:pPr>
        <w:jc w:val="both"/>
        <w:rPr>
          <w:rFonts w:ascii="StobiSerif Regular" w:hAnsi="StobiSerif Regular"/>
          <w:sz w:val="24"/>
          <w:szCs w:val="24"/>
          <w:lang w:val="en-GB"/>
        </w:rPr>
      </w:pPr>
      <w:r w:rsidRPr="00BB28A0">
        <w:rPr>
          <w:rFonts w:ascii="StobiSerif Regular" w:hAnsi="StobiSerif Regular"/>
          <w:sz w:val="24"/>
          <w:szCs w:val="24"/>
          <w:lang w:val="en-GB"/>
        </w:rPr>
        <w:t>Because the majority of the country's funds for science and</w:t>
      </w:r>
      <w:r w:rsidR="005A26CE" w:rsidRPr="00BB28A0">
        <w:rPr>
          <w:rFonts w:ascii="StobiSerif Regular" w:hAnsi="StobiSerif Regular"/>
          <w:sz w:val="24"/>
          <w:szCs w:val="24"/>
          <w:lang w:val="en-GB"/>
        </w:rPr>
        <w:t xml:space="preserve"> research are public, with the G</w:t>
      </w:r>
      <w:r w:rsidRPr="00BB28A0">
        <w:rPr>
          <w:rFonts w:ascii="StobiSerif Regular" w:hAnsi="StobiSerif Regular"/>
          <w:sz w:val="24"/>
          <w:szCs w:val="24"/>
          <w:lang w:val="en-GB"/>
        </w:rPr>
        <w:t>overnment holding the largest share, it is important to note that the Republic of North Macedonia's budget has seen significant increases and growth in terms of research and development expenditures.</w:t>
      </w:r>
    </w:p>
    <w:p w14:paraId="7C05AED9" w14:textId="1B3FCF1F" w:rsidR="00685D9E" w:rsidRPr="00BB28A0" w:rsidRDefault="00685D9E" w:rsidP="00685D9E">
      <w:pPr>
        <w:jc w:val="both"/>
        <w:rPr>
          <w:rFonts w:ascii="StobiSerif Regular" w:hAnsi="StobiSerif Regular"/>
          <w:sz w:val="24"/>
          <w:szCs w:val="24"/>
          <w:lang w:val="en-GB"/>
        </w:rPr>
      </w:pPr>
      <w:r w:rsidRPr="00BB28A0">
        <w:rPr>
          <w:rFonts w:ascii="StobiSerif Regular" w:hAnsi="StobiSerif Regular"/>
          <w:sz w:val="24"/>
          <w:szCs w:val="24"/>
          <w:lang w:val="en-GB"/>
        </w:rPr>
        <w:t xml:space="preserve">From a </w:t>
      </w:r>
      <w:r w:rsidR="005A26CE" w:rsidRPr="00BB28A0">
        <w:rPr>
          <w:rFonts w:ascii="StobiSerif Regular" w:hAnsi="StobiSerif Regular"/>
          <w:sz w:val="24"/>
          <w:szCs w:val="24"/>
          <w:lang w:val="en-GB"/>
        </w:rPr>
        <w:t>chronological perspective, the G</w:t>
      </w:r>
      <w:r w:rsidRPr="00BB28A0">
        <w:rPr>
          <w:rFonts w:ascii="StobiSerif Regular" w:hAnsi="StobiSerif Regular"/>
          <w:sz w:val="24"/>
          <w:szCs w:val="24"/>
          <w:lang w:val="en-GB"/>
        </w:rPr>
        <w:t>overnment's major support for p</w:t>
      </w:r>
      <w:r w:rsidR="006264BA" w:rsidRPr="00BB28A0">
        <w:rPr>
          <w:rFonts w:ascii="StobiSerif Regular" w:hAnsi="StobiSerif Regular"/>
          <w:sz w:val="24"/>
          <w:szCs w:val="24"/>
          <w:lang w:val="en-GB"/>
        </w:rPr>
        <w:t xml:space="preserve">rocurement </w:t>
      </w:r>
      <w:r w:rsidRPr="00BB28A0">
        <w:rPr>
          <w:rFonts w:ascii="StobiSerif Regular" w:hAnsi="StobiSerif Regular"/>
          <w:sz w:val="24"/>
          <w:szCs w:val="24"/>
          <w:lang w:val="en-GB"/>
        </w:rPr>
        <w:t>of research laboratories in 2010 was followed by the Ministry of Education and Science's implementation of a second major support in 2021–2023 through the approval of 44 projects for p</w:t>
      </w:r>
      <w:r w:rsidR="005A26CE" w:rsidRPr="00BB28A0">
        <w:rPr>
          <w:rFonts w:ascii="StobiSerif Regular" w:hAnsi="StobiSerif Regular"/>
          <w:sz w:val="24"/>
          <w:szCs w:val="24"/>
          <w:lang w:val="en-GB"/>
        </w:rPr>
        <w:t xml:space="preserve">urchase </w:t>
      </w:r>
      <w:r w:rsidRPr="00BB28A0">
        <w:rPr>
          <w:rFonts w:ascii="StobiSerif Regular" w:hAnsi="StobiSerif Regular"/>
          <w:sz w:val="24"/>
          <w:szCs w:val="24"/>
          <w:lang w:val="en-GB"/>
        </w:rPr>
        <w:t xml:space="preserve">of laboratory equipment, which allowed the research community to </w:t>
      </w:r>
      <w:r w:rsidR="005A26CE" w:rsidRPr="00BB28A0">
        <w:rPr>
          <w:rFonts w:ascii="StobiSerif Regular" w:hAnsi="StobiSerif Regular"/>
          <w:sz w:val="24"/>
          <w:szCs w:val="24"/>
          <w:lang w:val="en-GB"/>
        </w:rPr>
        <w:t xml:space="preserve">apply </w:t>
      </w:r>
      <w:r w:rsidRPr="00BB28A0">
        <w:rPr>
          <w:rFonts w:ascii="StobiSerif Regular" w:hAnsi="StobiSerif Regular"/>
          <w:sz w:val="24"/>
          <w:szCs w:val="24"/>
          <w:lang w:val="en-GB"/>
        </w:rPr>
        <w:t>the most up-to-date equipment</w:t>
      </w:r>
      <w:r w:rsidR="005A26CE" w:rsidRPr="00BB28A0">
        <w:rPr>
          <w:rFonts w:ascii="StobiSerif Regular" w:hAnsi="StobiSerif Regular"/>
          <w:sz w:val="24"/>
          <w:szCs w:val="24"/>
          <w:lang w:val="en-GB"/>
        </w:rPr>
        <w:t xml:space="preserve"> in its activities</w:t>
      </w:r>
      <w:r w:rsidRPr="00BB28A0">
        <w:rPr>
          <w:rFonts w:ascii="StobiSerif Regular" w:hAnsi="StobiSerif Regular"/>
          <w:sz w:val="24"/>
          <w:szCs w:val="24"/>
          <w:lang w:val="en-GB"/>
        </w:rPr>
        <w:t>. The third framework for financial support should be implemented as soon as practicable.</w:t>
      </w:r>
    </w:p>
    <w:p w14:paraId="0484FFE1" w14:textId="666ACF2E" w:rsidR="00FF1B35" w:rsidRPr="00BB28A0" w:rsidRDefault="00FF1B35" w:rsidP="005920C2">
      <w:pPr>
        <w:jc w:val="both"/>
        <w:rPr>
          <w:rFonts w:ascii="StobiSerif Regular" w:hAnsi="StobiSerif Regular"/>
          <w:sz w:val="24"/>
          <w:szCs w:val="24"/>
          <w:lang w:val="en-GB"/>
        </w:rPr>
      </w:pPr>
      <w:r w:rsidRPr="00BB28A0">
        <w:rPr>
          <w:rFonts w:ascii="StobiSerif Regular" w:hAnsi="StobiSerif Regular"/>
          <w:sz w:val="24"/>
          <w:szCs w:val="24"/>
          <w:lang w:val="en-GB"/>
        </w:rPr>
        <w:t>If the Republic of North Macedonia wishes to ensure the successful implementation of S3 and capitalize on existing opportunities, it should improve the existing or build new research infrastructures by implementing the third framework for funding and investment in projects of national importance. This will assist the further development of the research and innovation potential and contribute to reducing the development gap with developed EU member countries.</w:t>
      </w:r>
    </w:p>
    <w:p w14:paraId="40ABB3D0" w14:textId="5BCE86E8" w:rsidR="00FF1B35" w:rsidRPr="00BB28A0" w:rsidRDefault="00FF1B35" w:rsidP="005920C2">
      <w:pPr>
        <w:jc w:val="both"/>
        <w:rPr>
          <w:rFonts w:ascii="StobiSerif Regular" w:hAnsi="StobiSerif Regular"/>
          <w:sz w:val="24"/>
          <w:szCs w:val="24"/>
          <w:lang w:val="en-GB"/>
        </w:rPr>
      </w:pPr>
      <w:r w:rsidRPr="00BB28A0">
        <w:rPr>
          <w:rFonts w:ascii="StobiSerif Regular" w:hAnsi="StobiSerif Regular"/>
          <w:sz w:val="24"/>
          <w:szCs w:val="24"/>
          <w:lang w:val="en-GB"/>
        </w:rPr>
        <w:t>In this context, it is important to take into account the recommendations of MA</w:t>
      </w:r>
      <w:r w:rsidR="005A26CE" w:rsidRPr="00BB28A0">
        <w:rPr>
          <w:rFonts w:ascii="StobiSerif Regular" w:hAnsi="StobiSerif Regular"/>
          <w:sz w:val="24"/>
          <w:szCs w:val="24"/>
          <w:lang w:val="en-GB"/>
        </w:rPr>
        <w:t>SA</w:t>
      </w:r>
      <w:r w:rsidRPr="00BB28A0">
        <w:rPr>
          <w:rFonts w:ascii="StobiSerif Regular" w:hAnsi="StobiSerif Regular"/>
          <w:sz w:val="24"/>
          <w:szCs w:val="24"/>
          <w:lang w:val="en-GB"/>
        </w:rPr>
        <w:t xml:space="preserve">, </w:t>
      </w:r>
      <w:r w:rsidR="00BB28A0" w:rsidRPr="00BB28A0">
        <w:rPr>
          <w:rFonts w:ascii="StobiSerif Regular" w:hAnsi="StobiSerif Regular"/>
          <w:sz w:val="24"/>
          <w:szCs w:val="24"/>
          <w:lang w:val="en-GB"/>
        </w:rPr>
        <w:t>specifically</w:t>
      </w:r>
      <w:r w:rsidRPr="00BB28A0">
        <w:rPr>
          <w:rFonts w:ascii="StobiSerif Regular" w:hAnsi="StobiSerif Regular"/>
          <w:sz w:val="24"/>
          <w:szCs w:val="24"/>
          <w:lang w:val="en-GB"/>
        </w:rPr>
        <w:t>:</w:t>
      </w:r>
    </w:p>
    <w:p w14:paraId="3F361644" w14:textId="0F91BB28" w:rsidR="00FF1B35" w:rsidRPr="00BB28A0" w:rsidRDefault="00FF1B35" w:rsidP="00DD603A">
      <w:pPr>
        <w:pStyle w:val="ListParagraph"/>
        <w:numPr>
          <w:ilvl w:val="0"/>
          <w:numId w:val="22"/>
        </w:numPr>
        <w:jc w:val="both"/>
        <w:rPr>
          <w:rFonts w:ascii="StobiSerif Regular" w:hAnsi="StobiSerif Regular"/>
          <w:sz w:val="24"/>
          <w:szCs w:val="24"/>
          <w:lang w:val="en-GB"/>
        </w:rPr>
      </w:pPr>
      <w:r w:rsidRPr="00BB28A0">
        <w:rPr>
          <w:rFonts w:ascii="StobiSerif Regular" w:hAnsi="StobiSerif Regular"/>
          <w:sz w:val="24"/>
          <w:szCs w:val="24"/>
          <w:lang w:val="en-GB"/>
        </w:rPr>
        <w:t xml:space="preserve">establish a capital national research </w:t>
      </w:r>
      <w:r w:rsidR="00BB28A0" w:rsidRPr="00BB28A0">
        <w:rPr>
          <w:rFonts w:ascii="StobiSerif Regular" w:hAnsi="StobiSerif Regular"/>
          <w:sz w:val="24"/>
          <w:szCs w:val="24"/>
          <w:lang w:val="en-GB"/>
        </w:rPr>
        <w:t>centre</w:t>
      </w:r>
      <w:r w:rsidRPr="00BB28A0">
        <w:rPr>
          <w:rFonts w:ascii="StobiSerif Regular" w:hAnsi="StobiSerif Regular"/>
          <w:sz w:val="24"/>
          <w:szCs w:val="24"/>
          <w:lang w:val="en-GB"/>
        </w:rPr>
        <w:t xml:space="preserve"> for exact sciences of the type of </w:t>
      </w:r>
      <w:proofErr w:type="spellStart"/>
      <w:r w:rsidRPr="00BB28A0">
        <w:rPr>
          <w:rFonts w:ascii="StobiSerif Regular" w:hAnsi="StobiSerif Regular"/>
          <w:sz w:val="24"/>
          <w:szCs w:val="24"/>
          <w:lang w:val="en-GB"/>
        </w:rPr>
        <w:t>Vincha</w:t>
      </w:r>
      <w:proofErr w:type="spellEnd"/>
      <w:r w:rsidRPr="00BB28A0">
        <w:rPr>
          <w:rFonts w:ascii="StobiSerif Regular" w:hAnsi="StobiSerif Regular"/>
          <w:sz w:val="24"/>
          <w:szCs w:val="24"/>
          <w:lang w:val="en-GB"/>
        </w:rPr>
        <w:t xml:space="preserve">, </w:t>
      </w:r>
      <w:proofErr w:type="spellStart"/>
      <w:r w:rsidRPr="00BB28A0">
        <w:rPr>
          <w:rFonts w:ascii="StobiSerif Regular" w:hAnsi="StobiSerif Regular"/>
          <w:sz w:val="24"/>
          <w:szCs w:val="24"/>
          <w:lang w:val="en-GB"/>
        </w:rPr>
        <w:t>Rugjer</w:t>
      </w:r>
      <w:proofErr w:type="spellEnd"/>
      <w:r w:rsidRPr="00BB28A0">
        <w:rPr>
          <w:rFonts w:ascii="StobiSerif Regular" w:hAnsi="StobiSerif Regular"/>
          <w:sz w:val="24"/>
          <w:szCs w:val="24"/>
          <w:lang w:val="en-GB"/>
        </w:rPr>
        <w:t xml:space="preserve"> </w:t>
      </w:r>
      <w:proofErr w:type="spellStart"/>
      <w:r w:rsidRPr="00BB28A0">
        <w:rPr>
          <w:rFonts w:ascii="StobiSerif Regular" w:hAnsi="StobiSerif Regular"/>
          <w:sz w:val="24"/>
          <w:szCs w:val="24"/>
          <w:lang w:val="en-GB"/>
        </w:rPr>
        <w:t>Boshkovikj</w:t>
      </w:r>
      <w:proofErr w:type="spellEnd"/>
      <w:r w:rsidRPr="00BB28A0">
        <w:rPr>
          <w:rFonts w:ascii="StobiSerif Regular" w:hAnsi="StobiSerif Regular"/>
          <w:sz w:val="24"/>
          <w:szCs w:val="24"/>
          <w:lang w:val="en-GB"/>
        </w:rPr>
        <w:t xml:space="preserve">, </w:t>
      </w:r>
      <w:proofErr w:type="spellStart"/>
      <w:r w:rsidRPr="00BB28A0">
        <w:rPr>
          <w:rFonts w:ascii="StobiSerif Regular" w:hAnsi="StobiSerif Regular"/>
          <w:sz w:val="24"/>
          <w:szCs w:val="24"/>
          <w:lang w:val="en-GB"/>
        </w:rPr>
        <w:t>Jozhev</w:t>
      </w:r>
      <w:proofErr w:type="spellEnd"/>
      <w:r w:rsidRPr="00BB28A0">
        <w:rPr>
          <w:rFonts w:ascii="StobiSerif Regular" w:hAnsi="StobiSerif Regular"/>
          <w:sz w:val="24"/>
          <w:szCs w:val="24"/>
          <w:lang w:val="en-GB"/>
        </w:rPr>
        <w:t xml:space="preserve"> </w:t>
      </w:r>
      <w:proofErr w:type="spellStart"/>
      <w:r w:rsidRPr="00BB28A0">
        <w:rPr>
          <w:rFonts w:ascii="StobiSerif Regular" w:hAnsi="StobiSerif Regular"/>
          <w:sz w:val="24"/>
          <w:szCs w:val="24"/>
          <w:lang w:val="en-GB"/>
        </w:rPr>
        <w:t>Shtefan</w:t>
      </w:r>
      <w:proofErr w:type="spellEnd"/>
      <w:r w:rsidRPr="00BB28A0">
        <w:rPr>
          <w:rFonts w:ascii="StobiSerif Regular" w:hAnsi="StobiSerif Regular"/>
          <w:sz w:val="24"/>
          <w:szCs w:val="24"/>
          <w:lang w:val="en-GB"/>
        </w:rPr>
        <w:t xml:space="preserve">, etc. which will possess the most up-to-date capital equipment used in various fields as well as specific know-how for its use, which would be made available for use by all interested researchers on the basis of previously defined principles. Alternatively, several </w:t>
      </w:r>
      <w:r w:rsidR="00BB28A0" w:rsidRPr="00BB28A0">
        <w:rPr>
          <w:rFonts w:ascii="StobiSerif Regular" w:hAnsi="StobiSerif Regular"/>
          <w:sz w:val="24"/>
          <w:szCs w:val="24"/>
          <w:lang w:val="en-GB"/>
        </w:rPr>
        <w:t>centres</w:t>
      </w:r>
      <w:r w:rsidRPr="00BB28A0">
        <w:rPr>
          <w:rFonts w:ascii="StobiSerif Regular" w:hAnsi="StobiSerif Regular"/>
          <w:sz w:val="24"/>
          <w:szCs w:val="24"/>
          <w:lang w:val="en-GB"/>
        </w:rPr>
        <w:t xml:space="preserve"> of excellence in specific scientific fields could be established, all of which would operate according to the aforementioned principles for the usage of capital equipment.</w:t>
      </w:r>
    </w:p>
    <w:p w14:paraId="1999B648" w14:textId="5FBE63DF" w:rsidR="00DD603A" w:rsidRPr="00BB28A0" w:rsidRDefault="00DD603A" w:rsidP="00DD603A">
      <w:pPr>
        <w:pStyle w:val="ListParagraph"/>
        <w:numPr>
          <w:ilvl w:val="0"/>
          <w:numId w:val="22"/>
        </w:numPr>
        <w:jc w:val="both"/>
        <w:rPr>
          <w:rFonts w:ascii="StobiSerif Regular" w:hAnsi="StobiSerif Regular"/>
          <w:sz w:val="24"/>
          <w:szCs w:val="24"/>
          <w:lang w:val="en-GB"/>
        </w:rPr>
      </w:pPr>
      <w:r w:rsidRPr="00BB28A0">
        <w:rPr>
          <w:rFonts w:ascii="StobiSerif Regular" w:hAnsi="StobiSerif Regular"/>
          <w:sz w:val="24"/>
          <w:szCs w:val="24"/>
          <w:lang w:val="en-GB"/>
        </w:rPr>
        <w:t xml:space="preserve">implement the procurement of new equipment based on the </w:t>
      </w:r>
      <w:r w:rsidR="006264BA" w:rsidRPr="00BB28A0">
        <w:rPr>
          <w:rFonts w:ascii="StobiSerif Regular" w:hAnsi="StobiSerif Regular"/>
          <w:sz w:val="24"/>
          <w:szCs w:val="24"/>
          <w:lang w:val="en-GB"/>
        </w:rPr>
        <w:t xml:space="preserve">competitions for funding </w:t>
      </w:r>
      <w:r w:rsidRPr="00BB28A0">
        <w:rPr>
          <w:rFonts w:ascii="StobiSerif Regular" w:hAnsi="StobiSerif Regular"/>
          <w:sz w:val="24"/>
          <w:szCs w:val="24"/>
          <w:lang w:val="en-GB"/>
        </w:rPr>
        <w:t>announced by the Ministry of Education and Science within the framework of specific scientific research projects which, apart from the funds for equipment, will also include funds for consumables for the equipment, funds for staff training and equipment maintenance. It would be beneficial if these projects envisaged (mandatorily) the involvement of (our) renowned researchers from abroad, to facilitate faster transfer of knowledge and reduce the gap between our scientific and research activities and those of developed countries.</w:t>
      </w:r>
    </w:p>
    <w:p w14:paraId="5EB4C2FD" w14:textId="2228EE1A" w:rsidR="001E07DB" w:rsidRPr="00BB28A0" w:rsidRDefault="001E07DB" w:rsidP="00FA0C3D">
      <w:pPr>
        <w:pStyle w:val="Heading1"/>
        <w:ind w:firstLine="720"/>
        <w:rPr>
          <w:lang w:val="en-GB"/>
        </w:rPr>
      </w:pPr>
      <w:r w:rsidRPr="00BB28A0">
        <w:rPr>
          <w:lang w:val="en-GB"/>
        </w:rPr>
        <w:t xml:space="preserve">5.4 </w:t>
      </w:r>
      <w:r w:rsidR="00636949" w:rsidRPr="00BB28A0">
        <w:rPr>
          <w:lang w:val="en-GB"/>
        </w:rPr>
        <w:t>New Research Infrastructure Roadmap</w:t>
      </w:r>
    </w:p>
    <w:p w14:paraId="4189A257" w14:textId="0C60603E" w:rsidR="00636949" w:rsidRPr="00BB28A0" w:rsidRDefault="00636949" w:rsidP="00553353">
      <w:pPr>
        <w:jc w:val="both"/>
        <w:rPr>
          <w:rFonts w:ascii="StobiSerif Regular" w:hAnsi="StobiSerif Regular"/>
          <w:sz w:val="24"/>
          <w:szCs w:val="24"/>
          <w:lang w:val="en-GB"/>
        </w:rPr>
      </w:pPr>
      <w:r w:rsidRPr="00BB28A0">
        <w:rPr>
          <w:rFonts w:ascii="StobiSerif Regular" w:hAnsi="StobiSerif Regular"/>
          <w:sz w:val="24"/>
          <w:szCs w:val="24"/>
          <w:lang w:val="en-GB"/>
        </w:rPr>
        <w:t xml:space="preserve">The current Roadmap is a good starting point for further analysis, however, the data on capital equipment included in the document refers to the situation in 2021 and needs to be updated, while the new research infrastructure is to be incorporated in the new Roadmap. The new Roadmap will also map laboratories/equipment with a Science2Business function. Given that research progress is highly dynamic, the RI Roadmap should be considered as a living </w:t>
      </w:r>
      <w:r w:rsidRPr="00BB28A0">
        <w:rPr>
          <w:rFonts w:ascii="StobiSerif Regular" w:hAnsi="StobiSerif Regular"/>
          <w:sz w:val="24"/>
          <w:szCs w:val="24"/>
          <w:lang w:val="en-GB"/>
        </w:rPr>
        <w:lastRenderedPageBreak/>
        <w:t>document, which will lead to a more comprehensive incorporation of the existing research infrastructure in the future.</w:t>
      </w:r>
    </w:p>
    <w:p w14:paraId="72DDFC38" w14:textId="2EF725B9" w:rsidR="00C41268" w:rsidRPr="00BB28A0" w:rsidRDefault="00C41268" w:rsidP="00C41268">
      <w:pPr>
        <w:jc w:val="both"/>
        <w:rPr>
          <w:rFonts w:ascii="StobiSerif Regular" w:hAnsi="StobiSerif Regular"/>
          <w:sz w:val="24"/>
          <w:szCs w:val="24"/>
          <w:lang w:val="en-GB"/>
        </w:rPr>
      </w:pPr>
      <w:r w:rsidRPr="00BB28A0">
        <w:rPr>
          <w:rFonts w:ascii="StobiSerif Regular" w:hAnsi="StobiSerif Regular"/>
          <w:sz w:val="24"/>
          <w:szCs w:val="24"/>
          <w:lang w:val="en-GB"/>
        </w:rPr>
        <w:t xml:space="preserve">The revision of the first version of the Roadmap and the data analysis will provide a complete overview of the present situation and allow for the development of a Roadmap based on the findings. The new Roadmap will also make it possible to link its objectives and priorities with the Smart Specialization Strategy as a prerequisite </w:t>
      </w:r>
      <w:r w:rsidR="00022028" w:rsidRPr="00BB28A0">
        <w:rPr>
          <w:rFonts w:ascii="StobiSerif Regular" w:hAnsi="StobiSerif Regular"/>
          <w:sz w:val="24"/>
          <w:szCs w:val="24"/>
          <w:lang w:val="en-GB"/>
        </w:rPr>
        <w:t>for targeted investment by the G</w:t>
      </w:r>
      <w:r w:rsidRPr="00BB28A0">
        <w:rPr>
          <w:rFonts w:ascii="StobiSerif Regular" w:hAnsi="StobiSerif Regular"/>
          <w:sz w:val="24"/>
          <w:szCs w:val="24"/>
          <w:lang w:val="en-GB"/>
        </w:rPr>
        <w:t>overnment and access to European funds, defining strategic directions and priorities for the future development of research activities in Macedonia, optimized use of existing infrastructure, rational use of laboratories and future development of planned research capacities, as well as defining strategic directions for joining international large research infrastructures.</w:t>
      </w:r>
    </w:p>
    <w:p w14:paraId="03FF5C24" w14:textId="77777777" w:rsidR="00C41268" w:rsidRPr="00BB28A0" w:rsidRDefault="001E07DB" w:rsidP="00FA0C3D">
      <w:pPr>
        <w:pStyle w:val="Heading1"/>
        <w:ind w:firstLine="720"/>
        <w:rPr>
          <w:lang w:val="en-GB"/>
        </w:rPr>
      </w:pPr>
      <w:r w:rsidRPr="00BB28A0">
        <w:rPr>
          <w:lang w:val="en-GB"/>
        </w:rPr>
        <w:t xml:space="preserve">5.5 </w:t>
      </w:r>
      <w:r w:rsidR="00C41268" w:rsidRPr="00BB28A0">
        <w:rPr>
          <w:lang w:val="en-GB"/>
        </w:rPr>
        <w:t>Improve the policy framework</w:t>
      </w:r>
    </w:p>
    <w:p w14:paraId="2B226D59" w14:textId="72C4D46C" w:rsidR="00F12FF7" w:rsidRPr="00BB28A0" w:rsidRDefault="00245544" w:rsidP="00245544">
      <w:pPr>
        <w:jc w:val="both"/>
        <w:rPr>
          <w:rFonts w:ascii="StobiSerif Regular" w:hAnsi="StobiSerif Regular"/>
          <w:sz w:val="24"/>
          <w:szCs w:val="24"/>
          <w:lang w:val="en-GB"/>
        </w:rPr>
      </w:pPr>
      <w:r w:rsidRPr="00BB28A0">
        <w:rPr>
          <w:rFonts w:ascii="StobiSerif Regular" w:hAnsi="StobiSerif Regular"/>
          <w:sz w:val="24"/>
          <w:szCs w:val="24"/>
          <w:lang w:val="en-GB"/>
        </w:rPr>
        <w:t>The Republic of North Macedonia's research system is distinguished by the lack of a science and research development strategy. The lack of this strategic document poses a potential challenge to the implementation of the Research Infrastructures Roadmap, because there is no strategic foundation or framework in place.</w:t>
      </w:r>
      <w:r w:rsidR="00F12FF7" w:rsidRPr="00BB28A0">
        <w:rPr>
          <w:rFonts w:ascii="StobiSerif Regular" w:hAnsi="StobiSerif Regular"/>
          <w:sz w:val="24"/>
          <w:szCs w:val="24"/>
          <w:lang w:val="en-GB"/>
        </w:rPr>
        <w:t xml:space="preserve"> Taking into account the significance of this strategic document in determining the strategic directions and priorities, as well as the future development of research activities in the Republic of North Macedonia, the National Council for Higher Education and Scientific Research Activity has prepared a Proposal </w:t>
      </w:r>
      <w:r w:rsidR="0094197C" w:rsidRPr="00BB28A0">
        <w:rPr>
          <w:rFonts w:ascii="StobiSerif Regular" w:hAnsi="StobiSerif Regular"/>
          <w:sz w:val="24"/>
          <w:szCs w:val="24"/>
          <w:lang w:val="en-GB"/>
        </w:rPr>
        <w:t xml:space="preserve">of a </w:t>
      </w:r>
      <w:r w:rsidR="00F12FF7" w:rsidRPr="00BB28A0">
        <w:rPr>
          <w:rFonts w:ascii="StobiSerif Regular" w:hAnsi="StobiSerif Regular"/>
          <w:sz w:val="24"/>
          <w:szCs w:val="24"/>
          <w:lang w:val="en-GB"/>
        </w:rPr>
        <w:t xml:space="preserve">National Programme for Scientific Research Activity of the Republic of North Macedonia, which is presently in a draft form and is expected to become effective </w:t>
      </w:r>
      <w:r w:rsidR="00022028" w:rsidRPr="00BB28A0">
        <w:rPr>
          <w:rFonts w:ascii="StobiSerif Regular" w:hAnsi="StobiSerif Regular"/>
          <w:sz w:val="24"/>
          <w:szCs w:val="24"/>
          <w:lang w:val="en-GB"/>
        </w:rPr>
        <w:t>in near future</w:t>
      </w:r>
      <w:r w:rsidR="00F12FF7" w:rsidRPr="00BB28A0">
        <w:rPr>
          <w:rFonts w:ascii="StobiSerif Regular" w:hAnsi="StobiSerif Regular"/>
          <w:sz w:val="24"/>
          <w:szCs w:val="24"/>
          <w:lang w:val="en-GB"/>
        </w:rPr>
        <w:t>.</w:t>
      </w:r>
    </w:p>
    <w:p w14:paraId="4A48EC48" w14:textId="3F773B11" w:rsidR="006D594D" w:rsidRPr="00BB28A0" w:rsidRDefault="006D594D" w:rsidP="00F975B4">
      <w:pPr>
        <w:jc w:val="both"/>
        <w:rPr>
          <w:rFonts w:ascii="StobiSerif Regular" w:hAnsi="StobiSerif Regular"/>
          <w:sz w:val="24"/>
          <w:szCs w:val="24"/>
          <w:lang w:val="en-GB"/>
        </w:rPr>
      </w:pPr>
      <w:r w:rsidRPr="00BB28A0">
        <w:rPr>
          <w:rFonts w:ascii="StobiSerif Regular" w:hAnsi="StobiSerif Regular"/>
          <w:sz w:val="24"/>
          <w:szCs w:val="24"/>
          <w:lang w:val="en-GB"/>
        </w:rPr>
        <w:t>The term “research infrastructure” is recognized and clearly defined in the current version of the Law on Scientific Research Activity; however, in future amendments to this Law, it is desirable to include a definition for the “R</w:t>
      </w:r>
      <w:r w:rsidR="00022028" w:rsidRPr="00BB28A0">
        <w:rPr>
          <w:rFonts w:ascii="StobiSerif Regular" w:hAnsi="StobiSerif Regular"/>
          <w:sz w:val="24"/>
          <w:szCs w:val="24"/>
          <w:lang w:val="en-GB"/>
        </w:rPr>
        <w:t xml:space="preserve">esearch Infrastructure </w:t>
      </w:r>
      <w:r w:rsidRPr="00BB28A0">
        <w:rPr>
          <w:rFonts w:ascii="StobiSerif Regular" w:hAnsi="StobiSerif Regular"/>
          <w:sz w:val="24"/>
          <w:szCs w:val="24"/>
          <w:lang w:val="en-GB"/>
        </w:rPr>
        <w:t xml:space="preserve">Roadmap” that would clearly capture its purpose and provide a legal basis for the development and adoption of this policy document. </w:t>
      </w:r>
    </w:p>
    <w:p w14:paraId="5B09BF7F" w14:textId="19BBB2D5" w:rsidR="006D594D" w:rsidRPr="00BB28A0" w:rsidRDefault="006D594D" w:rsidP="00F975B4">
      <w:pPr>
        <w:jc w:val="both"/>
        <w:rPr>
          <w:rFonts w:ascii="StobiSerif Regular" w:hAnsi="StobiSerif Regular"/>
          <w:sz w:val="24"/>
          <w:szCs w:val="24"/>
          <w:lang w:val="en-GB"/>
        </w:rPr>
      </w:pPr>
      <w:r w:rsidRPr="00BB28A0">
        <w:rPr>
          <w:rFonts w:ascii="StobiSerif Regular" w:hAnsi="StobiSerif Regular"/>
          <w:sz w:val="24"/>
          <w:szCs w:val="24"/>
          <w:lang w:val="en-GB"/>
        </w:rPr>
        <w:t>The Ministry of Education and Science should also consider adapting the national legal framework for assessing academic progress and aligning it with current EU trends, which are strongly based on the principles of open science and FAIR (findable, accessible, interoperable and reusable)</w:t>
      </w:r>
      <w:r w:rsidR="00022028" w:rsidRPr="00BB28A0">
        <w:rPr>
          <w:rFonts w:ascii="StobiSerif Regular" w:hAnsi="StobiSerif Regular"/>
          <w:sz w:val="24"/>
          <w:szCs w:val="24"/>
          <w:lang w:val="en-GB"/>
        </w:rPr>
        <w:t xml:space="preserve"> data</w:t>
      </w:r>
      <w:r w:rsidRPr="00BB28A0">
        <w:rPr>
          <w:rFonts w:ascii="StobiSerif Regular" w:hAnsi="StobiSerif Regular"/>
          <w:sz w:val="24"/>
          <w:szCs w:val="24"/>
          <w:lang w:val="en-GB"/>
        </w:rPr>
        <w:t>.</w:t>
      </w:r>
    </w:p>
    <w:p w14:paraId="2C208E31" w14:textId="77777777" w:rsidR="001C22AD" w:rsidRPr="00BB28A0" w:rsidRDefault="001E07DB" w:rsidP="0079633D">
      <w:pPr>
        <w:pStyle w:val="Heading1"/>
        <w:ind w:firstLine="720"/>
        <w:rPr>
          <w:lang w:val="en-GB"/>
        </w:rPr>
      </w:pPr>
      <w:r w:rsidRPr="00BB28A0">
        <w:rPr>
          <w:lang w:val="en-GB"/>
        </w:rPr>
        <w:t xml:space="preserve">5.6 </w:t>
      </w:r>
      <w:r w:rsidR="001C22AD" w:rsidRPr="00BB28A0">
        <w:rPr>
          <w:lang w:val="en-GB"/>
        </w:rPr>
        <w:t>Support the development of e-infrastructure</w:t>
      </w:r>
    </w:p>
    <w:p w14:paraId="4628D4C2" w14:textId="2CD959BB" w:rsidR="00007304" w:rsidRPr="00BB28A0" w:rsidRDefault="001C22AD" w:rsidP="00F975B4">
      <w:pPr>
        <w:jc w:val="both"/>
        <w:rPr>
          <w:rFonts w:ascii="StobiSerif Regular" w:hAnsi="StobiSerif Regular"/>
          <w:sz w:val="24"/>
          <w:szCs w:val="24"/>
          <w:lang w:val="en-GB"/>
        </w:rPr>
      </w:pPr>
      <w:r w:rsidRPr="00BB28A0">
        <w:rPr>
          <w:rFonts w:ascii="StobiSerif Regular" w:hAnsi="StobiSerif Regular"/>
          <w:sz w:val="24"/>
          <w:szCs w:val="24"/>
          <w:lang w:val="en-GB"/>
        </w:rPr>
        <w:t xml:space="preserve">The foundation and prerequisite for the future development of the research system in the Republic of North Macedonia is a robust and high-quality e-infrastructure. </w:t>
      </w:r>
      <w:r w:rsidR="00007304" w:rsidRPr="00BB28A0">
        <w:rPr>
          <w:rFonts w:ascii="StobiSerif Regular" w:hAnsi="StobiSerif Regular"/>
          <w:sz w:val="24"/>
          <w:szCs w:val="24"/>
          <w:lang w:val="en-GB"/>
        </w:rPr>
        <w:t xml:space="preserve">From a strategic standpoint, the Republic of North Macedonia </w:t>
      </w:r>
      <w:r w:rsidR="00022028" w:rsidRPr="00BB28A0">
        <w:rPr>
          <w:rFonts w:ascii="StobiSerif Regular" w:hAnsi="StobiSerif Regular"/>
          <w:sz w:val="24"/>
          <w:szCs w:val="24"/>
          <w:lang w:val="en-GB"/>
        </w:rPr>
        <w:t xml:space="preserve">should </w:t>
      </w:r>
      <w:r w:rsidR="00007304" w:rsidRPr="00BB28A0">
        <w:rPr>
          <w:rFonts w:ascii="StobiSerif Regular" w:hAnsi="StobiSerif Regular"/>
          <w:sz w:val="24"/>
          <w:szCs w:val="24"/>
          <w:lang w:val="en-GB"/>
        </w:rPr>
        <w:t>support e-infrastructure considerably more than it has up to this point. Better plans are needed for the coordinated development of e-infrastructure in order to ensure the timely allocation of the necessary funds. The Republic of North Macedonia should introduce measures to encourage research institutions to express their interest in developing e-infrastructure through partnerships and joint investments in this area.</w:t>
      </w:r>
    </w:p>
    <w:p w14:paraId="1921EB4C" w14:textId="20BA1B95" w:rsidR="00007304" w:rsidRPr="00BB28A0" w:rsidRDefault="00007304" w:rsidP="00007304">
      <w:pPr>
        <w:jc w:val="both"/>
        <w:rPr>
          <w:rFonts w:ascii="StobiSerif Regular" w:hAnsi="StobiSerif Regular"/>
          <w:sz w:val="24"/>
          <w:szCs w:val="24"/>
          <w:lang w:val="en-GB"/>
        </w:rPr>
      </w:pPr>
      <w:r w:rsidRPr="00BB28A0">
        <w:rPr>
          <w:rFonts w:ascii="StobiSerif Regular" w:hAnsi="StobiSerif Regular"/>
          <w:sz w:val="24"/>
          <w:szCs w:val="24"/>
          <w:lang w:val="en-GB"/>
        </w:rPr>
        <w:t xml:space="preserve">The Ministry of Education and Science should encourage the initiative to identify and digitize various collections of records held in research </w:t>
      </w:r>
      <w:r w:rsidR="00BB28A0" w:rsidRPr="00BB28A0">
        <w:rPr>
          <w:rFonts w:ascii="StobiSerif Regular" w:hAnsi="StobiSerif Regular"/>
          <w:sz w:val="24"/>
          <w:szCs w:val="24"/>
          <w:lang w:val="en-GB"/>
        </w:rPr>
        <w:t>centres</w:t>
      </w:r>
      <w:r w:rsidRPr="00BB28A0">
        <w:rPr>
          <w:rFonts w:ascii="StobiSerif Regular" w:hAnsi="StobiSerif Regular"/>
          <w:sz w:val="24"/>
          <w:szCs w:val="24"/>
          <w:lang w:val="en-GB"/>
        </w:rPr>
        <w:t>.</w:t>
      </w:r>
    </w:p>
    <w:p w14:paraId="6191331D" w14:textId="77777777" w:rsidR="00007304" w:rsidRPr="00BB28A0" w:rsidRDefault="00007304" w:rsidP="00007304">
      <w:pPr>
        <w:jc w:val="both"/>
        <w:rPr>
          <w:rFonts w:ascii="StobiSerif Regular" w:hAnsi="StobiSerif Regular"/>
          <w:sz w:val="24"/>
          <w:szCs w:val="24"/>
          <w:lang w:val="en-GB"/>
        </w:rPr>
      </w:pPr>
      <w:r w:rsidRPr="00BB28A0">
        <w:rPr>
          <w:rFonts w:ascii="StobiSerif Regular" w:hAnsi="StobiSerif Regular"/>
          <w:sz w:val="24"/>
          <w:szCs w:val="24"/>
          <w:lang w:val="en-GB"/>
        </w:rPr>
        <w:t xml:space="preserve">Additional recommendations include the following: </w:t>
      </w:r>
    </w:p>
    <w:p w14:paraId="1BB8E6B3" w14:textId="77777777" w:rsidR="00F67319" w:rsidRPr="00BB28A0" w:rsidRDefault="00F67319" w:rsidP="00F67319">
      <w:pPr>
        <w:pStyle w:val="ListParagraph"/>
        <w:numPr>
          <w:ilvl w:val="0"/>
          <w:numId w:val="24"/>
        </w:numPr>
        <w:jc w:val="both"/>
        <w:rPr>
          <w:rFonts w:ascii="StobiSerif Regular" w:hAnsi="StobiSerif Regular"/>
          <w:sz w:val="24"/>
          <w:szCs w:val="24"/>
          <w:lang w:val="en-GB"/>
        </w:rPr>
      </w:pPr>
      <w:r w:rsidRPr="00BB28A0">
        <w:rPr>
          <w:rFonts w:ascii="StobiSerif Regular" w:hAnsi="StobiSerif Regular"/>
          <w:sz w:val="24"/>
          <w:szCs w:val="24"/>
          <w:lang w:val="en-GB"/>
        </w:rPr>
        <w:lastRenderedPageBreak/>
        <w:t xml:space="preserve">Intensify digitalisation of research and innovation sector, in particular the process of identification and digitalisation of various collections and other contents of national importance; </w:t>
      </w:r>
    </w:p>
    <w:p w14:paraId="1F77224B" w14:textId="0C0D8329" w:rsidR="00F67319" w:rsidRPr="00BB28A0" w:rsidRDefault="00022028" w:rsidP="00F67319">
      <w:pPr>
        <w:pStyle w:val="ListParagraph"/>
        <w:numPr>
          <w:ilvl w:val="0"/>
          <w:numId w:val="24"/>
        </w:numPr>
        <w:jc w:val="both"/>
        <w:rPr>
          <w:rFonts w:ascii="StobiSerif Regular" w:hAnsi="StobiSerif Regular"/>
          <w:sz w:val="24"/>
          <w:szCs w:val="24"/>
          <w:lang w:val="en-GB"/>
        </w:rPr>
      </w:pPr>
      <w:r w:rsidRPr="00BB28A0">
        <w:rPr>
          <w:rFonts w:ascii="StobiSerif Regular" w:hAnsi="StobiSerif Regular"/>
          <w:sz w:val="24"/>
          <w:szCs w:val="24"/>
          <w:lang w:val="en-GB"/>
        </w:rPr>
        <w:t>I</w:t>
      </w:r>
      <w:r w:rsidR="00F67319" w:rsidRPr="00BB28A0">
        <w:rPr>
          <w:rFonts w:ascii="StobiSerif Regular" w:hAnsi="StobiSerif Regular"/>
          <w:sz w:val="24"/>
          <w:szCs w:val="24"/>
          <w:lang w:val="en-GB"/>
        </w:rPr>
        <w:t>ntensify the work on creating prerequisites for open access to research data;</w:t>
      </w:r>
    </w:p>
    <w:p w14:paraId="76285F1D" w14:textId="2567F73D" w:rsidR="00F67319" w:rsidRPr="00BB28A0" w:rsidRDefault="00022028" w:rsidP="00F67319">
      <w:pPr>
        <w:pStyle w:val="ListParagraph"/>
        <w:numPr>
          <w:ilvl w:val="0"/>
          <w:numId w:val="24"/>
        </w:numPr>
        <w:jc w:val="both"/>
        <w:rPr>
          <w:rFonts w:ascii="StobiSerif Regular" w:hAnsi="StobiSerif Regular"/>
          <w:sz w:val="24"/>
          <w:szCs w:val="24"/>
          <w:lang w:val="en-GB"/>
        </w:rPr>
      </w:pPr>
      <w:r w:rsidRPr="00BB28A0">
        <w:rPr>
          <w:rFonts w:ascii="StobiSerif Regular" w:hAnsi="StobiSerif Regular"/>
          <w:sz w:val="24"/>
          <w:szCs w:val="24"/>
          <w:lang w:val="en-GB"/>
        </w:rPr>
        <w:t>I</w:t>
      </w:r>
      <w:r w:rsidR="00F67319" w:rsidRPr="00BB28A0">
        <w:rPr>
          <w:rFonts w:ascii="StobiSerif Regular" w:hAnsi="StobiSerif Regular"/>
          <w:sz w:val="24"/>
          <w:szCs w:val="24"/>
          <w:lang w:val="en-GB"/>
        </w:rPr>
        <w:t>mprove information and strengthen user support for open access and maximum use of existing infrastructures.</w:t>
      </w:r>
    </w:p>
    <w:p w14:paraId="51CA7434" w14:textId="77777777" w:rsidR="008C508C" w:rsidRPr="00BB28A0" w:rsidRDefault="001E07DB" w:rsidP="0079633D">
      <w:pPr>
        <w:pStyle w:val="Heading1"/>
        <w:ind w:left="720"/>
        <w:rPr>
          <w:lang w:val="en-GB"/>
        </w:rPr>
      </w:pPr>
      <w:r w:rsidRPr="00BB28A0">
        <w:rPr>
          <w:lang w:val="en-GB"/>
        </w:rPr>
        <w:t xml:space="preserve">5.7 </w:t>
      </w:r>
      <w:r w:rsidR="008C508C" w:rsidRPr="00BB28A0">
        <w:rPr>
          <w:lang w:val="en-GB"/>
        </w:rPr>
        <w:t>Participation in Large European Research Infrastructures</w:t>
      </w:r>
    </w:p>
    <w:p w14:paraId="702F5A13" w14:textId="77777777" w:rsidR="008948B3" w:rsidRPr="00BB28A0" w:rsidRDefault="00B54A1F" w:rsidP="002474DB">
      <w:pPr>
        <w:jc w:val="both"/>
        <w:rPr>
          <w:rFonts w:ascii="StobiSerif Regular" w:hAnsi="StobiSerif Regular"/>
          <w:sz w:val="24"/>
          <w:szCs w:val="24"/>
          <w:lang w:val="en-GB"/>
        </w:rPr>
      </w:pPr>
      <w:r w:rsidRPr="00BB28A0">
        <w:rPr>
          <w:rFonts w:ascii="StobiSerif Regular" w:hAnsi="StobiSerif Regular"/>
          <w:sz w:val="24"/>
          <w:szCs w:val="24"/>
          <w:lang w:val="en-GB"/>
        </w:rPr>
        <w:t xml:space="preserve">The Republic of North Macedonia's involvement in major European research infrastructures is extremely low. A lack of knowledge about the existence of these infrastructures, the complicated joining procedures, and financial considerations (high membership fees or requirements for large government investments in the relevant national infrastructures) are some of the reasons for this. </w:t>
      </w:r>
    </w:p>
    <w:p w14:paraId="29A6D52A" w14:textId="589443C4" w:rsidR="00B54A1F" w:rsidRPr="00BB28A0" w:rsidRDefault="00B54A1F" w:rsidP="002474DB">
      <w:pPr>
        <w:jc w:val="both"/>
        <w:rPr>
          <w:rFonts w:ascii="StobiSerif Regular" w:hAnsi="StobiSerif Regular"/>
          <w:sz w:val="24"/>
          <w:szCs w:val="24"/>
          <w:lang w:val="en-GB"/>
        </w:rPr>
      </w:pPr>
      <w:r w:rsidRPr="00BB28A0">
        <w:rPr>
          <w:rFonts w:ascii="StobiSerif Regular" w:hAnsi="StobiSerif Regular"/>
          <w:sz w:val="24"/>
          <w:szCs w:val="24"/>
          <w:lang w:val="en-GB"/>
        </w:rPr>
        <w:t>One exception is the area of digital infrastructures, where there is a notable level of active collaboration and involvement, particularly from UKIM's Faculty of Computer Science and Engineering</w:t>
      </w:r>
      <w:r w:rsidR="000121B1" w:rsidRPr="00BB28A0">
        <w:rPr>
          <w:rFonts w:ascii="StobiSerif Regular" w:hAnsi="StobiSerif Regular"/>
          <w:sz w:val="24"/>
          <w:szCs w:val="24"/>
          <w:lang w:val="en-GB"/>
        </w:rPr>
        <w:t xml:space="preserve"> (FINKI)</w:t>
      </w:r>
      <w:r w:rsidRPr="00BB28A0">
        <w:rPr>
          <w:rFonts w:ascii="StobiSerif Regular" w:hAnsi="StobiSerif Regular"/>
          <w:sz w:val="24"/>
          <w:szCs w:val="24"/>
          <w:lang w:val="en-GB"/>
        </w:rPr>
        <w:t>, which is the largest provider of digital services to the nation's and the region's research community.</w:t>
      </w:r>
    </w:p>
    <w:p w14:paraId="027B1529" w14:textId="77777777" w:rsidR="008948B3" w:rsidRPr="00BB28A0" w:rsidRDefault="008948B3" w:rsidP="002474DB">
      <w:pPr>
        <w:jc w:val="both"/>
        <w:rPr>
          <w:rFonts w:ascii="StobiSerif Regular" w:hAnsi="StobiSerif Regular"/>
          <w:sz w:val="24"/>
          <w:szCs w:val="24"/>
          <w:lang w:val="en-GB"/>
        </w:rPr>
      </w:pPr>
      <w:r w:rsidRPr="00BB28A0">
        <w:rPr>
          <w:rFonts w:ascii="StobiSerif Regular" w:hAnsi="StobiSerif Regular"/>
          <w:sz w:val="24"/>
          <w:szCs w:val="24"/>
          <w:lang w:val="en-GB"/>
        </w:rPr>
        <w:t>According to the latest ESFRI (landscape) analysis, our country is a member of:</w:t>
      </w:r>
    </w:p>
    <w:p w14:paraId="0A332C2A" w14:textId="74EB9561" w:rsidR="00FE1609" w:rsidRPr="00BB28A0" w:rsidRDefault="008948B3" w:rsidP="008948B3">
      <w:pPr>
        <w:pStyle w:val="ListParagraph"/>
        <w:numPr>
          <w:ilvl w:val="0"/>
          <w:numId w:val="15"/>
        </w:numPr>
        <w:jc w:val="both"/>
        <w:rPr>
          <w:rFonts w:ascii="StobiSerif Regular" w:hAnsi="StobiSerif Regular"/>
          <w:sz w:val="24"/>
          <w:szCs w:val="24"/>
          <w:lang w:val="en-GB"/>
        </w:rPr>
      </w:pPr>
      <w:r w:rsidRPr="00BB28A0">
        <w:rPr>
          <w:rFonts w:ascii="StobiSerif Regular" w:hAnsi="StobiSerif Regular"/>
          <w:sz w:val="24"/>
          <w:szCs w:val="24"/>
          <w:lang w:val="en-GB"/>
        </w:rPr>
        <w:t>Data, Computing and Digital Research Infrastructures</w:t>
      </w:r>
      <w:r w:rsidR="00FE1609" w:rsidRPr="00BB28A0">
        <w:rPr>
          <w:rFonts w:ascii="StobiSerif Regular" w:hAnsi="StobiSerif Regular"/>
          <w:sz w:val="24"/>
          <w:szCs w:val="24"/>
          <w:lang w:val="en-GB"/>
        </w:rPr>
        <w:t xml:space="preserve">. </w:t>
      </w:r>
    </w:p>
    <w:p w14:paraId="32D94DC3" w14:textId="38258277" w:rsidR="008948B3" w:rsidRPr="00BB28A0" w:rsidRDefault="008948B3" w:rsidP="008948B3">
      <w:pPr>
        <w:pStyle w:val="ListParagraph"/>
        <w:numPr>
          <w:ilvl w:val="1"/>
          <w:numId w:val="15"/>
        </w:numPr>
        <w:jc w:val="both"/>
        <w:rPr>
          <w:rFonts w:ascii="StobiSerif Regular" w:hAnsi="StobiSerif Regular"/>
          <w:sz w:val="24"/>
          <w:szCs w:val="24"/>
          <w:lang w:val="en-GB"/>
        </w:rPr>
      </w:pPr>
      <w:r w:rsidRPr="00BB28A0">
        <w:rPr>
          <w:rFonts w:ascii="StobiSerif Regular" w:hAnsi="StobiSerif Regular"/>
          <w:sz w:val="24"/>
          <w:szCs w:val="24"/>
          <w:lang w:val="en-GB"/>
        </w:rPr>
        <w:t xml:space="preserve">GEANT </w:t>
      </w:r>
      <w:r w:rsidR="000121B1" w:rsidRPr="00BB28A0">
        <w:rPr>
          <w:rFonts w:ascii="StobiSerif Regular" w:hAnsi="StobiSerif Regular"/>
          <w:sz w:val="24"/>
          <w:szCs w:val="24"/>
          <w:lang w:val="en-GB"/>
        </w:rPr>
        <w:t xml:space="preserve">- </w:t>
      </w:r>
      <w:r w:rsidRPr="00BB28A0">
        <w:rPr>
          <w:rFonts w:ascii="StobiSerif Regular" w:hAnsi="StobiSerif Regular"/>
          <w:sz w:val="24"/>
          <w:szCs w:val="24"/>
          <w:lang w:val="en-GB"/>
        </w:rPr>
        <w:t>the pan-European association of national research and education networks. The National Academic and Research Network MARNET is a member of GEANT, however, due to the lack of technical and human capacities, FINKI - UKIM provides full support of MARNET and participates in the projects coordinated by GEANT.</w:t>
      </w:r>
    </w:p>
    <w:p w14:paraId="6ADAC63E" w14:textId="381BB28C" w:rsidR="007034C3" w:rsidRPr="00BB28A0" w:rsidRDefault="00885F23" w:rsidP="00885F23">
      <w:pPr>
        <w:pStyle w:val="ListParagraph"/>
        <w:numPr>
          <w:ilvl w:val="1"/>
          <w:numId w:val="15"/>
        </w:numPr>
        <w:jc w:val="both"/>
        <w:rPr>
          <w:rFonts w:ascii="StobiSerif Regular" w:hAnsi="StobiSerif Regular"/>
          <w:sz w:val="24"/>
          <w:szCs w:val="24"/>
          <w:lang w:val="en-GB"/>
        </w:rPr>
      </w:pPr>
      <w:r w:rsidRPr="00BB28A0">
        <w:rPr>
          <w:rFonts w:ascii="StobiSerif Regular" w:hAnsi="StobiSerif Regular"/>
          <w:sz w:val="24"/>
          <w:szCs w:val="24"/>
          <w:lang w:val="en-GB"/>
        </w:rPr>
        <w:t xml:space="preserve">EOSC - European Open Science Cloud. </w:t>
      </w:r>
      <w:r w:rsidR="007034C3" w:rsidRPr="00BB28A0">
        <w:rPr>
          <w:rFonts w:ascii="StobiSerif Regular" w:hAnsi="StobiSerif Regular"/>
          <w:sz w:val="24"/>
          <w:szCs w:val="24"/>
          <w:lang w:val="en-GB"/>
        </w:rPr>
        <w:t>FINKI - UKIM has been a member of EOSC since its establishment in 2020, and in 2023 it became a mandated member with a mandate from the Ministry of Education and Science.</w:t>
      </w:r>
    </w:p>
    <w:p w14:paraId="4A50D429" w14:textId="02255591" w:rsidR="007034C3" w:rsidRPr="00BB28A0" w:rsidRDefault="007034C3" w:rsidP="007034C3">
      <w:pPr>
        <w:pStyle w:val="ListParagraph"/>
        <w:numPr>
          <w:ilvl w:val="1"/>
          <w:numId w:val="15"/>
        </w:numPr>
        <w:jc w:val="both"/>
        <w:rPr>
          <w:rFonts w:ascii="StobiSerif Regular" w:hAnsi="StobiSerif Regular"/>
          <w:sz w:val="24"/>
          <w:szCs w:val="24"/>
          <w:lang w:val="en-GB"/>
        </w:rPr>
      </w:pPr>
      <w:r w:rsidRPr="00BB28A0">
        <w:rPr>
          <w:rFonts w:ascii="StobiSerif Regular" w:hAnsi="StobiSerif Regular"/>
          <w:sz w:val="24"/>
          <w:szCs w:val="24"/>
          <w:lang w:val="en-GB"/>
        </w:rPr>
        <w:t>PRACE - Partnership for Advanced Computing in Europe. With the change in the membership arrangement in 2024, FINKI - UKIM became an associate member of this infrastructure as a partner of the Greek Academic and Research Network (GRNET).</w:t>
      </w:r>
    </w:p>
    <w:p w14:paraId="5A61A1D0" w14:textId="7CBE6CC8" w:rsidR="007034C3" w:rsidRPr="00BB28A0" w:rsidRDefault="007034C3" w:rsidP="007034C3">
      <w:pPr>
        <w:pStyle w:val="ListParagraph"/>
        <w:numPr>
          <w:ilvl w:val="1"/>
          <w:numId w:val="15"/>
        </w:numPr>
        <w:jc w:val="both"/>
        <w:rPr>
          <w:rFonts w:ascii="StobiSerif Regular" w:hAnsi="StobiSerif Regular"/>
          <w:sz w:val="24"/>
          <w:szCs w:val="24"/>
          <w:lang w:val="en-GB"/>
        </w:rPr>
      </w:pPr>
      <w:r w:rsidRPr="00BB28A0">
        <w:rPr>
          <w:rFonts w:ascii="StobiSerif Regular" w:hAnsi="StobiSerif Regular"/>
          <w:sz w:val="24"/>
          <w:szCs w:val="24"/>
          <w:lang w:val="en-GB"/>
        </w:rPr>
        <w:t xml:space="preserve">EGI </w:t>
      </w:r>
      <w:r w:rsidR="00885F23" w:rsidRPr="00BB28A0">
        <w:rPr>
          <w:rFonts w:ascii="StobiSerif Regular" w:hAnsi="StobiSerif Regular"/>
          <w:sz w:val="24"/>
          <w:szCs w:val="24"/>
          <w:lang w:val="en-GB"/>
        </w:rPr>
        <w:t xml:space="preserve">- </w:t>
      </w:r>
      <w:r w:rsidRPr="00BB28A0">
        <w:rPr>
          <w:rFonts w:ascii="StobiSerif Regular" w:hAnsi="StobiSerif Regular"/>
          <w:sz w:val="24"/>
          <w:szCs w:val="24"/>
          <w:lang w:val="en-GB"/>
        </w:rPr>
        <w:t>European Grid Initiative. The Macedonian Grid Initiative, coordinated by FINKI - UKIM, has been a member of the EGI since its inception in 2010, an active participant in a large number of projects, and also a provider of some of the basic services of this large digital infrastructure. A procedure to promote the EGI to an ESFRI infrastructure is currently underway.</w:t>
      </w:r>
    </w:p>
    <w:p w14:paraId="752E2456" w14:textId="100EEB8C" w:rsidR="004A2359" w:rsidRPr="00BB28A0" w:rsidRDefault="004A2359" w:rsidP="004A2359">
      <w:pPr>
        <w:pStyle w:val="ListParagraph"/>
        <w:numPr>
          <w:ilvl w:val="1"/>
          <w:numId w:val="15"/>
        </w:numPr>
        <w:jc w:val="both"/>
        <w:rPr>
          <w:rFonts w:ascii="StobiSerif Regular" w:hAnsi="StobiSerif Regular"/>
          <w:sz w:val="24"/>
          <w:szCs w:val="24"/>
          <w:lang w:val="en-GB"/>
        </w:rPr>
      </w:pPr>
      <w:proofErr w:type="spellStart"/>
      <w:r w:rsidRPr="00BB28A0">
        <w:rPr>
          <w:rFonts w:ascii="StobiSerif Regular" w:hAnsi="StobiSerif Regular"/>
          <w:sz w:val="24"/>
          <w:szCs w:val="24"/>
          <w:lang w:val="en-GB"/>
        </w:rPr>
        <w:t>EuroHPC</w:t>
      </w:r>
      <w:proofErr w:type="spellEnd"/>
      <w:r w:rsidRPr="00BB28A0">
        <w:rPr>
          <w:rFonts w:ascii="StobiSerif Regular" w:hAnsi="StobiSerif Regular"/>
          <w:sz w:val="24"/>
          <w:szCs w:val="24"/>
          <w:lang w:val="en-GB"/>
        </w:rPr>
        <w:t xml:space="preserve"> JU</w:t>
      </w:r>
      <w:r w:rsidR="00C74C2F" w:rsidRPr="00BB28A0">
        <w:rPr>
          <w:rFonts w:ascii="StobiSerif Regular" w:hAnsi="StobiSerif Regular"/>
          <w:sz w:val="24"/>
          <w:szCs w:val="24"/>
          <w:lang w:val="en-GB"/>
        </w:rPr>
        <w:t xml:space="preserve">. </w:t>
      </w:r>
      <w:r w:rsidRPr="00BB28A0">
        <w:rPr>
          <w:rFonts w:ascii="StobiSerif Regular" w:hAnsi="StobiSerif Regular"/>
          <w:sz w:val="24"/>
          <w:szCs w:val="24"/>
          <w:lang w:val="en-GB"/>
        </w:rPr>
        <w:t>The Republic of North Macedonia is an equal member of the European High Performance Computing Joint Undertaking. Within the framework of the mandate received from the Ministry of Information Society and Administration (Ministry of Digital Transformation), FINKI - UKIM has effectively contributed to several projects of this organization. In this context, FINKI - UKIM has become a partner in the DAEDALUS supercomputing system, which is being established in Greece, by contributing human resources for support.</w:t>
      </w:r>
    </w:p>
    <w:p w14:paraId="1CDC3F0B" w14:textId="7DEC97C2" w:rsidR="006913BD" w:rsidRPr="00BB28A0" w:rsidRDefault="00C74C2F" w:rsidP="006913BD">
      <w:pPr>
        <w:pStyle w:val="ListParagraph"/>
        <w:numPr>
          <w:ilvl w:val="1"/>
          <w:numId w:val="15"/>
        </w:numPr>
        <w:jc w:val="both"/>
        <w:rPr>
          <w:rFonts w:ascii="StobiSerif Regular" w:hAnsi="StobiSerif Regular"/>
          <w:sz w:val="24"/>
          <w:szCs w:val="24"/>
          <w:lang w:val="en-GB"/>
        </w:rPr>
      </w:pPr>
      <w:proofErr w:type="spellStart"/>
      <w:r w:rsidRPr="00BB28A0">
        <w:rPr>
          <w:rFonts w:ascii="StobiSerif Regular" w:hAnsi="StobiSerif Regular"/>
          <w:sz w:val="24"/>
          <w:szCs w:val="24"/>
          <w:lang w:val="en-GB"/>
        </w:rPr>
        <w:lastRenderedPageBreak/>
        <w:t>OpenAIRE</w:t>
      </w:r>
      <w:proofErr w:type="spellEnd"/>
      <w:r w:rsidRPr="00BB28A0">
        <w:rPr>
          <w:rFonts w:ascii="StobiSerif Regular" w:hAnsi="StobiSerif Regular"/>
          <w:sz w:val="24"/>
          <w:szCs w:val="24"/>
          <w:lang w:val="en-GB"/>
        </w:rPr>
        <w:t xml:space="preserve"> </w:t>
      </w:r>
      <w:r w:rsidR="006913BD" w:rsidRPr="00BB28A0">
        <w:rPr>
          <w:rFonts w:ascii="StobiSerif Regular" w:hAnsi="StobiSerif Regular"/>
          <w:sz w:val="24"/>
          <w:szCs w:val="24"/>
          <w:lang w:val="en-GB"/>
        </w:rPr>
        <w:t>is a European organization for the promotion of open access to research results, in which UKIM is an equal member.</w:t>
      </w:r>
    </w:p>
    <w:p w14:paraId="10C2FB8C" w14:textId="77777777" w:rsidR="006913BD" w:rsidRPr="00BB28A0" w:rsidRDefault="006913BD" w:rsidP="006913BD">
      <w:pPr>
        <w:pStyle w:val="ListParagraph"/>
        <w:numPr>
          <w:ilvl w:val="0"/>
          <w:numId w:val="15"/>
        </w:numPr>
        <w:jc w:val="both"/>
        <w:rPr>
          <w:rFonts w:ascii="StobiSerif Regular" w:hAnsi="StobiSerif Regular"/>
          <w:sz w:val="24"/>
          <w:szCs w:val="24"/>
          <w:lang w:val="en-GB"/>
        </w:rPr>
      </w:pPr>
      <w:r w:rsidRPr="00BB28A0">
        <w:rPr>
          <w:rFonts w:ascii="StobiSerif Regular" w:hAnsi="StobiSerif Regular"/>
          <w:sz w:val="24"/>
          <w:szCs w:val="24"/>
          <w:lang w:val="en-GB"/>
        </w:rPr>
        <w:t>Social Sciences and Humanities</w:t>
      </w:r>
    </w:p>
    <w:p w14:paraId="14BA0906" w14:textId="27676A11" w:rsidR="006913BD" w:rsidRPr="00BB28A0" w:rsidRDefault="006913BD" w:rsidP="00D57A5E">
      <w:pPr>
        <w:pStyle w:val="ListParagraph"/>
        <w:numPr>
          <w:ilvl w:val="1"/>
          <w:numId w:val="15"/>
        </w:numPr>
        <w:jc w:val="both"/>
        <w:rPr>
          <w:rFonts w:ascii="StobiSerif Regular" w:hAnsi="StobiSerif Regular"/>
          <w:sz w:val="24"/>
          <w:szCs w:val="24"/>
          <w:lang w:val="en-GB"/>
        </w:rPr>
      </w:pPr>
      <w:r w:rsidRPr="00BB28A0">
        <w:rPr>
          <w:rFonts w:ascii="StobiSerif Regular" w:hAnsi="StobiSerif Regular"/>
          <w:sz w:val="24"/>
          <w:szCs w:val="24"/>
          <w:lang w:val="en-GB"/>
        </w:rPr>
        <w:t xml:space="preserve">CESSDA ERIC – the Consortium of European Social Science Data Archives is a distributed research infrastructures serving as a large-scale, integrated and sustainable platform for data services relevant to the social sciences. The </w:t>
      </w:r>
      <w:r w:rsidR="00D57A5E" w:rsidRPr="00BB28A0">
        <w:rPr>
          <w:rFonts w:ascii="StobiSerif Regular" w:hAnsi="StobiSerif Regular"/>
          <w:sz w:val="24"/>
          <w:szCs w:val="24"/>
          <w:lang w:val="en-GB"/>
        </w:rPr>
        <w:t xml:space="preserve">Institute for Sociological, Political and Juridical Research (ISPPI) </w:t>
      </w:r>
      <w:r w:rsidRPr="00BB28A0">
        <w:rPr>
          <w:rFonts w:ascii="StobiSerif Regular" w:hAnsi="StobiSerif Regular"/>
          <w:sz w:val="24"/>
          <w:szCs w:val="24"/>
          <w:lang w:val="en-GB"/>
        </w:rPr>
        <w:t>is a member of this infrastructure and an active participant in the projects implemented within its framework.</w:t>
      </w:r>
    </w:p>
    <w:p w14:paraId="6A8C4068" w14:textId="77777777" w:rsidR="006913BD" w:rsidRPr="00BB28A0" w:rsidRDefault="006913BD" w:rsidP="006913BD">
      <w:pPr>
        <w:pStyle w:val="ListParagraph"/>
        <w:numPr>
          <w:ilvl w:val="0"/>
          <w:numId w:val="15"/>
        </w:numPr>
        <w:jc w:val="both"/>
        <w:rPr>
          <w:rFonts w:ascii="StobiSerif Regular" w:hAnsi="StobiSerif Regular"/>
          <w:sz w:val="24"/>
          <w:szCs w:val="24"/>
          <w:lang w:val="en-GB"/>
        </w:rPr>
      </w:pPr>
      <w:r w:rsidRPr="00BB28A0">
        <w:rPr>
          <w:rFonts w:ascii="StobiSerif Regular" w:hAnsi="StobiSerif Regular"/>
          <w:sz w:val="24"/>
          <w:szCs w:val="24"/>
          <w:lang w:val="en-GB"/>
        </w:rPr>
        <w:t>Health and Food</w:t>
      </w:r>
    </w:p>
    <w:p w14:paraId="2EAADBD1" w14:textId="0FB644D6" w:rsidR="006913BD" w:rsidRPr="00BB28A0" w:rsidRDefault="006913BD" w:rsidP="006913BD">
      <w:pPr>
        <w:pStyle w:val="ListParagraph"/>
        <w:numPr>
          <w:ilvl w:val="1"/>
          <w:numId w:val="15"/>
        </w:numPr>
        <w:jc w:val="both"/>
        <w:rPr>
          <w:rFonts w:ascii="StobiSerif Regular" w:hAnsi="StobiSerif Regular"/>
          <w:sz w:val="24"/>
          <w:szCs w:val="24"/>
          <w:lang w:val="en-GB"/>
        </w:rPr>
      </w:pPr>
      <w:r w:rsidRPr="00BB28A0">
        <w:rPr>
          <w:rFonts w:ascii="StobiSerif Regular" w:hAnsi="StobiSerif Regular"/>
          <w:sz w:val="24"/>
          <w:szCs w:val="24"/>
          <w:lang w:val="en-GB"/>
        </w:rPr>
        <w:t>METROFOOD-RI - the Infrastructure for promoting metrology in food and nutrition by enhancing quality and reliability of measurement results and making available and sharing data, information and metrological tools, is a candidate for ESFRI infrastructure</w:t>
      </w:r>
      <w:r w:rsidR="000367D5" w:rsidRPr="00BB28A0">
        <w:rPr>
          <w:rFonts w:ascii="StobiSerif Regular" w:hAnsi="StobiSerif Regular"/>
          <w:sz w:val="24"/>
          <w:szCs w:val="24"/>
          <w:lang w:val="en-GB"/>
        </w:rPr>
        <w:t xml:space="preserve">. The Institute for Public Health is a </w:t>
      </w:r>
      <w:r w:rsidRPr="00BB28A0">
        <w:rPr>
          <w:rFonts w:ascii="StobiSerif Regular" w:hAnsi="StobiSerif Regular"/>
          <w:sz w:val="24"/>
          <w:szCs w:val="24"/>
          <w:lang w:val="en-GB"/>
        </w:rPr>
        <w:t xml:space="preserve">member </w:t>
      </w:r>
      <w:r w:rsidR="000367D5" w:rsidRPr="00BB28A0">
        <w:rPr>
          <w:rFonts w:ascii="StobiSerif Regular" w:hAnsi="StobiSerif Regular"/>
          <w:sz w:val="24"/>
          <w:szCs w:val="24"/>
          <w:lang w:val="en-GB"/>
        </w:rPr>
        <w:t xml:space="preserve">of this infrastructure </w:t>
      </w:r>
      <w:r w:rsidRPr="00BB28A0">
        <w:rPr>
          <w:rFonts w:ascii="StobiSerif Regular" w:hAnsi="StobiSerif Regular"/>
          <w:sz w:val="24"/>
          <w:szCs w:val="24"/>
          <w:lang w:val="en-GB"/>
        </w:rPr>
        <w:t>from our country.</w:t>
      </w:r>
    </w:p>
    <w:p w14:paraId="4D3FDD4C" w14:textId="77777777" w:rsidR="000367D5" w:rsidRPr="00BB28A0" w:rsidRDefault="000367D5" w:rsidP="000367D5">
      <w:pPr>
        <w:jc w:val="both"/>
        <w:rPr>
          <w:rFonts w:ascii="StobiSerif Regular" w:hAnsi="StobiSerif Regular"/>
          <w:sz w:val="24"/>
          <w:szCs w:val="24"/>
          <w:lang w:val="en-GB"/>
        </w:rPr>
      </w:pPr>
      <w:r w:rsidRPr="00BB28A0">
        <w:rPr>
          <w:rFonts w:ascii="StobiSerif Regular" w:hAnsi="StobiSerif Regular"/>
          <w:sz w:val="24"/>
          <w:szCs w:val="24"/>
          <w:lang w:val="en-GB"/>
        </w:rPr>
        <w:t>The Republic of North Macedonia does not participate in any major research infrastructure in the areas of Energy, Environment and Physical Sciences and Engineering.</w:t>
      </w:r>
    </w:p>
    <w:p w14:paraId="2CD97CE6" w14:textId="77777777" w:rsidR="000367D5" w:rsidRPr="00BB28A0" w:rsidRDefault="000367D5" w:rsidP="000367D5">
      <w:pPr>
        <w:jc w:val="both"/>
        <w:rPr>
          <w:rFonts w:ascii="StobiSerif Regular" w:hAnsi="StobiSerif Regular"/>
          <w:sz w:val="24"/>
          <w:szCs w:val="24"/>
          <w:lang w:val="en-GB"/>
        </w:rPr>
      </w:pPr>
      <w:r w:rsidRPr="00BB28A0">
        <w:rPr>
          <w:rFonts w:ascii="StobiSerif Regular" w:hAnsi="StobiSerif Regular"/>
          <w:sz w:val="24"/>
          <w:szCs w:val="24"/>
          <w:lang w:val="en-GB"/>
        </w:rPr>
        <w:t xml:space="preserve">To improve the representation and access of RNM researchers to these and similar infrastructures, relevant efforts must be undertaken, especially aimed at: </w:t>
      </w:r>
    </w:p>
    <w:p w14:paraId="68728798" w14:textId="77777777" w:rsidR="00C211D6" w:rsidRPr="00BB28A0" w:rsidRDefault="00C211D6" w:rsidP="00C211D6">
      <w:pPr>
        <w:pStyle w:val="ListParagraph"/>
        <w:numPr>
          <w:ilvl w:val="0"/>
          <w:numId w:val="15"/>
        </w:numPr>
        <w:jc w:val="both"/>
        <w:rPr>
          <w:rFonts w:ascii="StobiSerif Regular" w:hAnsi="StobiSerif Regular"/>
          <w:sz w:val="24"/>
          <w:szCs w:val="24"/>
          <w:lang w:val="en-GB"/>
        </w:rPr>
      </w:pPr>
      <w:r w:rsidRPr="00BB28A0">
        <w:rPr>
          <w:rFonts w:ascii="StobiSerif Regular" w:hAnsi="StobiSerif Regular"/>
          <w:sz w:val="24"/>
          <w:szCs w:val="24"/>
          <w:lang w:val="en-GB"/>
        </w:rPr>
        <w:t>Raising awareness and familiarization with the potential of these infrastructures.</w:t>
      </w:r>
    </w:p>
    <w:p w14:paraId="0CC8B115" w14:textId="77777777" w:rsidR="00C211D6" w:rsidRPr="00BB28A0" w:rsidRDefault="00C211D6" w:rsidP="00C211D6">
      <w:pPr>
        <w:pStyle w:val="ListParagraph"/>
        <w:numPr>
          <w:ilvl w:val="0"/>
          <w:numId w:val="15"/>
        </w:numPr>
        <w:jc w:val="both"/>
        <w:rPr>
          <w:rFonts w:ascii="StobiSerif Regular" w:hAnsi="StobiSerif Regular"/>
          <w:sz w:val="24"/>
          <w:szCs w:val="24"/>
          <w:lang w:val="en-GB"/>
        </w:rPr>
      </w:pPr>
      <w:r w:rsidRPr="00BB28A0">
        <w:rPr>
          <w:rFonts w:ascii="StobiSerif Regular" w:hAnsi="StobiSerif Regular"/>
          <w:sz w:val="24"/>
          <w:szCs w:val="24"/>
          <w:lang w:val="en-GB"/>
        </w:rPr>
        <w:t>Conducting training and capacity building for the use of these infrastructures.</w:t>
      </w:r>
    </w:p>
    <w:p w14:paraId="0A3E2476" w14:textId="77777777" w:rsidR="00C211D6" w:rsidRPr="00BB28A0" w:rsidRDefault="00C211D6" w:rsidP="00C211D6">
      <w:pPr>
        <w:pStyle w:val="ListParagraph"/>
        <w:numPr>
          <w:ilvl w:val="0"/>
          <w:numId w:val="15"/>
        </w:numPr>
        <w:jc w:val="both"/>
        <w:rPr>
          <w:rFonts w:ascii="StobiSerif Regular" w:hAnsi="StobiSerif Regular"/>
          <w:sz w:val="24"/>
          <w:szCs w:val="24"/>
          <w:lang w:val="en-GB"/>
        </w:rPr>
      </w:pPr>
      <w:r w:rsidRPr="00BB28A0">
        <w:rPr>
          <w:rFonts w:ascii="StobiSerif Regular" w:hAnsi="StobiSerif Regular"/>
          <w:sz w:val="24"/>
          <w:szCs w:val="24"/>
          <w:lang w:val="en-GB"/>
        </w:rPr>
        <w:t>Providing political support for access to these infrastructures (mandate).</w:t>
      </w:r>
    </w:p>
    <w:p w14:paraId="0D096E54" w14:textId="77777777" w:rsidR="00C211D6" w:rsidRPr="00BB28A0" w:rsidRDefault="00C211D6" w:rsidP="00C211D6">
      <w:pPr>
        <w:pStyle w:val="ListParagraph"/>
        <w:numPr>
          <w:ilvl w:val="0"/>
          <w:numId w:val="15"/>
        </w:numPr>
        <w:jc w:val="both"/>
        <w:rPr>
          <w:rFonts w:ascii="StobiSerif Regular" w:hAnsi="StobiSerif Regular"/>
          <w:sz w:val="24"/>
          <w:szCs w:val="24"/>
          <w:lang w:val="en-GB"/>
        </w:rPr>
      </w:pPr>
      <w:r w:rsidRPr="00BB28A0">
        <w:rPr>
          <w:rFonts w:ascii="StobiSerif Regular" w:hAnsi="StobiSerif Regular"/>
          <w:sz w:val="24"/>
          <w:szCs w:val="24"/>
          <w:lang w:val="en-GB"/>
        </w:rPr>
        <w:t>Providing financial assistance for membership in major European infrastructures.</w:t>
      </w:r>
    </w:p>
    <w:p w14:paraId="3DDA4D7B" w14:textId="77777777" w:rsidR="00C211D6" w:rsidRPr="00BB28A0" w:rsidRDefault="00C211D6" w:rsidP="00C211D6">
      <w:pPr>
        <w:pStyle w:val="ListParagraph"/>
        <w:numPr>
          <w:ilvl w:val="0"/>
          <w:numId w:val="15"/>
        </w:numPr>
        <w:jc w:val="both"/>
        <w:rPr>
          <w:rFonts w:ascii="StobiSerif Regular" w:hAnsi="StobiSerif Regular"/>
          <w:sz w:val="24"/>
          <w:szCs w:val="24"/>
          <w:lang w:val="en-GB"/>
        </w:rPr>
      </w:pPr>
      <w:r w:rsidRPr="00BB28A0">
        <w:rPr>
          <w:rFonts w:ascii="StobiSerif Regular" w:hAnsi="StobiSerif Regular"/>
          <w:sz w:val="24"/>
          <w:szCs w:val="24"/>
          <w:lang w:val="en-GB"/>
        </w:rPr>
        <w:t>Supporting the development of national infrastructures that are compatible with European ones, as well as their integration with European infrastructures.</w:t>
      </w:r>
    </w:p>
    <w:p w14:paraId="209CCDE2" w14:textId="77777777" w:rsidR="00C211D6" w:rsidRPr="00BB28A0" w:rsidRDefault="00C211D6" w:rsidP="00C211D6">
      <w:pPr>
        <w:pStyle w:val="ListParagraph"/>
        <w:numPr>
          <w:ilvl w:val="0"/>
          <w:numId w:val="15"/>
        </w:numPr>
        <w:jc w:val="both"/>
        <w:rPr>
          <w:rFonts w:ascii="StobiSerif Regular" w:hAnsi="StobiSerif Regular"/>
          <w:sz w:val="24"/>
          <w:szCs w:val="24"/>
          <w:lang w:val="en-GB"/>
        </w:rPr>
      </w:pPr>
      <w:r w:rsidRPr="00BB28A0">
        <w:rPr>
          <w:rFonts w:ascii="StobiSerif Regular" w:hAnsi="StobiSerif Regular"/>
          <w:sz w:val="24"/>
          <w:szCs w:val="24"/>
          <w:lang w:val="en-GB"/>
        </w:rPr>
        <w:t xml:space="preserve">Co-funding projects led by our researchers and organizations, which are expected to grow into pan-European infrastructures. </w:t>
      </w:r>
    </w:p>
    <w:p w14:paraId="6EA59E4D" w14:textId="5A399DCC" w:rsidR="0068330A" w:rsidRPr="00BB28A0" w:rsidRDefault="003E3A2B" w:rsidP="003E3A2B">
      <w:pPr>
        <w:pStyle w:val="Heading1"/>
        <w:ind w:firstLine="720"/>
        <w:jc w:val="both"/>
        <w:rPr>
          <w:lang w:val="en-GB"/>
        </w:rPr>
      </w:pPr>
      <w:r w:rsidRPr="00BB28A0">
        <w:rPr>
          <w:lang w:val="en-GB"/>
        </w:rPr>
        <w:t xml:space="preserve">5.7.1 Proposals for the potential participation of institutions from the Republic of North Macedonia in major European infrastructures </w:t>
      </w:r>
    </w:p>
    <w:p w14:paraId="68A020B8" w14:textId="77777777" w:rsidR="00F353EA" w:rsidRPr="00BB28A0" w:rsidRDefault="00F353EA" w:rsidP="00055ADC">
      <w:pPr>
        <w:jc w:val="both"/>
        <w:rPr>
          <w:rFonts w:ascii="StobiSerif Regular" w:hAnsi="StobiSerif Regular"/>
          <w:sz w:val="24"/>
          <w:szCs w:val="24"/>
          <w:lang w:val="en-GB"/>
        </w:rPr>
      </w:pPr>
      <w:r w:rsidRPr="00BB28A0">
        <w:rPr>
          <w:rFonts w:ascii="StobiSerif Regular" w:hAnsi="StobiSerif Regular"/>
          <w:sz w:val="24"/>
          <w:szCs w:val="24"/>
          <w:lang w:val="en-GB"/>
        </w:rPr>
        <w:t>In accordance with the latest ESFRI analysis, the following potential infrastructures and institutions from the Republic of North Macedonia could potentially benefit from involvement or cooperation with ESFRI infrastructures, primarily in areas where Macedonian institutions exhibit minimal or no participation whatsoever.</w:t>
      </w:r>
    </w:p>
    <w:p w14:paraId="38718A28" w14:textId="77777777" w:rsidR="003E3A2B" w:rsidRPr="00BB28A0" w:rsidRDefault="003E3A2B" w:rsidP="003E3A2B">
      <w:pPr>
        <w:pStyle w:val="ListParagraph"/>
        <w:numPr>
          <w:ilvl w:val="0"/>
          <w:numId w:val="15"/>
        </w:numPr>
        <w:jc w:val="both"/>
        <w:rPr>
          <w:rFonts w:ascii="StobiSerif Regular" w:hAnsi="StobiSerif Regular"/>
          <w:sz w:val="24"/>
          <w:szCs w:val="24"/>
          <w:lang w:val="en-GB"/>
        </w:rPr>
      </w:pPr>
      <w:r w:rsidRPr="00BB28A0">
        <w:rPr>
          <w:rFonts w:ascii="StobiSerif Regular" w:hAnsi="StobiSerif Regular"/>
          <w:sz w:val="24"/>
          <w:szCs w:val="24"/>
          <w:lang w:val="en-GB"/>
        </w:rPr>
        <w:t>Energy:</w:t>
      </w:r>
    </w:p>
    <w:p w14:paraId="257E7375" w14:textId="00C30242" w:rsidR="00F353EA" w:rsidRPr="00BB28A0" w:rsidRDefault="00F353EA" w:rsidP="00F353EA">
      <w:pPr>
        <w:pStyle w:val="ListParagraph"/>
        <w:numPr>
          <w:ilvl w:val="1"/>
          <w:numId w:val="15"/>
        </w:numPr>
        <w:jc w:val="both"/>
        <w:rPr>
          <w:rFonts w:ascii="StobiSerif Regular" w:hAnsi="StobiSerif Regular"/>
          <w:sz w:val="24"/>
          <w:szCs w:val="24"/>
          <w:lang w:val="en-GB"/>
        </w:rPr>
      </w:pPr>
      <w:r w:rsidRPr="00BB28A0">
        <w:rPr>
          <w:rFonts w:ascii="StobiSerif Regular" w:hAnsi="StobiSerif Regular"/>
          <w:sz w:val="24"/>
          <w:szCs w:val="24"/>
          <w:lang w:val="en-GB"/>
        </w:rPr>
        <w:t>EU-Solaris</w:t>
      </w:r>
      <w:r w:rsidR="00C74C2F" w:rsidRPr="00BB28A0">
        <w:rPr>
          <w:rFonts w:ascii="StobiSerif Regular" w:hAnsi="StobiSerif Regular"/>
          <w:sz w:val="24"/>
          <w:szCs w:val="24"/>
          <w:lang w:val="en-GB"/>
        </w:rPr>
        <w:t xml:space="preserve"> – the </w:t>
      </w:r>
      <w:r w:rsidRPr="00BB28A0">
        <w:rPr>
          <w:rFonts w:ascii="StobiSerif Regular" w:hAnsi="StobiSerif Regular"/>
          <w:sz w:val="24"/>
          <w:szCs w:val="24"/>
          <w:lang w:val="en-GB"/>
        </w:rPr>
        <w:t xml:space="preserve">European Solar Research Infrastructure. Potential institutions from the Republic of Macedonia are the technical faculties of the universities, the Research </w:t>
      </w:r>
      <w:r w:rsidR="00BB28A0" w:rsidRPr="00BB28A0">
        <w:rPr>
          <w:rFonts w:ascii="StobiSerif Regular" w:hAnsi="StobiSerif Regular"/>
          <w:sz w:val="24"/>
          <w:szCs w:val="24"/>
          <w:lang w:val="en-GB"/>
        </w:rPr>
        <w:t>Centre</w:t>
      </w:r>
      <w:r w:rsidRPr="00BB28A0">
        <w:rPr>
          <w:rFonts w:ascii="StobiSerif Regular" w:hAnsi="StobiSerif Regular"/>
          <w:sz w:val="24"/>
          <w:szCs w:val="24"/>
          <w:lang w:val="en-GB"/>
        </w:rPr>
        <w:t xml:space="preserve"> for Energy and Sustainable Development of the Macedonian Academy of Sciences and Arts, etc.</w:t>
      </w:r>
    </w:p>
    <w:p w14:paraId="6B24E0A0" w14:textId="77777777" w:rsidR="00F353EA" w:rsidRPr="00BB28A0" w:rsidRDefault="00F353EA" w:rsidP="00F353EA">
      <w:pPr>
        <w:pStyle w:val="ListParagraph"/>
        <w:numPr>
          <w:ilvl w:val="0"/>
          <w:numId w:val="15"/>
        </w:numPr>
        <w:jc w:val="both"/>
        <w:rPr>
          <w:rFonts w:ascii="StobiSerif Regular" w:hAnsi="StobiSerif Regular"/>
          <w:sz w:val="24"/>
          <w:szCs w:val="24"/>
          <w:lang w:val="en-GB"/>
        </w:rPr>
      </w:pPr>
      <w:r w:rsidRPr="00BB28A0">
        <w:rPr>
          <w:rFonts w:ascii="StobiSerif Regular" w:hAnsi="StobiSerif Regular"/>
          <w:sz w:val="24"/>
          <w:szCs w:val="24"/>
          <w:lang w:val="en-GB"/>
        </w:rPr>
        <w:t>Environment</w:t>
      </w:r>
    </w:p>
    <w:p w14:paraId="4C5E3137" w14:textId="790F58D1" w:rsidR="00F353EA" w:rsidRPr="00BB28A0" w:rsidRDefault="00F353EA" w:rsidP="00F353EA">
      <w:pPr>
        <w:pStyle w:val="ListParagraph"/>
        <w:numPr>
          <w:ilvl w:val="1"/>
          <w:numId w:val="15"/>
        </w:numPr>
        <w:jc w:val="both"/>
        <w:rPr>
          <w:rFonts w:ascii="StobiSerif Regular" w:hAnsi="StobiSerif Regular"/>
          <w:sz w:val="24"/>
          <w:szCs w:val="24"/>
          <w:lang w:val="en-GB"/>
        </w:rPr>
      </w:pPr>
      <w:proofErr w:type="spellStart"/>
      <w:r w:rsidRPr="00BB28A0">
        <w:rPr>
          <w:rFonts w:ascii="StobiSerif Regular" w:hAnsi="StobiSerif Regular"/>
          <w:sz w:val="24"/>
          <w:szCs w:val="24"/>
          <w:lang w:val="en-GB"/>
        </w:rPr>
        <w:lastRenderedPageBreak/>
        <w:t>DiSSCo</w:t>
      </w:r>
      <w:proofErr w:type="spellEnd"/>
      <w:r w:rsidRPr="00BB28A0">
        <w:rPr>
          <w:rFonts w:ascii="StobiSerif Regular" w:hAnsi="StobiSerif Regular"/>
          <w:sz w:val="24"/>
          <w:szCs w:val="24"/>
          <w:lang w:val="en-GB"/>
        </w:rPr>
        <w:t xml:space="preserve"> – Distributed System of Scientific Collections. Potential beneficiaries: faculties of natural sciences and mathematics at the universities, the Research </w:t>
      </w:r>
      <w:r w:rsidR="00BB28A0" w:rsidRPr="00BB28A0">
        <w:rPr>
          <w:rFonts w:ascii="StobiSerif Regular" w:hAnsi="StobiSerif Regular"/>
          <w:sz w:val="24"/>
          <w:szCs w:val="24"/>
          <w:lang w:val="en-GB"/>
        </w:rPr>
        <w:t>Centre</w:t>
      </w:r>
      <w:r w:rsidRPr="00BB28A0">
        <w:rPr>
          <w:rFonts w:ascii="StobiSerif Regular" w:hAnsi="StobiSerif Regular"/>
          <w:sz w:val="24"/>
          <w:szCs w:val="24"/>
          <w:lang w:val="en-GB"/>
        </w:rPr>
        <w:t xml:space="preserve"> for Environment and Materials of MA</w:t>
      </w:r>
      <w:r w:rsidR="00C74C2F" w:rsidRPr="00BB28A0">
        <w:rPr>
          <w:rFonts w:ascii="StobiSerif Regular" w:hAnsi="StobiSerif Regular"/>
          <w:sz w:val="24"/>
          <w:szCs w:val="24"/>
          <w:lang w:val="en-GB"/>
        </w:rPr>
        <w:t>SA</w:t>
      </w:r>
      <w:r w:rsidRPr="00BB28A0">
        <w:rPr>
          <w:rFonts w:ascii="StobiSerif Regular" w:hAnsi="StobiSerif Regular"/>
          <w:sz w:val="24"/>
          <w:szCs w:val="24"/>
          <w:lang w:val="en-GB"/>
        </w:rPr>
        <w:t xml:space="preserve">, the Natural Science Museums in Skopje, </w:t>
      </w:r>
      <w:proofErr w:type="spellStart"/>
      <w:r w:rsidRPr="00BB28A0">
        <w:rPr>
          <w:rFonts w:ascii="StobiSerif Regular" w:hAnsi="StobiSerif Regular"/>
          <w:sz w:val="24"/>
          <w:szCs w:val="24"/>
          <w:lang w:val="en-GB"/>
        </w:rPr>
        <w:t>Struga</w:t>
      </w:r>
      <w:proofErr w:type="spellEnd"/>
      <w:r w:rsidRPr="00BB28A0">
        <w:rPr>
          <w:rFonts w:ascii="StobiSerif Regular" w:hAnsi="StobiSerif Regular"/>
          <w:sz w:val="24"/>
          <w:szCs w:val="24"/>
          <w:lang w:val="en-GB"/>
        </w:rPr>
        <w:t>, etc.</w:t>
      </w:r>
    </w:p>
    <w:p w14:paraId="6F3E7F78" w14:textId="2BFDCC6D" w:rsidR="00971F7B" w:rsidRPr="00BB28A0" w:rsidRDefault="00971F7B" w:rsidP="00C74C2F">
      <w:pPr>
        <w:pStyle w:val="ListParagraph"/>
        <w:numPr>
          <w:ilvl w:val="1"/>
          <w:numId w:val="15"/>
        </w:numPr>
        <w:jc w:val="both"/>
        <w:rPr>
          <w:rFonts w:ascii="StobiSerif Regular" w:hAnsi="StobiSerif Regular"/>
          <w:sz w:val="24"/>
          <w:szCs w:val="24"/>
          <w:lang w:val="en-GB"/>
        </w:rPr>
      </w:pPr>
      <w:r w:rsidRPr="00BB28A0">
        <w:rPr>
          <w:rFonts w:ascii="StobiSerif Regular" w:hAnsi="StobiSerif Regular"/>
          <w:sz w:val="24"/>
          <w:szCs w:val="24"/>
          <w:lang w:val="en-GB"/>
        </w:rPr>
        <w:t xml:space="preserve">EPOS – the European Plate Observing System. Potential beneficiaries: </w:t>
      </w:r>
      <w:r w:rsidR="00C74C2F" w:rsidRPr="00BB28A0">
        <w:rPr>
          <w:rFonts w:ascii="StobiSerif Regular" w:hAnsi="StobiSerif Regular"/>
          <w:sz w:val="24"/>
          <w:szCs w:val="24"/>
          <w:lang w:val="en-GB"/>
        </w:rPr>
        <w:t>the Institute of Earthquake Engineering and Engineering Seismology</w:t>
      </w:r>
      <w:r w:rsidRPr="00BB28A0">
        <w:rPr>
          <w:rFonts w:ascii="StobiSerif Regular" w:hAnsi="StobiSerif Regular"/>
          <w:sz w:val="24"/>
          <w:szCs w:val="24"/>
          <w:lang w:val="en-GB"/>
        </w:rPr>
        <w:t>, the Seismological Observatory of the Faculty of Natural Sciences and Mathematics, etc.</w:t>
      </w:r>
    </w:p>
    <w:p w14:paraId="4BAD0F96" w14:textId="00F96EF0" w:rsidR="00971F7B" w:rsidRPr="00BB28A0" w:rsidRDefault="00971F7B" w:rsidP="00971F7B">
      <w:pPr>
        <w:pStyle w:val="ListParagraph"/>
        <w:numPr>
          <w:ilvl w:val="1"/>
          <w:numId w:val="15"/>
        </w:numPr>
        <w:jc w:val="both"/>
        <w:rPr>
          <w:rFonts w:ascii="StobiSerif Regular" w:hAnsi="StobiSerif Regular"/>
          <w:sz w:val="24"/>
          <w:szCs w:val="24"/>
          <w:lang w:val="en-GB"/>
        </w:rPr>
      </w:pPr>
      <w:r w:rsidRPr="00BB28A0">
        <w:rPr>
          <w:rFonts w:ascii="StobiSerif Regular" w:hAnsi="StobiSerif Regular"/>
          <w:sz w:val="24"/>
          <w:szCs w:val="24"/>
          <w:lang w:val="en-GB"/>
        </w:rPr>
        <w:t xml:space="preserve">EURO-AGRO </w:t>
      </w:r>
      <w:r w:rsidR="00D57A5E" w:rsidRPr="00BB28A0">
        <w:rPr>
          <w:rFonts w:ascii="StobiSerif Regular" w:hAnsi="StobiSerif Regular"/>
          <w:sz w:val="24"/>
          <w:szCs w:val="24"/>
          <w:lang w:val="en-GB"/>
        </w:rPr>
        <w:t xml:space="preserve">- </w:t>
      </w:r>
      <w:r w:rsidRPr="00BB28A0">
        <w:rPr>
          <w:rFonts w:ascii="StobiSerif Regular" w:hAnsi="StobiSerif Regular"/>
          <w:sz w:val="24"/>
          <w:szCs w:val="24"/>
          <w:lang w:val="en-GB"/>
        </w:rPr>
        <w:t>European contribution to the global Argo programme. Potential beneficiaries: faculties of agriculture in universities, Institute</w:t>
      </w:r>
      <w:r w:rsidR="00D57A5E" w:rsidRPr="00BB28A0">
        <w:rPr>
          <w:rFonts w:ascii="StobiSerif Regular" w:hAnsi="StobiSerif Regular"/>
          <w:sz w:val="24"/>
          <w:szCs w:val="24"/>
          <w:lang w:val="en-GB"/>
        </w:rPr>
        <w:t xml:space="preserve"> of Agriculture</w:t>
      </w:r>
      <w:r w:rsidRPr="00BB28A0">
        <w:rPr>
          <w:rFonts w:ascii="StobiSerif Regular" w:hAnsi="StobiSerif Regular"/>
          <w:sz w:val="24"/>
          <w:szCs w:val="24"/>
          <w:lang w:val="en-GB"/>
        </w:rPr>
        <w:t>, etc.</w:t>
      </w:r>
    </w:p>
    <w:p w14:paraId="5D6C4401" w14:textId="2CC077D7" w:rsidR="00971F7B" w:rsidRPr="00BB28A0" w:rsidRDefault="00971F7B" w:rsidP="00971F7B">
      <w:pPr>
        <w:pStyle w:val="ListParagraph"/>
        <w:numPr>
          <w:ilvl w:val="1"/>
          <w:numId w:val="15"/>
        </w:numPr>
        <w:jc w:val="both"/>
        <w:rPr>
          <w:rFonts w:ascii="StobiSerif Regular" w:hAnsi="StobiSerif Regular"/>
          <w:sz w:val="24"/>
          <w:szCs w:val="24"/>
          <w:lang w:val="en-GB"/>
        </w:rPr>
      </w:pPr>
      <w:proofErr w:type="spellStart"/>
      <w:r w:rsidRPr="00BB28A0">
        <w:rPr>
          <w:rFonts w:ascii="StobiSerif Regular" w:hAnsi="StobiSerif Regular"/>
          <w:sz w:val="24"/>
          <w:szCs w:val="24"/>
          <w:lang w:val="en-GB"/>
        </w:rPr>
        <w:t>LifeWatch</w:t>
      </w:r>
      <w:proofErr w:type="spellEnd"/>
      <w:r w:rsidRPr="00BB28A0">
        <w:rPr>
          <w:rFonts w:ascii="StobiSerif Regular" w:hAnsi="StobiSerif Regular"/>
          <w:sz w:val="24"/>
          <w:szCs w:val="24"/>
          <w:lang w:val="en-GB"/>
        </w:rPr>
        <w:t xml:space="preserve"> – biodiversity and ecosystem. Potential beneficiaries: faculties of natural sciences and mathematics in universities, Research </w:t>
      </w:r>
      <w:r w:rsidR="00BB28A0" w:rsidRPr="00BB28A0">
        <w:rPr>
          <w:rFonts w:ascii="StobiSerif Regular" w:hAnsi="StobiSerif Regular"/>
          <w:sz w:val="24"/>
          <w:szCs w:val="24"/>
          <w:lang w:val="en-GB"/>
        </w:rPr>
        <w:t>Centre</w:t>
      </w:r>
      <w:r w:rsidRPr="00BB28A0">
        <w:rPr>
          <w:rFonts w:ascii="StobiSerif Regular" w:hAnsi="StobiSerif Regular"/>
          <w:sz w:val="24"/>
          <w:szCs w:val="24"/>
          <w:lang w:val="en-GB"/>
        </w:rPr>
        <w:t xml:space="preserve"> for Environment and Materials of MA</w:t>
      </w:r>
      <w:r w:rsidR="00E8192F" w:rsidRPr="00BB28A0">
        <w:rPr>
          <w:rFonts w:ascii="StobiSerif Regular" w:hAnsi="StobiSerif Regular"/>
          <w:sz w:val="24"/>
          <w:szCs w:val="24"/>
          <w:lang w:val="en-GB"/>
        </w:rPr>
        <w:t>SA</w:t>
      </w:r>
      <w:r w:rsidRPr="00BB28A0">
        <w:rPr>
          <w:rFonts w:ascii="StobiSerif Regular" w:hAnsi="StobiSerif Regular"/>
          <w:sz w:val="24"/>
          <w:szCs w:val="24"/>
          <w:lang w:val="en-GB"/>
        </w:rPr>
        <w:t>, etc.</w:t>
      </w:r>
    </w:p>
    <w:p w14:paraId="26FAD015" w14:textId="3279F7B7" w:rsidR="00AF733A" w:rsidRPr="00BB28A0" w:rsidRDefault="00971F7B" w:rsidP="00055ADC">
      <w:pPr>
        <w:pStyle w:val="ListParagraph"/>
        <w:numPr>
          <w:ilvl w:val="0"/>
          <w:numId w:val="15"/>
        </w:numPr>
        <w:jc w:val="both"/>
        <w:rPr>
          <w:rFonts w:ascii="StobiSerif Regular" w:hAnsi="StobiSerif Regular"/>
          <w:sz w:val="24"/>
          <w:szCs w:val="24"/>
          <w:lang w:val="en-GB"/>
        </w:rPr>
      </w:pPr>
      <w:r w:rsidRPr="00BB28A0">
        <w:rPr>
          <w:rFonts w:ascii="StobiSerif Regular" w:hAnsi="StobiSerif Regular"/>
          <w:sz w:val="24"/>
          <w:szCs w:val="24"/>
          <w:lang w:val="en-GB"/>
        </w:rPr>
        <w:t xml:space="preserve">Health and Food </w:t>
      </w:r>
    </w:p>
    <w:p w14:paraId="4333D202" w14:textId="5D69C693" w:rsidR="00E8192F" w:rsidRPr="00BB28A0" w:rsidRDefault="00E8192F" w:rsidP="00E8192F">
      <w:pPr>
        <w:pStyle w:val="ListParagraph"/>
        <w:numPr>
          <w:ilvl w:val="1"/>
          <w:numId w:val="15"/>
        </w:numPr>
        <w:jc w:val="both"/>
        <w:rPr>
          <w:rFonts w:ascii="StobiSerif Regular" w:hAnsi="StobiSerif Regular"/>
          <w:sz w:val="24"/>
          <w:szCs w:val="24"/>
          <w:lang w:val="en-GB"/>
        </w:rPr>
      </w:pPr>
      <w:r w:rsidRPr="00BB28A0">
        <w:rPr>
          <w:rFonts w:ascii="StobiSerif Regular" w:hAnsi="StobiSerif Regular"/>
          <w:sz w:val="24"/>
          <w:szCs w:val="24"/>
          <w:lang w:val="en-GB"/>
        </w:rPr>
        <w:t xml:space="preserve">ECRIN – European Clinical Research Infrastructure Network. Potential beneficiaries: medical faculties in universities, university clinics, Research </w:t>
      </w:r>
      <w:r w:rsidR="00BB28A0" w:rsidRPr="00BB28A0">
        <w:rPr>
          <w:rFonts w:ascii="StobiSerif Regular" w:hAnsi="StobiSerif Regular"/>
          <w:sz w:val="24"/>
          <w:szCs w:val="24"/>
          <w:lang w:val="en-GB"/>
        </w:rPr>
        <w:t>Centre</w:t>
      </w:r>
      <w:r w:rsidRPr="00BB28A0">
        <w:rPr>
          <w:rFonts w:ascii="StobiSerif Regular" w:hAnsi="StobiSerif Regular"/>
          <w:sz w:val="24"/>
          <w:szCs w:val="24"/>
          <w:lang w:val="en-GB"/>
        </w:rPr>
        <w:t xml:space="preserve"> for Genetic Engineering and Biotechnology, </w:t>
      </w:r>
      <w:r w:rsidR="00BB28A0" w:rsidRPr="00BB28A0">
        <w:rPr>
          <w:rFonts w:ascii="StobiSerif Regular" w:hAnsi="StobiSerif Regular"/>
          <w:sz w:val="24"/>
          <w:szCs w:val="24"/>
          <w:lang w:val="en-GB"/>
        </w:rPr>
        <w:t>Centre</w:t>
      </w:r>
      <w:r w:rsidRPr="00BB28A0">
        <w:rPr>
          <w:rFonts w:ascii="StobiSerif Regular" w:hAnsi="StobiSerif Regular"/>
          <w:sz w:val="24"/>
          <w:szCs w:val="24"/>
          <w:lang w:val="en-GB"/>
        </w:rPr>
        <w:t xml:space="preserve"> for Public Health, etc.</w:t>
      </w:r>
    </w:p>
    <w:p w14:paraId="360C761C" w14:textId="5A48941D" w:rsidR="00E8192F" w:rsidRPr="00BB28A0" w:rsidRDefault="00E8192F" w:rsidP="00E8192F">
      <w:pPr>
        <w:pStyle w:val="ListParagraph"/>
        <w:numPr>
          <w:ilvl w:val="1"/>
          <w:numId w:val="15"/>
        </w:numPr>
        <w:jc w:val="both"/>
        <w:rPr>
          <w:rFonts w:ascii="StobiSerif Regular" w:hAnsi="StobiSerif Regular"/>
          <w:sz w:val="24"/>
          <w:szCs w:val="24"/>
          <w:lang w:val="en-GB"/>
        </w:rPr>
      </w:pPr>
      <w:r w:rsidRPr="00BB28A0">
        <w:rPr>
          <w:rFonts w:ascii="StobiSerif Regular" w:hAnsi="StobiSerif Regular"/>
          <w:sz w:val="24"/>
          <w:szCs w:val="24"/>
          <w:lang w:val="en-GB"/>
        </w:rPr>
        <w:t xml:space="preserve">ELIXIR – </w:t>
      </w:r>
      <w:r w:rsidR="00D57A5E" w:rsidRPr="00BB28A0">
        <w:rPr>
          <w:rFonts w:ascii="StobiSerif Regular" w:hAnsi="StobiSerif Regular"/>
          <w:sz w:val="24"/>
          <w:szCs w:val="24"/>
          <w:lang w:val="en-GB"/>
        </w:rPr>
        <w:t>d</w:t>
      </w:r>
      <w:r w:rsidRPr="00BB28A0">
        <w:rPr>
          <w:rFonts w:ascii="StobiSerif Regular" w:hAnsi="StobiSerif Regular"/>
          <w:sz w:val="24"/>
          <w:szCs w:val="24"/>
          <w:lang w:val="en-GB"/>
        </w:rPr>
        <w:t xml:space="preserve">istributed infrastructure for life-science information. Potential beneficiaries: medical and pharmaceutical faculties in universities, university clinics, Research </w:t>
      </w:r>
      <w:r w:rsidR="00BB28A0" w:rsidRPr="00BB28A0">
        <w:rPr>
          <w:rFonts w:ascii="StobiSerif Regular" w:hAnsi="StobiSerif Regular"/>
          <w:sz w:val="24"/>
          <w:szCs w:val="24"/>
          <w:lang w:val="en-GB"/>
        </w:rPr>
        <w:t>Centre</w:t>
      </w:r>
      <w:r w:rsidRPr="00BB28A0">
        <w:rPr>
          <w:rFonts w:ascii="StobiSerif Regular" w:hAnsi="StobiSerif Regular"/>
          <w:sz w:val="24"/>
          <w:szCs w:val="24"/>
          <w:lang w:val="en-GB"/>
        </w:rPr>
        <w:t xml:space="preserve"> for Genetic Engineering and Biotechnology, </w:t>
      </w:r>
      <w:r w:rsidR="00BB28A0" w:rsidRPr="00BB28A0">
        <w:rPr>
          <w:rFonts w:ascii="StobiSerif Regular" w:hAnsi="StobiSerif Regular"/>
          <w:sz w:val="24"/>
          <w:szCs w:val="24"/>
          <w:lang w:val="en-GB"/>
        </w:rPr>
        <w:t>Centre</w:t>
      </w:r>
      <w:r w:rsidRPr="00BB28A0">
        <w:rPr>
          <w:rFonts w:ascii="StobiSerif Regular" w:hAnsi="StobiSerif Regular"/>
          <w:sz w:val="24"/>
          <w:szCs w:val="24"/>
          <w:lang w:val="en-GB"/>
        </w:rPr>
        <w:t xml:space="preserve"> for Public Health, etc.</w:t>
      </w:r>
    </w:p>
    <w:p w14:paraId="685C8091" w14:textId="74C29972" w:rsidR="00E8192F" w:rsidRPr="00BB28A0" w:rsidRDefault="00E8192F" w:rsidP="00E8192F">
      <w:pPr>
        <w:pStyle w:val="ListParagraph"/>
        <w:numPr>
          <w:ilvl w:val="1"/>
          <w:numId w:val="15"/>
        </w:numPr>
        <w:jc w:val="both"/>
        <w:rPr>
          <w:rFonts w:ascii="StobiSerif Regular" w:hAnsi="StobiSerif Regular"/>
          <w:sz w:val="24"/>
          <w:szCs w:val="24"/>
          <w:lang w:val="en-GB"/>
        </w:rPr>
      </w:pPr>
      <w:r w:rsidRPr="00BB28A0">
        <w:rPr>
          <w:rFonts w:ascii="StobiSerif Regular" w:hAnsi="StobiSerif Regular"/>
          <w:sz w:val="24"/>
          <w:szCs w:val="24"/>
          <w:lang w:val="en-GB"/>
        </w:rPr>
        <w:t xml:space="preserve">EMPHASIS – European Infrastructure for Multi-scale Plant </w:t>
      </w:r>
      <w:proofErr w:type="spellStart"/>
      <w:r w:rsidRPr="00BB28A0">
        <w:rPr>
          <w:rFonts w:ascii="StobiSerif Regular" w:hAnsi="StobiSerif Regular"/>
          <w:sz w:val="24"/>
          <w:szCs w:val="24"/>
          <w:lang w:val="en-GB"/>
        </w:rPr>
        <w:t>Phenomics</w:t>
      </w:r>
      <w:proofErr w:type="spellEnd"/>
      <w:r w:rsidRPr="00BB28A0">
        <w:rPr>
          <w:rFonts w:ascii="StobiSerif Regular" w:hAnsi="StobiSerif Regular"/>
          <w:sz w:val="24"/>
          <w:szCs w:val="24"/>
          <w:lang w:val="en-GB"/>
        </w:rPr>
        <w:t xml:space="preserve"> and Simulation. Potential beneficiaries: faculties of natural sciences and mathematics in universities, the Research </w:t>
      </w:r>
      <w:r w:rsidR="00BB28A0" w:rsidRPr="00BB28A0">
        <w:rPr>
          <w:rFonts w:ascii="StobiSerif Regular" w:hAnsi="StobiSerif Regular"/>
          <w:sz w:val="24"/>
          <w:szCs w:val="24"/>
          <w:lang w:val="en-GB"/>
        </w:rPr>
        <w:t>Centre</w:t>
      </w:r>
      <w:r w:rsidRPr="00BB28A0">
        <w:rPr>
          <w:rFonts w:ascii="StobiSerif Regular" w:hAnsi="StobiSerif Regular"/>
          <w:sz w:val="24"/>
          <w:szCs w:val="24"/>
          <w:lang w:val="en-GB"/>
        </w:rPr>
        <w:t xml:space="preserve"> for Environment and Materials of MASA, etc.</w:t>
      </w:r>
    </w:p>
    <w:p w14:paraId="5787C076" w14:textId="77777777" w:rsidR="00E8192F" w:rsidRPr="00BB28A0" w:rsidRDefault="00E8192F" w:rsidP="00E8192F">
      <w:pPr>
        <w:pStyle w:val="ListParagraph"/>
        <w:numPr>
          <w:ilvl w:val="0"/>
          <w:numId w:val="15"/>
        </w:numPr>
        <w:jc w:val="both"/>
        <w:rPr>
          <w:rFonts w:ascii="StobiSerif Regular" w:hAnsi="StobiSerif Regular"/>
          <w:sz w:val="24"/>
          <w:szCs w:val="24"/>
          <w:lang w:val="en-GB"/>
        </w:rPr>
      </w:pPr>
      <w:r w:rsidRPr="00BB28A0">
        <w:rPr>
          <w:rFonts w:ascii="StobiSerif Regular" w:hAnsi="StobiSerif Regular"/>
          <w:sz w:val="24"/>
          <w:szCs w:val="24"/>
          <w:lang w:val="en-GB"/>
        </w:rPr>
        <w:t>Physical Sciences and Engineering</w:t>
      </w:r>
    </w:p>
    <w:p w14:paraId="72B42733" w14:textId="2C06F72C" w:rsidR="00E8192F" w:rsidRPr="00BB28A0" w:rsidRDefault="00E8192F" w:rsidP="00E8192F">
      <w:pPr>
        <w:pStyle w:val="ListParagraph"/>
        <w:numPr>
          <w:ilvl w:val="1"/>
          <w:numId w:val="15"/>
        </w:numPr>
        <w:jc w:val="both"/>
        <w:rPr>
          <w:rFonts w:ascii="StobiSerif Regular" w:hAnsi="StobiSerif Regular"/>
          <w:sz w:val="24"/>
          <w:szCs w:val="24"/>
          <w:lang w:val="en-GB"/>
        </w:rPr>
      </w:pPr>
      <w:r w:rsidRPr="00BB28A0">
        <w:rPr>
          <w:rFonts w:ascii="StobiSerif Regular" w:hAnsi="StobiSerif Regular"/>
          <w:sz w:val="24"/>
          <w:szCs w:val="24"/>
          <w:lang w:val="en-GB"/>
        </w:rPr>
        <w:t xml:space="preserve">ELI – European Laser Infrastructure. Potential beneficiaries: faculties of natural sciences and mathematics in universities, research </w:t>
      </w:r>
      <w:r w:rsidR="00BB28A0" w:rsidRPr="00BB28A0">
        <w:rPr>
          <w:rFonts w:ascii="StobiSerif Regular" w:hAnsi="StobiSerif Regular"/>
          <w:sz w:val="24"/>
          <w:szCs w:val="24"/>
          <w:lang w:val="en-GB"/>
        </w:rPr>
        <w:t>centres</w:t>
      </w:r>
      <w:r w:rsidRPr="00BB28A0">
        <w:rPr>
          <w:rFonts w:ascii="StobiSerif Regular" w:hAnsi="StobiSerif Regular"/>
          <w:sz w:val="24"/>
          <w:szCs w:val="24"/>
          <w:lang w:val="en-GB"/>
        </w:rPr>
        <w:t xml:space="preserve"> of MASA, etc.</w:t>
      </w:r>
    </w:p>
    <w:p w14:paraId="2C76808B" w14:textId="77777777" w:rsidR="00E8192F" w:rsidRPr="00BB28A0" w:rsidRDefault="00E8192F" w:rsidP="00E8192F">
      <w:pPr>
        <w:pStyle w:val="ListParagraph"/>
        <w:numPr>
          <w:ilvl w:val="0"/>
          <w:numId w:val="15"/>
        </w:numPr>
        <w:jc w:val="both"/>
        <w:rPr>
          <w:rFonts w:ascii="StobiSerif Regular" w:hAnsi="StobiSerif Regular"/>
          <w:sz w:val="24"/>
          <w:szCs w:val="24"/>
          <w:lang w:val="en-GB"/>
        </w:rPr>
      </w:pPr>
      <w:r w:rsidRPr="00BB28A0">
        <w:rPr>
          <w:rFonts w:ascii="StobiSerif Regular" w:hAnsi="StobiSerif Regular"/>
          <w:sz w:val="24"/>
          <w:szCs w:val="24"/>
          <w:lang w:val="en-GB"/>
        </w:rPr>
        <w:t xml:space="preserve">Social Sciences and Humanities </w:t>
      </w:r>
    </w:p>
    <w:p w14:paraId="7A4E4004" w14:textId="46D2ECDC" w:rsidR="00E8192F" w:rsidRPr="00BB28A0" w:rsidRDefault="00E8192F" w:rsidP="00E8192F">
      <w:pPr>
        <w:pStyle w:val="ListParagraph"/>
        <w:numPr>
          <w:ilvl w:val="1"/>
          <w:numId w:val="15"/>
        </w:numPr>
        <w:jc w:val="both"/>
        <w:rPr>
          <w:rFonts w:ascii="StobiSerif Regular" w:hAnsi="StobiSerif Regular"/>
          <w:sz w:val="24"/>
          <w:szCs w:val="24"/>
          <w:lang w:val="en-GB"/>
        </w:rPr>
      </w:pPr>
      <w:r w:rsidRPr="00BB28A0">
        <w:rPr>
          <w:rFonts w:ascii="StobiSerif Regular" w:hAnsi="StobiSerif Regular"/>
          <w:sz w:val="24"/>
          <w:szCs w:val="24"/>
          <w:lang w:val="en-GB"/>
        </w:rPr>
        <w:t xml:space="preserve">CLARIN – European Language Infrastructure. Potential beneficiaries: Faculty of Philosophy and Faculty of Philology, Institute of Macedonian Language, Lexicographic </w:t>
      </w:r>
      <w:r w:rsidR="00BB28A0" w:rsidRPr="00BB28A0">
        <w:rPr>
          <w:rFonts w:ascii="StobiSerif Regular" w:hAnsi="StobiSerif Regular"/>
          <w:sz w:val="24"/>
          <w:szCs w:val="24"/>
          <w:lang w:val="en-GB"/>
        </w:rPr>
        <w:t>Centre</w:t>
      </w:r>
      <w:r w:rsidRPr="00BB28A0">
        <w:rPr>
          <w:rFonts w:ascii="StobiSerif Regular" w:hAnsi="StobiSerif Regular"/>
          <w:sz w:val="24"/>
          <w:szCs w:val="24"/>
          <w:lang w:val="en-GB"/>
        </w:rPr>
        <w:t xml:space="preserve"> and Research </w:t>
      </w:r>
      <w:r w:rsidR="00BB28A0" w:rsidRPr="00BB28A0">
        <w:rPr>
          <w:rFonts w:ascii="StobiSerif Regular" w:hAnsi="StobiSerif Regular"/>
          <w:sz w:val="24"/>
          <w:szCs w:val="24"/>
          <w:lang w:val="en-GB"/>
        </w:rPr>
        <w:t>Centre</w:t>
      </w:r>
      <w:r w:rsidRPr="00BB28A0">
        <w:rPr>
          <w:rFonts w:ascii="StobiSerif Regular" w:hAnsi="StobiSerif Regular"/>
          <w:sz w:val="24"/>
          <w:szCs w:val="24"/>
          <w:lang w:val="en-GB"/>
        </w:rPr>
        <w:t xml:space="preserve"> for Areal Linguistics of MASA, etc. </w:t>
      </w:r>
    </w:p>
    <w:p w14:paraId="4641A15D" w14:textId="6977448E" w:rsidR="00E8192F" w:rsidRPr="00BB28A0" w:rsidRDefault="00E8192F" w:rsidP="00E8192F">
      <w:pPr>
        <w:pStyle w:val="ListParagraph"/>
        <w:numPr>
          <w:ilvl w:val="1"/>
          <w:numId w:val="15"/>
        </w:numPr>
        <w:jc w:val="both"/>
        <w:rPr>
          <w:rFonts w:ascii="StobiSerif Regular" w:hAnsi="StobiSerif Regular"/>
          <w:sz w:val="24"/>
          <w:szCs w:val="24"/>
          <w:lang w:val="en-GB"/>
        </w:rPr>
      </w:pPr>
      <w:r w:rsidRPr="00BB28A0">
        <w:rPr>
          <w:rFonts w:ascii="StobiSerif Regular" w:hAnsi="StobiSerif Regular"/>
          <w:sz w:val="24"/>
          <w:szCs w:val="24"/>
          <w:lang w:val="en-GB"/>
        </w:rPr>
        <w:t xml:space="preserve">DARIAH – Digital Research Infrastructure for the Arts and Humanities. Potential beneficiaries: faculties of arts in universities, public scientific institutions in the field of cultural heritage protection, museums, Faculty of Philosophy, Lexicographic </w:t>
      </w:r>
      <w:r w:rsidR="00BB28A0" w:rsidRPr="00BB28A0">
        <w:rPr>
          <w:rFonts w:ascii="StobiSerif Regular" w:hAnsi="StobiSerif Regular"/>
          <w:sz w:val="24"/>
          <w:szCs w:val="24"/>
          <w:lang w:val="en-GB"/>
        </w:rPr>
        <w:t>Centre</w:t>
      </w:r>
      <w:r w:rsidRPr="00BB28A0">
        <w:rPr>
          <w:rFonts w:ascii="StobiSerif Regular" w:hAnsi="StobiSerif Regular"/>
          <w:sz w:val="24"/>
          <w:szCs w:val="24"/>
          <w:lang w:val="en-GB"/>
        </w:rPr>
        <w:t xml:space="preserve"> and Research </w:t>
      </w:r>
      <w:r w:rsidR="00BB28A0" w:rsidRPr="00BB28A0">
        <w:rPr>
          <w:rFonts w:ascii="StobiSerif Regular" w:hAnsi="StobiSerif Regular"/>
          <w:sz w:val="24"/>
          <w:szCs w:val="24"/>
          <w:lang w:val="en-GB"/>
        </w:rPr>
        <w:t>Centre</w:t>
      </w:r>
      <w:r w:rsidRPr="00BB28A0">
        <w:rPr>
          <w:rFonts w:ascii="StobiSerif Regular" w:hAnsi="StobiSerif Regular"/>
          <w:sz w:val="24"/>
          <w:szCs w:val="24"/>
          <w:lang w:val="en-GB"/>
        </w:rPr>
        <w:t xml:space="preserve"> for Areal Linguistics of MASA, etc. </w:t>
      </w:r>
    </w:p>
    <w:p w14:paraId="13B7F86E" w14:textId="3F35E90B" w:rsidR="00C15ADC" w:rsidRPr="00BB28A0" w:rsidRDefault="00C15ADC" w:rsidP="00946DB9">
      <w:pPr>
        <w:pStyle w:val="ListParagraph"/>
        <w:numPr>
          <w:ilvl w:val="1"/>
          <w:numId w:val="15"/>
        </w:numPr>
        <w:jc w:val="both"/>
        <w:rPr>
          <w:rFonts w:ascii="StobiSerif Regular" w:hAnsi="StobiSerif Regular"/>
          <w:sz w:val="24"/>
          <w:szCs w:val="24"/>
          <w:lang w:val="en-GB"/>
        </w:rPr>
      </w:pPr>
      <w:r w:rsidRPr="00BB28A0">
        <w:rPr>
          <w:rFonts w:ascii="StobiSerif Regular" w:hAnsi="StobiSerif Regular"/>
          <w:sz w:val="24"/>
          <w:szCs w:val="24"/>
          <w:lang w:val="en-GB"/>
        </w:rPr>
        <w:t xml:space="preserve">ESS – European Social Survey. </w:t>
      </w:r>
      <w:r w:rsidR="00946DB9" w:rsidRPr="00BB28A0">
        <w:rPr>
          <w:rFonts w:ascii="StobiSerif Regular" w:hAnsi="StobiSerif Regular"/>
          <w:sz w:val="24"/>
          <w:szCs w:val="24"/>
          <w:lang w:val="en-GB"/>
        </w:rPr>
        <w:t xml:space="preserve">Institute for Sociological, Political and Juridical Research (ISPPI) </w:t>
      </w:r>
      <w:r w:rsidRPr="00BB28A0">
        <w:rPr>
          <w:rFonts w:ascii="StobiSerif Regular" w:hAnsi="StobiSerif Regular"/>
          <w:sz w:val="24"/>
          <w:szCs w:val="24"/>
          <w:lang w:val="en-GB"/>
        </w:rPr>
        <w:t xml:space="preserve">participated in this infrastructure, however, despite its importance, its participation is no longer possible due to a lack of funding. </w:t>
      </w:r>
    </w:p>
    <w:p w14:paraId="5540A3FF" w14:textId="1D2DAF2D" w:rsidR="00C15ADC" w:rsidRPr="00BB28A0" w:rsidRDefault="00C15ADC" w:rsidP="00C15ADC">
      <w:pPr>
        <w:pStyle w:val="ListParagraph"/>
        <w:numPr>
          <w:ilvl w:val="1"/>
          <w:numId w:val="15"/>
        </w:numPr>
        <w:jc w:val="both"/>
        <w:rPr>
          <w:rFonts w:ascii="StobiSerif Regular" w:hAnsi="StobiSerif Regular"/>
          <w:sz w:val="24"/>
          <w:szCs w:val="24"/>
          <w:lang w:val="en-GB"/>
        </w:rPr>
      </w:pPr>
      <w:r w:rsidRPr="00BB28A0">
        <w:rPr>
          <w:rFonts w:ascii="StobiSerif Regular" w:hAnsi="StobiSerif Regular"/>
          <w:sz w:val="24"/>
          <w:szCs w:val="24"/>
          <w:lang w:val="en-GB"/>
        </w:rPr>
        <w:t xml:space="preserve">OPERAS – Research Infrastructure supporting open scholarly communication in the social sciences and humanities. Potential beneficiaries: faculties of economics and law in universities, Institute of Economics, ISPPI, </w:t>
      </w:r>
      <w:r w:rsidR="00BB28A0" w:rsidRPr="00BB28A0">
        <w:rPr>
          <w:rFonts w:ascii="StobiSerif Regular" w:hAnsi="StobiSerif Regular"/>
          <w:sz w:val="24"/>
          <w:szCs w:val="24"/>
          <w:lang w:val="en-GB"/>
        </w:rPr>
        <w:t>Centre</w:t>
      </w:r>
      <w:r w:rsidRPr="00BB28A0">
        <w:rPr>
          <w:rFonts w:ascii="StobiSerif Regular" w:hAnsi="StobiSerif Regular"/>
          <w:sz w:val="24"/>
          <w:szCs w:val="24"/>
          <w:lang w:val="en-GB"/>
        </w:rPr>
        <w:t xml:space="preserve"> for Strategic Research of MASA, etc. </w:t>
      </w:r>
    </w:p>
    <w:p w14:paraId="24A7A0AE" w14:textId="40A554F7" w:rsidR="00031084" w:rsidRPr="00BB28A0" w:rsidRDefault="00031084" w:rsidP="00031084">
      <w:pPr>
        <w:jc w:val="both"/>
        <w:rPr>
          <w:rFonts w:ascii="StobiSerif Regular" w:hAnsi="StobiSerif Regular"/>
          <w:sz w:val="24"/>
          <w:szCs w:val="24"/>
          <w:lang w:val="en-GB"/>
        </w:rPr>
      </w:pPr>
      <w:r w:rsidRPr="00BB28A0">
        <w:rPr>
          <w:rFonts w:ascii="StobiSerif Regular" w:hAnsi="StobiSerif Regular"/>
          <w:sz w:val="24"/>
          <w:szCs w:val="24"/>
          <w:lang w:val="en-GB"/>
        </w:rPr>
        <w:lastRenderedPageBreak/>
        <w:t>Although it is not all-inclusive, the list above serves as a s</w:t>
      </w:r>
      <w:r w:rsidR="00946DB9" w:rsidRPr="00BB28A0">
        <w:rPr>
          <w:rFonts w:ascii="StobiSerif Regular" w:hAnsi="StobiSerif Regular"/>
          <w:sz w:val="24"/>
          <w:szCs w:val="24"/>
          <w:lang w:val="en-GB"/>
        </w:rPr>
        <w:t xml:space="preserve">tarting point </w:t>
      </w:r>
      <w:r w:rsidRPr="00BB28A0">
        <w:rPr>
          <w:rFonts w:ascii="StobiSerif Regular" w:hAnsi="StobiSerif Regular"/>
          <w:sz w:val="24"/>
          <w:szCs w:val="24"/>
          <w:lang w:val="en-GB"/>
        </w:rPr>
        <w:t>for connecting the Macedonian research community with important European research infrastructures.</w:t>
      </w:r>
    </w:p>
    <w:p w14:paraId="52F14BA3" w14:textId="182E0B28" w:rsidR="00734112" w:rsidRPr="00BB28A0" w:rsidRDefault="00734112" w:rsidP="0079633D">
      <w:pPr>
        <w:pStyle w:val="Heading1"/>
        <w:ind w:left="720"/>
        <w:rPr>
          <w:lang w:val="en-GB"/>
        </w:rPr>
      </w:pPr>
      <w:bookmarkStart w:id="6" w:name="_Hlk190683836"/>
      <w:r w:rsidRPr="00BB28A0">
        <w:rPr>
          <w:lang w:val="en-GB"/>
        </w:rPr>
        <w:t xml:space="preserve">5.8 </w:t>
      </w:r>
      <w:r w:rsidR="00C31CBE" w:rsidRPr="00BB28A0">
        <w:rPr>
          <w:lang w:val="en-GB"/>
        </w:rPr>
        <w:t>Create a national portal for research infrastructures</w:t>
      </w:r>
    </w:p>
    <w:bookmarkEnd w:id="6"/>
    <w:p w14:paraId="350EA2FF" w14:textId="77777777" w:rsidR="0052737D" w:rsidRPr="00BB28A0" w:rsidRDefault="0052737D" w:rsidP="0052737D">
      <w:pPr>
        <w:jc w:val="both"/>
        <w:rPr>
          <w:rFonts w:ascii="StobiSerif Regular" w:hAnsi="StobiSerif Regular"/>
          <w:sz w:val="24"/>
          <w:szCs w:val="24"/>
          <w:lang w:val="en-GB"/>
        </w:rPr>
      </w:pPr>
      <w:r w:rsidRPr="00BB28A0">
        <w:rPr>
          <w:rFonts w:ascii="StobiSerif Regular" w:hAnsi="StobiSerif Regular"/>
          <w:sz w:val="24"/>
          <w:szCs w:val="24"/>
          <w:lang w:val="en-GB"/>
        </w:rPr>
        <w:t>The European Union places a high value on open science because it enables free and rapid access to research data, findings and knowledge for all citizens and researches. This accelerates scientific innovation, promotes cooperation between researchers from various fields and countries, and helps to effectively address global challenges like climate change, health crises and sustainable development.</w:t>
      </w:r>
    </w:p>
    <w:p w14:paraId="28BB1574" w14:textId="77777777" w:rsidR="0052737D" w:rsidRPr="00BB28A0" w:rsidRDefault="0052737D" w:rsidP="0052737D">
      <w:pPr>
        <w:jc w:val="both"/>
        <w:rPr>
          <w:rFonts w:ascii="StobiSerif Regular" w:hAnsi="StobiSerif Regular"/>
          <w:sz w:val="24"/>
          <w:szCs w:val="24"/>
          <w:lang w:val="en-GB"/>
        </w:rPr>
      </w:pPr>
      <w:r w:rsidRPr="00BB28A0">
        <w:rPr>
          <w:rFonts w:ascii="StobiSerif Regular" w:hAnsi="StobiSerif Regular"/>
          <w:sz w:val="24"/>
          <w:szCs w:val="24"/>
          <w:lang w:val="en-GB"/>
        </w:rPr>
        <w:t>According to the most recent ESFRI methodology, the EU is creating a living registry for continuous monitoring of research infrastructures, which will also serve as a platform for businesses to learn about what academia has to offer and how they can collaborate.</w:t>
      </w:r>
    </w:p>
    <w:p w14:paraId="525AA674" w14:textId="77777777" w:rsidR="0052737D" w:rsidRPr="00BB28A0" w:rsidRDefault="0052737D" w:rsidP="0019006E">
      <w:pPr>
        <w:jc w:val="both"/>
        <w:rPr>
          <w:rFonts w:ascii="StobiSerif Regular" w:hAnsi="StobiSerif Regular"/>
          <w:sz w:val="24"/>
          <w:szCs w:val="24"/>
          <w:lang w:val="en-GB"/>
        </w:rPr>
      </w:pPr>
      <w:r w:rsidRPr="00BB28A0">
        <w:rPr>
          <w:rFonts w:ascii="StobiSerif Regular" w:hAnsi="StobiSerif Regular"/>
          <w:sz w:val="24"/>
          <w:szCs w:val="24"/>
          <w:lang w:val="en-GB"/>
        </w:rPr>
        <w:t>The National Portal for Open Research Infrastructures will include the research infrastructures, laboratories and equipment available to institutions, the utilization and usefulness of each infrastructure and the services they offer to the scientific research and business community.</w:t>
      </w:r>
    </w:p>
    <w:p w14:paraId="14CEE4E8" w14:textId="77777777" w:rsidR="006913BD" w:rsidRPr="00BB28A0" w:rsidRDefault="006913BD" w:rsidP="00842491">
      <w:pPr>
        <w:jc w:val="both"/>
        <w:rPr>
          <w:rFonts w:ascii="StobiSerif Regular" w:hAnsi="StobiSerif Regular"/>
          <w:sz w:val="24"/>
          <w:szCs w:val="24"/>
          <w:lang w:val="en-GB"/>
        </w:rPr>
      </w:pPr>
    </w:p>
    <w:p w14:paraId="112C14D2" w14:textId="77777777" w:rsidR="006913BD" w:rsidRPr="00BB28A0" w:rsidRDefault="006913BD" w:rsidP="00842491">
      <w:pPr>
        <w:jc w:val="both"/>
        <w:rPr>
          <w:rFonts w:ascii="StobiSerif Regular" w:hAnsi="StobiSerif Regular"/>
          <w:sz w:val="24"/>
          <w:szCs w:val="24"/>
          <w:lang w:val="en-GB"/>
        </w:rPr>
      </w:pPr>
    </w:p>
    <w:p w14:paraId="7C94B125" w14:textId="77777777" w:rsidR="006913BD" w:rsidRPr="00BB28A0" w:rsidRDefault="006913BD" w:rsidP="00842491">
      <w:pPr>
        <w:jc w:val="both"/>
        <w:rPr>
          <w:rFonts w:ascii="StobiSerif Regular" w:hAnsi="StobiSerif Regular"/>
          <w:sz w:val="24"/>
          <w:szCs w:val="24"/>
          <w:lang w:val="en-GB"/>
        </w:rPr>
      </w:pPr>
    </w:p>
    <w:p w14:paraId="7B3CBE38" w14:textId="77777777" w:rsidR="006913BD" w:rsidRPr="00BB28A0" w:rsidRDefault="006913BD" w:rsidP="00842491">
      <w:pPr>
        <w:jc w:val="both"/>
        <w:rPr>
          <w:rFonts w:ascii="StobiSerif Regular" w:hAnsi="StobiSerif Regular"/>
          <w:sz w:val="24"/>
          <w:szCs w:val="24"/>
          <w:lang w:val="en-GB"/>
        </w:rPr>
      </w:pPr>
    </w:p>
    <w:p w14:paraId="63EB8DEE" w14:textId="77777777" w:rsidR="006913BD" w:rsidRPr="00BB28A0" w:rsidRDefault="006913BD" w:rsidP="00842491">
      <w:pPr>
        <w:jc w:val="both"/>
        <w:rPr>
          <w:rFonts w:ascii="StobiSerif Regular" w:hAnsi="StobiSerif Regular"/>
          <w:sz w:val="24"/>
          <w:szCs w:val="24"/>
          <w:lang w:val="en-GB"/>
        </w:rPr>
      </w:pPr>
    </w:p>
    <w:p w14:paraId="22289D24" w14:textId="77777777" w:rsidR="006913BD" w:rsidRPr="00BB28A0" w:rsidRDefault="006913BD" w:rsidP="00842491">
      <w:pPr>
        <w:jc w:val="both"/>
        <w:rPr>
          <w:rFonts w:ascii="StobiSerif Regular" w:hAnsi="StobiSerif Regular"/>
          <w:sz w:val="24"/>
          <w:szCs w:val="24"/>
          <w:lang w:val="en-GB"/>
        </w:rPr>
      </w:pPr>
    </w:p>
    <w:p w14:paraId="15B5EFFF" w14:textId="77777777" w:rsidR="006913BD" w:rsidRPr="00BB28A0" w:rsidRDefault="006913BD" w:rsidP="00842491">
      <w:pPr>
        <w:jc w:val="both"/>
        <w:rPr>
          <w:rFonts w:ascii="StobiSerif Regular" w:hAnsi="StobiSerif Regular"/>
          <w:sz w:val="24"/>
          <w:szCs w:val="24"/>
          <w:lang w:val="en-GB"/>
        </w:rPr>
      </w:pPr>
    </w:p>
    <w:p w14:paraId="4837099E" w14:textId="77777777" w:rsidR="006913BD" w:rsidRPr="00BB28A0" w:rsidRDefault="006913BD" w:rsidP="00842491">
      <w:pPr>
        <w:jc w:val="both"/>
        <w:rPr>
          <w:rFonts w:ascii="StobiSerif Regular" w:hAnsi="StobiSerif Regular"/>
          <w:sz w:val="24"/>
          <w:szCs w:val="24"/>
          <w:lang w:val="en-GB"/>
        </w:rPr>
      </w:pPr>
    </w:p>
    <w:p w14:paraId="68599511" w14:textId="77777777" w:rsidR="006913BD" w:rsidRPr="00BB28A0" w:rsidRDefault="006913BD" w:rsidP="00842491">
      <w:pPr>
        <w:jc w:val="both"/>
        <w:rPr>
          <w:rFonts w:ascii="StobiSerif Regular" w:hAnsi="StobiSerif Regular"/>
          <w:sz w:val="24"/>
          <w:szCs w:val="24"/>
          <w:lang w:val="en-GB"/>
        </w:rPr>
      </w:pPr>
    </w:p>
    <w:p w14:paraId="260F58E3" w14:textId="77777777" w:rsidR="006913BD" w:rsidRPr="00BB28A0" w:rsidRDefault="006913BD" w:rsidP="00842491">
      <w:pPr>
        <w:jc w:val="both"/>
        <w:rPr>
          <w:rFonts w:ascii="StobiSerif Regular" w:hAnsi="StobiSerif Regular"/>
          <w:sz w:val="24"/>
          <w:szCs w:val="24"/>
          <w:lang w:val="en-GB"/>
        </w:rPr>
      </w:pPr>
    </w:p>
    <w:p w14:paraId="6C58D066" w14:textId="77777777" w:rsidR="006913BD" w:rsidRPr="00BB28A0" w:rsidRDefault="006913BD" w:rsidP="00842491">
      <w:pPr>
        <w:jc w:val="both"/>
        <w:rPr>
          <w:rFonts w:ascii="StobiSerif Regular" w:hAnsi="StobiSerif Regular"/>
          <w:sz w:val="24"/>
          <w:szCs w:val="24"/>
          <w:lang w:val="en-GB"/>
        </w:rPr>
      </w:pPr>
    </w:p>
    <w:p w14:paraId="65F71CF1" w14:textId="77777777" w:rsidR="00031084" w:rsidRPr="00BB28A0" w:rsidRDefault="00031084" w:rsidP="00842491">
      <w:pPr>
        <w:jc w:val="both"/>
        <w:rPr>
          <w:rFonts w:ascii="StobiSerif Regular" w:hAnsi="StobiSerif Regular"/>
          <w:sz w:val="24"/>
          <w:szCs w:val="24"/>
          <w:lang w:val="en-GB"/>
        </w:rPr>
      </w:pPr>
    </w:p>
    <w:p w14:paraId="348700B6" w14:textId="77777777" w:rsidR="00031084" w:rsidRPr="00BB28A0" w:rsidRDefault="00031084" w:rsidP="00842491">
      <w:pPr>
        <w:jc w:val="both"/>
        <w:rPr>
          <w:rFonts w:ascii="StobiSerif Regular" w:hAnsi="StobiSerif Regular"/>
          <w:sz w:val="24"/>
          <w:szCs w:val="24"/>
          <w:lang w:val="en-GB"/>
        </w:rPr>
      </w:pPr>
    </w:p>
    <w:p w14:paraId="581B9881" w14:textId="77777777" w:rsidR="00031084" w:rsidRPr="00BB28A0" w:rsidRDefault="00031084" w:rsidP="00842491">
      <w:pPr>
        <w:jc w:val="both"/>
        <w:rPr>
          <w:rFonts w:ascii="StobiSerif Regular" w:hAnsi="StobiSerif Regular"/>
          <w:sz w:val="24"/>
          <w:szCs w:val="24"/>
          <w:lang w:val="en-GB"/>
        </w:rPr>
      </w:pPr>
    </w:p>
    <w:p w14:paraId="72EE6B7B" w14:textId="77777777" w:rsidR="00031084" w:rsidRPr="00BB28A0" w:rsidRDefault="00031084" w:rsidP="00842491">
      <w:pPr>
        <w:jc w:val="both"/>
        <w:rPr>
          <w:rFonts w:ascii="StobiSerif Regular" w:hAnsi="StobiSerif Regular"/>
          <w:sz w:val="24"/>
          <w:szCs w:val="24"/>
          <w:lang w:val="en-GB"/>
        </w:rPr>
      </w:pPr>
    </w:p>
    <w:p w14:paraId="283F1FA2" w14:textId="77777777" w:rsidR="00031084" w:rsidRPr="00BB28A0" w:rsidRDefault="00031084" w:rsidP="00842491">
      <w:pPr>
        <w:jc w:val="both"/>
        <w:rPr>
          <w:rFonts w:ascii="StobiSerif Regular" w:hAnsi="StobiSerif Regular"/>
          <w:sz w:val="24"/>
          <w:szCs w:val="24"/>
          <w:lang w:val="en-GB"/>
        </w:rPr>
      </w:pPr>
    </w:p>
    <w:p w14:paraId="2FA000B7" w14:textId="77777777" w:rsidR="00031084" w:rsidRPr="00BB28A0" w:rsidRDefault="00031084" w:rsidP="00842491">
      <w:pPr>
        <w:jc w:val="both"/>
        <w:rPr>
          <w:rFonts w:ascii="StobiSerif Regular" w:hAnsi="StobiSerif Regular"/>
          <w:sz w:val="24"/>
          <w:szCs w:val="24"/>
          <w:lang w:val="en-GB"/>
        </w:rPr>
      </w:pPr>
    </w:p>
    <w:p w14:paraId="2C2CE28F" w14:textId="77777777" w:rsidR="0052737D" w:rsidRPr="00BB28A0" w:rsidRDefault="0052737D" w:rsidP="00842491">
      <w:pPr>
        <w:jc w:val="both"/>
        <w:rPr>
          <w:rFonts w:ascii="StobiSerif Regular" w:hAnsi="StobiSerif Regular"/>
          <w:sz w:val="24"/>
          <w:szCs w:val="24"/>
          <w:lang w:val="en-GB"/>
        </w:rPr>
      </w:pPr>
    </w:p>
    <w:p w14:paraId="0B5669B8" w14:textId="77777777" w:rsidR="0052737D" w:rsidRPr="00BB28A0" w:rsidRDefault="0052737D" w:rsidP="00842491">
      <w:pPr>
        <w:jc w:val="both"/>
        <w:rPr>
          <w:rFonts w:ascii="StobiSerif Regular" w:hAnsi="StobiSerif Regular"/>
          <w:sz w:val="24"/>
          <w:szCs w:val="24"/>
          <w:lang w:val="en-GB"/>
        </w:rPr>
      </w:pPr>
    </w:p>
    <w:p w14:paraId="184165F7" w14:textId="451DC5AA" w:rsidR="0052737D" w:rsidRPr="00BB28A0" w:rsidRDefault="00330A4A" w:rsidP="0052737D">
      <w:pPr>
        <w:jc w:val="both"/>
        <w:rPr>
          <w:rFonts w:ascii="StobiSerif Regular" w:hAnsi="StobiSerif Regular"/>
          <w:sz w:val="24"/>
          <w:szCs w:val="24"/>
          <w:lang w:val="en-GB"/>
        </w:rPr>
      </w:pPr>
      <w:r w:rsidRPr="00BB28A0">
        <w:rPr>
          <w:rFonts w:ascii="StobiSerif Regular" w:hAnsi="StobiSerif Regular"/>
          <w:sz w:val="24"/>
          <w:szCs w:val="24"/>
          <w:lang w:val="en-GB"/>
        </w:rPr>
        <w:lastRenderedPageBreak/>
        <w:t>Appendix</w:t>
      </w:r>
      <w:r w:rsidR="0052737D" w:rsidRPr="00BB28A0">
        <w:rPr>
          <w:rFonts w:ascii="StobiSerif Regular" w:hAnsi="StobiSerif Regular"/>
          <w:sz w:val="24"/>
          <w:szCs w:val="24"/>
          <w:lang w:val="en-GB"/>
        </w:rPr>
        <w:t xml:space="preserve"> 2</w:t>
      </w:r>
    </w:p>
    <w:p w14:paraId="24E286BB" w14:textId="77777777" w:rsidR="0052737D" w:rsidRPr="00BB28A0" w:rsidRDefault="0052737D" w:rsidP="0052737D">
      <w:pPr>
        <w:jc w:val="both"/>
        <w:rPr>
          <w:rFonts w:ascii="StobiSerif Regular" w:hAnsi="StobiSerif Regular"/>
          <w:sz w:val="24"/>
          <w:szCs w:val="24"/>
          <w:lang w:val="en-GB"/>
        </w:rPr>
      </w:pPr>
      <w:r w:rsidRPr="00BB28A0">
        <w:rPr>
          <w:rFonts w:ascii="StobiSerif Regular" w:hAnsi="StobiSerif Regular"/>
          <w:sz w:val="24"/>
          <w:szCs w:val="24"/>
          <w:lang w:val="en-GB"/>
        </w:rPr>
        <w:t>SURVEY QUESTIONNAIRE</w:t>
      </w:r>
    </w:p>
    <w:p w14:paraId="7182C959" w14:textId="5D957C28" w:rsidR="00804C7B" w:rsidRPr="00BB28A0" w:rsidRDefault="00804C7B" w:rsidP="00804C7B">
      <w:pPr>
        <w:jc w:val="both"/>
        <w:rPr>
          <w:rFonts w:ascii="StobiSerif Regular" w:hAnsi="StobiSerif Regular"/>
          <w:lang w:val="en-GB"/>
        </w:rPr>
      </w:pPr>
      <w:bookmarkStart w:id="7" w:name="_Toc63103368"/>
      <w:r w:rsidRPr="00BB28A0">
        <w:rPr>
          <w:rFonts w:ascii="StobiSerif Regular" w:hAnsi="StobiSerif Regular"/>
          <w:lang w:val="en-GB"/>
        </w:rPr>
        <w:t xml:space="preserve">This survey questionnaire contains several sets of questions that serve as an input for the identification and evaluation of research infrastructures potential in the Republic of North Macedonia. The aim of the questionnaire is to revise the mapped research infrastructure as an indispensable step in the process of revising the Research Infrastructure (RI) Roadmap. </w:t>
      </w:r>
    </w:p>
    <w:p w14:paraId="654AC956" w14:textId="77777777" w:rsidR="00804C7B" w:rsidRPr="00BB28A0" w:rsidRDefault="00804C7B" w:rsidP="00804C7B">
      <w:pPr>
        <w:jc w:val="both"/>
        <w:rPr>
          <w:rFonts w:ascii="StobiSerif Regular" w:hAnsi="StobiSerif Regular"/>
          <w:lang w:val="en-GB"/>
        </w:rPr>
      </w:pPr>
      <w:r w:rsidRPr="00BB28A0">
        <w:rPr>
          <w:rFonts w:ascii="StobiSerif Regular" w:hAnsi="StobiSerif Regular"/>
          <w:lang w:val="en-GB"/>
        </w:rPr>
        <w:t xml:space="preserve">According to the definition of European Commission, Research Infrastructures (RI) are facilities that provide resources and services for research communities to conduct research and foster innovation. They include: </w:t>
      </w:r>
    </w:p>
    <w:p w14:paraId="2E9956BA" w14:textId="77777777" w:rsidR="00804C7B" w:rsidRPr="00BB28A0" w:rsidRDefault="00804C7B" w:rsidP="00804C7B">
      <w:pPr>
        <w:numPr>
          <w:ilvl w:val="0"/>
          <w:numId w:val="11"/>
        </w:numPr>
        <w:jc w:val="both"/>
        <w:rPr>
          <w:rFonts w:ascii="StobiSerif Regular" w:hAnsi="StobiSerif Regular"/>
          <w:lang w:val="en-GB"/>
        </w:rPr>
      </w:pPr>
      <w:r w:rsidRPr="00BB28A0">
        <w:rPr>
          <w:rFonts w:ascii="StobiSerif Regular" w:hAnsi="StobiSerif Regular"/>
          <w:lang w:val="en-GB"/>
        </w:rPr>
        <w:t xml:space="preserve">major scientific equipment or sets of instruments; </w:t>
      </w:r>
    </w:p>
    <w:p w14:paraId="4BA0DE9C" w14:textId="77777777" w:rsidR="00804C7B" w:rsidRPr="00BB28A0" w:rsidRDefault="00804C7B" w:rsidP="00804C7B">
      <w:pPr>
        <w:numPr>
          <w:ilvl w:val="0"/>
          <w:numId w:val="11"/>
        </w:numPr>
        <w:jc w:val="both"/>
        <w:rPr>
          <w:rFonts w:ascii="StobiSerif Regular" w:hAnsi="StobiSerif Regular"/>
          <w:lang w:val="en-GB"/>
        </w:rPr>
      </w:pPr>
      <w:r w:rsidRPr="00BB28A0">
        <w:rPr>
          <w:rFonts w:ascii="StobiSerif Regular" w:hAnsi="StobiSerif Regular"/>
          <w:lang w:val="en-GB"/>
        </w:rPr>
        <w:t>collections, archives or scientific data;</w:t>
      </w:r>
    </w:p>
    <w:p w14:paraId="7588D39F" w14:textId="77777777" w:rsidR="00804C7B" w:rsidRPr="00BB28A0" w:rsidRDefault="00804C7B" w:rsidP="00804C7B">
      <w:pPr>
        <w:numPr>
          <w:ilvl w:val="0"/>
          <w:numId w:val="11"/>
        </w:numPr>
        <w:jc w:val="both"/>
        <w:rPr>
          <w:rFonts w:ascii="StobiSerif Regular" w:hAnsi="StobiSerif Regular"/>
          <w:lang w:val="en-GB"/>
        </w:rPr>
      </w:pPr>
      <w:r w:rsidRPr="00BB28A0">
        <w:rPr>
          <w:rFonts w:ascii="StobiSerif Regular" w:hAnsi="StobiSerif Regular"/>
          <w:lang w:val="en-GB"/>
        </w:rPr>
        <w:t xml:space="preserve">computing systems and communication networks; </w:t>
      </w:r>
    </w:p>
    <w:p w14:paraId="422BDEA3" w14:textId="77777777" w:rsidR="00804C7B" w:rsidRPr="00BB28A0" w:rsidRDefault="00804C7B" w:rsidP="00804C7B">
      <w:pPr>
        <w:numPr>
          <w:ilvl w:val="0"/>
          <w:numId w:val="11"/>
        </w:numPr>
        <w:jc w:val="both"/>
        <w:rPr>
          <w:rFonts w:ascii="StobiSerif Regular" w:hAnsi="StobiSerif Regular"/>
          <w:lang w:val="en-GB"/>
        </w:rPr>
      </w:pPr>
      <w:r w:rsidRPr="00BB28A0">
        <w:rPr>
          <w:rFonts w:ascii="StobiSerif Regular" w:hAnsi="StobiSerif Regular"/>
          <w:lang w:val="en-GB"/>
        </w:rPr>
        <w:t xml:space="preserve">any other research and innovation infrastructure of a unique nature which is open to external users. </w:t>
      </w:r>
    </w:p>
    <w:p w14:paraId="43A44CFA" w14:textId="77777777" w:rsidR="00804C7B" w:rsidRPr="00BB28A0" w:rsidRDefault="00804C7B" w:rsidP="00804C7B">
      <w:pPr>
        <w:jc w:val="both"/>
        <w:rPr>
          <w:rFonts w:ascii="StobiSerif Regular" w:hAnsi="StobiSerif Regular"/>
          <w:lang w:val="en-GB"/>
        </w:rPr>
      </w:pPr>
      <w:r w:rsidRPr="00BB28A0">
        <w:rPr>
          <w:rFonts w:ascii="StobiSerif Regular" w:hAnsi="StobiSerif Regular"/>
          <w:lang w:val="en-GB"/>
        </w:rPr>
        <w:t>Research infrastructures can be centralised, that is, based in a single location. They can also be distributed or virtual, and can form mutually complementary wholes and networks.</w:t>
      </w:r>
    </w:p>
    <w:p w14:paraId="556A8F3F" w14:textId="5C0D6FF1" w:rsidR="00804C7B" w:rsidRPr="00BB28A0" w:rsidRDefault="00804C7B" w:rsidP="00804C7B">
      <w:pPr>
        <w:jc w:val="both"/>
        <w:rPr>
          <w:rFonts w:ascii="StobiSerif Regular" w:hAnsi="StobiSerif Regular"/>
          <w:lang w:val="en-GB"/>
        </w:rPr>
      </w:pPr>
      <w:r w:rsidRPr="00BB28A0">
        <w:rPr>
          <w:rFonts w:ascii="StobiSerif Regular" w:hAnsi="StobiSerif Regular"/>
          <w:lang w:val="en-GB"/>
        </w:rPr>
        <w:t>Please note that the questionnaire is designed for research centres, laboratories and departments operating within public and private organisations (universities and faculties, public and private research institutes) accredited for research and innovation.</w:t>
      </w:r>
      <w:r w:rsidR="00FC0535" w:rsidRPr="00BB28A0">
        <w:rPr>
          <w:rFonts w:ascii="StobiSerif Regular" w:hAnsi="StobiSerif Regular"/>
          <w:lang w:val="en-GB"/>
        </w:rPr>
        <w:t xml:space="preserve"> If your institution has more than one research infrastructure, please complete the questionnaire for each infrastructure individually entering all data and descriptions for the specific infrastructure that is the subject of the questionnaire!</w:t>
      </w:r>
      <w:r w:rsidRPr="00BB28A0">
        <w:rPr>
          <w:rFonts w:ascii="StobiSerif Regular" w:hAnsi="StobiSerif Regular"/>
          <w:lang w:val="en-GB"/>
        </w:rPr>
        <w:t xml:space="preserve"> </w:t>
      </w:r>
    </w:p>
    <w:p w14:paraId="098441EF" w14:textId="77777777" w:rsidR="006B1DF2" w:rsidRPr="00BB28A0" w:rsidRDefault="006B1DF2" w:rsidP="006B1DF2">
      <w:pPr>
        <w:rPr>
          <w:rFonts w:ascii="StobiSerif Regular" w:hAnsi="StobiSerif Regular"/>
          <w:lang w:val="en-GB"/>
        </w:rPr>
      </w:pPr>
    </w:p>
    <w:p w14:paraId="31E22533" w14:textId="2BDDAB6A" w:rsidR="006B1DF2" w:rsidRPr="00BB28A0" w:rsidRDefault="006B1DF2" w:rsidP="006B1DF2">
      <w:pPr>
        <w:rPr>
          <w:rFonts w:ascii="StobiSerif Regular" w:hAnsi="StobiSerif Regular"/>
          <w:b/>
          <w:lang w:val="en-GB"/>
        </w:rPr>
      </w:pPr>
      <w:r w:rsidRPr="00BB28A0">
        <w:rPr>
          <w:rFonts w:ascii="StobiSerif Regular" w:hAnsi="StobiSerif Regular"/>
          <w:b/>
          <w:lang w:val="en-GB"/>
        </w:rPr>
        <w:t xml:space="preserve">1. </w:t>
      </w:r>
      <w:r w:rsidR="00512BF2" w:rsidRPr="00BB28A0">
        <w:rPr>
          <w:rFonts w:ascii="StobiSerif Regular" w:hAnsi="StobiSerif Regular"/>
          <w:b/>
          <w:lang w:val="en-GB"/>
        </w:rPr>
        <w:t>General information</w:t>
      </w:r>
    </w:p>
    <w:p w14:paraId="4BB9D1EB" w14:textId="165E6207" w:rsidR="006B1DF2" w:rsidRPr="00BB28A0" w:rsidRDefault="006B1DF2" w:rsidP="006B1DF2">
      <w:pPr>
        <w:rPr>
          <w:rFonts w:ascii="StobiSerif Regular" w:hAnsi="StobiSerif Regular"/>
          <w:b/>
          <w:lang w:val="en-GB"/>
        </w:rPr>
      </w:pPr>
      <w:r w:rsidRPr="00BB28A0">
        <w:rPr>
          <w:rFonts w:ascii="StobiSerif Regular" w:hAnsi="StobiSerif Regular"/>
          <w:b/>
          <w:lang w:val="en-GB"/>
        </w:rPr>
        <w:t xml:space="preserve">1.1. </w:t>
      </w:r>
      <w:r w:rsidR="00512BF2" w:rsidRPr="00BB28A0">
        <w:rPr>
          <w:rFonts w:ascii="StobiSerif Regular" w:hAnsi="StobiSerif Regular"/>
          <w:b/>
          <w:lang w:val="en-GB"/>
        </w:rPr>
        <w:t>Data about respondent</w:t>
      </w:r>
      <w:r w:rsidRPr="00BB28A0">
        <w:rPr>
          <w:rFonts w:ascii="StobiSerif Regular" w:hAnsi="StobiSerif Regular"/>
          <w:b/>
          <w:lang w:val="en-GB"/>
        </w:rPr>
        <w:t xml:space="preserve"> </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526"/>
        <w:gridCol w:w="4479"/>
      </w:tblGrid>
      <w:tr w:rsidR="00512BF2" w:rsidRPr="00BB28A0" w14:paraId="362338C0" w14:textId="77777777" w:rsidTr="002C5EDB">
        <w:trPr>
          <w:trHeight w:val="155"/>
          <w:jc w:val="center"/>
        </w:trPr>
        <w:tc>
          <w:tcPr>
            <w:tcW w:w="2513" w:type="pct"/>
          </w:tcPr>
          <w:p w14:paraId="32B70DA5" w14:textId="2217808F" w:rsidR="00512BF2" w:rsidRPr="00BB28A0" w:rsidRDefault="00512BF2" w:rsidP="00512BF2">
            <w:pPr>
              <w:rPr>
                <w:rFonts w:ascii="Times New Roman" w:hAnsi="Times New Roman" w:cs="Times New Roman"/>
                <w:lang w:val="en-GB"/>
              </w:rPr>
            </w:pPr>
            <w:r w:rsidRPr="00BB28A0">
              <w:rPr>
                <w:rFonts w:ascii="Times New Roman" w:hAnsi="Times New Roman" w:cs="Times New Roman"/>
                <w:lang w:val="en-GB"/>
              </w:rPr>
              <w:t>Full name</w:t>
            </w:r>
          </w:p>
        </w:tc>
        <w:tc>
          <w:tcPr>
            <w:tcW w:w="2487" w:type="pct"/>
          </w:tcPr>
          <w:p w14:paraId="339354A6" w14:textId="77777777" w:rsidR="00512BF2" w:rsidRPr="00BB28A0" w:rsidRDefault="00512BF2" w:rsidP="00512BF2">
            <w:pPr>
              <w:rPr>
                <w:rFonts w:ascii="Times New Roman" w:hAnsi="Times New Roman" w:cs="Times New Roman"/>
                <w:lang w:val="en-GB"/>
              </w:rPr>
            </w:pPr>
          </w:p>
        </w:tc>
      </w:tr>
      <w:tr w:rsidR="00512BF2" w:rsidRPr="00BB28A0" w14:paraId="7472CBB9" w14:textId="77777777" w:rsidTr="002C5EDB">
        <w:trPr>
          <w:trHeight w:val="155"/>
          <w:jc w:val="center"/>
        </w:trPr>
        <w:tc>
          <w:tcPr>
            <w:tcW w:w="2513" w:type="pct"/>
          </w:tcPr>
          <w:p w14:paraId="0044EC6E" w14:textId="299E1342" w:rsidR="00512BF2" w:rsidRPr="00BB28A0" w:rsidRDefault="00512BF2" w:rsidP="00512BF2">
            <w:pPr>
              <w:rPr>
                <w:rFonts w:ascii="Times New Roman" w:hAnsi="Times New Roman" w:cs="Times New Roman"/>
                <w:lang w:val="en-GB"/>
              </w:rPr>
            </w:pPr>
            <w:r w:rsidRPr="00BB28A0">
              <w:rPr>
                <w:rFonts w:ascii="Times New Roman" w:hAnsi="Times New Roman" w:cs="Times New Roman"/>
                <w:lang w:val="en-GB"/>
              </w:rPr>
              <w:t>Name of your institution</w:t>
            </w:r>
          </w:p>
        </w:tc>
        <w:tc>
          <w:tcPr>
            <w:tcW w:w="2487" w:type="pct"/>
          </w:tcPr>
          <w:p w14:paraId="6F2EE0CB" w14:textId="77777777" w:rsidR="00512BF2" w:rsidRPr="00BB28A0" w:rsidRDefault="00512BF2" w:rsidP="00512BF2">
            <w:pPr>
              <w:rPr>
                <w:rFonts w:ascii="Times New Roman" w:hAnsi="Times New Roman" w:cs="Times New Roman"/>
                <w:lang w:val="en-GB"/>
              </w:rPr>
            </w:pPr>
          </w:p>
        </w:tc>
      </w:tr>
      <w:tr w:rsidR="00512BF2" w:rsidRPr="00BB28A0" w14:paraId="73F769B0" w14:textId="77777777" w:rsidTr="002C5EDB">
        <w:trPr>
          <w:trHeight w:val="155"/>
          <w:jc w:val="center"/>
        </w:trPr>
        <w:tc>
          <w:tcPr>
            <w:tcW w:w="2513" w:type="pct"/>
          </w:tcPr>
          <w:p w14:paraId="72FE69B8" w14:textId="5C792772" w:rsidR="00512BF2" w:rsidRPr="00BB28A0" w:rsidRDefault="00512BF2" w:rsidP="00512BF2">
            <w:pPr>
              <w:rPr>
                <w:rFonts w:ascii="Times New Roman" w:hAnsi="Times New Roman" w:cs="Times New Roman"/>
                <w:lang w:val="en-GB"/>
              </w:rPr>
            </w:pPr>
            <w:r w:rsidRPr="00BB28A0">
              <w:rPr>
                <w:rFonts w:ascii="Times New Roman" w:hAnsi="Times New Roman" w:cs="Times New Roman"/>
                <w:lang w:val="en-GB"/>
              </w:rPr>
              <w:t>Institution’s address</w:t>
            </w:r>
          </w:p>
        </w:tc>
        <w:tc>
          <w:tcPr>
            <w:tcW w:w="2487" w:type="pct"/>
          </w:tcPr>
          <w:p w14:paraId="252ABF3E" w14:textId="77777777" w:rsidR="00512BF2" w:rsidRPr="00BB28A0" w:rsidRDefault="00512BF2" w:rsidP="00512BF2">
            <w:pPr>
              <w:rPr>
                <w:rFonts w:ascii="Times New Roman" w:hAnsi="Times New Roman" w:cs="Times New Roman"/>
                <w:lang w:val="en-GB"/>
              </w:rPr>
            </w:pPr>
          </w:p>
        </w:tc>
      </w:tr>
      <w:tr w:rsidR="00512BF2" w:rsidRPr="00BB28A0" w14:paraId="4F6437F0" w14:textId="77777777" w:rsidTr="002C5EDB">
        <w:trPr>
          <w:trHeight w:val="155"/>
          <w:jc w:val="center"/>
        </w:trPr>
        <w:tc>
          <w:tcPr>
            <w:tcW w:w="2513" w:type="pct"/>
          </w:tcPr>
          <w:p w14:paraId="759E7FAB" w14:textId="1093D0A9" w:rsidR="00512BF2" w:rsidRPr="00BB28A0" w:rsidRDefault="00512BF2" w:rsidP="00512BF2">
            <w:pPr>
              <w:rPr>
                <w:rFonts w:ascii="Times New Roman" w:hAnsi="Times New Roman" w:cs="Times New Roman"/>
                <w:lang w:val="en-GB"/>
              </w:rPr>
            </w:pPr>
            <w:r w:rsidRPr="00BB28A0">
              <w:rPr>
                <w:rFonts w:ascii="Times New Roman" w:hAnsi="Times New Roman" w:cs="Times New Roman"/>
                <w:lang w:val="en-GB"/>
              </w:rPr>
              <w:t>Your position in the institution</w:t>
            </w:r>
          </w:p>
        </w:tc>
        <w:tc>
          <w:tcPr>
            <w:tcW w:w="2487" w:type="pct"/>
          </w:tcPr>
          <w:p w14:paraId="5C94B157" w14:textId="77777777" w:rsidR="00512BF2" w:rsidRPr="00BB28A0" w:rsidRDefault="00512BF2" w:rsidP="00512BF2">
            <w:pPr>
              <w:rPr>
                <w:rFonts w:ascii="Times New Roman" w:hAnsi="Times New Roman" w:cs="Times New Roman"/>
                <w:lang w:val="en-GB"/>
              </w:rPr>
            </w:pPr>
          </w:p>
        </w:tc>
      </w:tr>
      <w:tr w:rsidR="00512BF2" w:rsidRPr="00BB28A0" w14:paraId="38C0921B" w14:textId="77777777" w:rsidTr="002C5EDB">
        <w:trPr>
          <w:trHeight w:val="155"/>
          <w:jc w:val="center"/>
        </w:trPr>
        <w:tc>
          <w:tcPr>
            <w:tcW w:w="2513" w:type="pct"/>
          </w:tcPr>
          <w:p w14:paraId="52C2CA27" w14:textId="74F0531B" w:rsidR="00512BF2" w:rsidRPr="00BB28A0" w:rsidRDefault="00512BF2" w:rsidP="00512BF2">
            <w:pPr>
              <w:rPr>
                <w:rFonts w:ascii="Times New Roman" w:hAnsi="Times New Roman" w:cs="Times New Roman"/>
                <w:lang w:val="en-GB"/>
              </w:rPr>
            </w:pPr>
            <w:r w:rsidRPr="00BB28A0">
              <w:rPr>
                <w:rFonts w:ascii="Times New Roman" w:hAnsi="Times New Roman" w:cs="Times New Roman"/>
                <w:lang w:val="en-GB"/>
              </w:rPr>
              <w:t>Your email address</w:t>
            </w:r>
          </w:p>
        </w:tc>
        <w:tc>
          <w:tcPr>
            <w:tcW w:w="2487" w:type="pct"/>
          </w:tcPr>
          <w:p w14:paraId="15D21D73" w14:textId="77777777" w:rsidR="00512BF2" w:rsidRPr="00BB28A0" w:rsidRDefault="00512BF2" w:rsidP="00512BF2">
            <w:pPr>
              <w:rPr>
                <w:rFonts w:ascii="Times New Roman" w:hAnsi="Times New Roman" w:cs="Times New Roman"/>
                <w:lang w:val="en-GB"/>
              </w:rPr>
            </w:pPr>
          </w:p>
        </w:tc>
      </w:tr>
      <w:tr w:rsidR="00512BF2" w:rsidRPr="00BB28A0" w14:paraId="6B4D72D2" w14:textId="77777777" w:rsidTr="002C5EDB">
        <w:trPr>
          <w:trHeight w:val="155"/>
          <w:jc w:val="center"/>
        </w:trPr>
        <w:tc>
          <w:tcPr>
            <w:tcW w:w="2513" w:type="pct"/>
          </w:tcPr>
          <w:p w14:paraId="4EB1DAAB" w14:textId="23AB4414" w:rsidR="00512BF2" w:rsidRPr="00BB28A0" w:rsidRDefault="00512BF2" w:rsidP="00512BF2">
            <w:pPr>
              <w:rPr>
                <w:rFonts w:ascii="Times New Roman" w:hAnsi="Times New Roman" w:cs="Times New Roman"/>
                <w:lang w:val="en-GB"/>
              </w:rPr>
            </w:pPr>
            <w:r w:rsidRPr="00BB28A0">
              <w:rPr>
                <w:rFonts w:ascii="Times New Roman" w:hAnsi="Times New Roman" w:cs="Times New Roman"/>
                <w:lang w:val="en-GB"/>
              </w:rPr>
              <w:t>Institution's website address</w:t>
            </w:r>
          </w:p>
        </w:tc>
        <w:tc>
          <w:tcPr>
            <w:tcW w:w="2487" w:type="pct"/>
          </w:tcPr>
          <w:p w14:paraId="181EA931" w14:textId="77777777" w:rsidR="00512BF2" w:rsidRPr="00BB28A0" w:rsidRDefault="00512BF2" w:rsidP="00512BF2">
            <w:pPr>
              <w:rPr>
                <w:rFonts w:ascii="Times New Roman" w:hAnsi="Times New Roman" w:cs="Times New Roman"/>
                <w:lang w:val="en-GB"/>
              </w:rPr>
            </w:pPr>
          </w:p>
        </w:tc>
      </w:tr>
    </w:tbl>
    <w:p w14:paraId="40B4162D" w14:textId="77777777" w:rsidR="00EE05A9" w:rsidRPr="00BB28A0" w:rsidRDefault="00EE05A9" w:rsidP="00512BF2">
      <w:pPr>
        <w:rPr>
          <w:rFonts w:ascii="Times New Roman" w:hAnsi="Times New Roman" w:cs="Times New Roman"/>
          <w:b/>
          <w:lang w:val="en-GB"/>
        </w:rPr>
      </w:pPr>
    </w:p>
    <w:p w14:paraId="016CD70A" w14:textId="273BEB06" w:rsidR="00512BF2" w:rsidRPr="00BB28A0" w:rsidRDefault="006B1DF2" w:rsidP="00512BF2">
      <w:pPr>
        <w:rPr>
          <w:rFonts w:ascii="Times New Roman" w:hAnsi="Times New Roman" w:cs="Times New Roman"/>
          <w:b/>
          <w:lang w:val="en-GB"/>
        </w:rPr>
      </w:pPr>
      <w:r w:rsidRPr="00BB28A0">
        <w:rPr>
          <w:rFonts w:ascii="Times New Roman" w:hAnsi="Times New Roman" w:cs="Times New Roman"/>
          <w:b/>
          <w:lang w:val="en-GB"/>
        </w:rPr>
        <w:t xml:space="preserve">1.2. </w:t>
      </w:r>
      <w:r w:rsidR="00512BF2" w:rsidRPr="00BB28A0">
        <w:rPr>
          <w:rFonts w:ascii="Times New Roman" w:hAnsi="Times New Roman" w:cs="Times New Roman"/>
          <w:b/>
          <w:lang w:val="en-GB"/>
        </w:rPr>
        <w:t>General information about research infrastructure or important research equipment and facilities</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525"/>
        <w:gridCol w:w="2409"/>
        <w:gridCol w:w="2069"/>
      </w:tblGrid>
      <w:tr w:rsidR="00512BF2" w:rsidRPr="00BB28A0" w14:paraId="0BBBC800" w14:textId="77777777" w:rsidTr="00E35AF9">
        <w:trPr>
          <w:jc w:val="center"/>
        </w:trPr>
        <w:tc>
          <w:tcPr>
            <w:tcW w:w="2513" w:type="pct"/>
            <w:tcBorders>
              <w:top w:val="single" w:sz="6" w:space="0" w:color="auto"/>
              <w:left w:val="single" w:sz="6" w:space="0" w:color="auto"/>
              <w:bottom w:val="single" w:sz="6" w:space="0" w:color="auto"/>
              <w:right w:val="single" w:sz="6" w:space="0" w:color="auto"/>
            </w:tcBorders>
          </w:tcPr>
          <w:p w14:paraId="74B9422E" w14:textId="77777777" w:rsidR="00512BF2" w:rsidRPr="00BB28A0" w:rsidRDefault="00512BF2" w:rsidP="00512BF2">
            <w:pPr>
              <w:rPr>
                <w:rFonts w:ascii="Times New Roman" w:hAnsi="Times New Roman" w:cs="Times New Roman"/>
                <w:lang w:val="en-GB"/>
              </w:rPr>
            </w:pPr>
            <w:r w:rsidRPr="00BB28A0">
              <w:rPr>
                <w:rFonts w:ascii="Times New Roman" w:hAnsi="Times New Roman" w:cs="Times New Roman"/>
                <w:lang w:val="en-GB"/>
              </w:rPr>
              <w:t>Name of research infrastructure</w:t>
            </w:r>
          </w:p>
        </w:tc>
        <w:tc>
          <w:tcPr>
            <w:tcW w:w="2487" w:type="pct"/>
            <w:gridSpan w:val="2"/>
            <w:tcBorders>
              <w:top w:val="single" w:sz="6" w:space="0" w:color="auto"/>
              <w:left w:val="single" w:sz="6" w:space="0" w:color="auto"/>
              <w:bottom w:val="single" w:sz="6" w:space="0" w:color="auto"/>
              <w:right w:val="single" w:sz="6" w:space="0" w:color="auto"/>
            </w:tcBorders>
          </w:tcPr>
          <w:p w14:paraId="022CCCDC" w14:textId="77777777" w:rsidR="00512BF2" w:rsidRPr="00BB28A0" w:rsidRDefault="00512BF2" w:rsidP="00512BF2">
            <w:pPr>
              <w:rPr>
                <w:rFonts w:ascii="Times New Roman" w:hAnsi="Times New Roman" w:cs="Times New Roman"/>
                <w:lang w:val="en-GB"/>
              </w:rPr>
            </w:pPr>
          </w:p>
        </w:tc>
      </w:tr>
      <w:tr w:rsidR="00512BF2" w:rsidRPr="00BB28A0" w14:paraId="03866E81" w14:textId="77777777" w:rsidTr="00E35AF9">
        <w:trPr>
          <w:jc w:val="center"/>
        </w:trPr>
        <w:tc>
          <w:tcPr>
            <w:tcW w:w="2513" w:type="pct"/>
            <w:tcBorders>
              <w:top w:val="single" w:sz="6" w:space="0" w:color="auto"/>
              <w:left w:val="single" w:sz="6" w:space="0" w:color="auto"/>
              <w:bottom w:val="single" w:sz="6" w:space="0" w:color="auto"/>
              <w:right w:val="single" w:sz="6" w:space="0" w:color="auto"/>
            </w:tcBorders>
          </w:tcPr>
          <w:p w14:paraId="3DF464B2" w14:textId="77777777" w:rsidR="00512BF2" w:rsidRPr="00BB28A0" w:rsidRDefault="00512BF2" w:rsidP="00512BF2">
            <w:pPr>
              <w:rPr>
                <w:rFonts w:ascii="Times New Roman" w:hAnsi="Times New Roman" w:cs="Times New Roman"/>
                <w:lang w:val="en-GB"/>
              </w:rPr>
            </w:pPr>
            <w:r w:rsidRPr="00BB28A0">
              <w:rPr>
                <w:rFonts w:ascii="Times New Roman" w:hAnsi="Times New Roman" w:cs="Times New Roman"/>
                <w:lang w:val="en-GB"/>
              </w:rPr>
              <w:t>Host institution</w:t>
            </w:r>
          </w:p>
        </w:tc>
        <w:tc>
          <w:tcPr>
            <w:tcW w:w="2487" w:type="pct"/>
            <w:gridSpan w:val="2"/>
            <w:tcBorders>
              <w:top w:val="single" w:sz="6" w:space="0" w:color="auto"/>
              <w:left w:val="single" w:sz="6" w:space="0" w:color="auto"/>
              <w:bottom w:val="single" w:sz="6" w:space="0" w:color="auto"/>
              <w:right w:val="single" w:sz="6" w:space="0" w:color="auto"/>
            </w:tcBorders>
          </w:tcPr>
          <w:p w14:paraId="63C7D014" w14:textId="77777777" w:rsidR="00512BF2" w:rsidRPr="00BB28A0" w:rsidRDefault="00512BF2" w:rsidP="00512BF2">
            <w:pPr>
              <w:rPr>
                <w:rFonts w:ascii="Times New Roman" w:hAnsi="Times New Roman" w:cs="Times New Roman"/>
                <w:lang w:val="en-GB"/>
              </w:rPr>
            </w:pPr>
          </w:p>
        </w:tc>
      </w:tr>
      <w:tr w:rsidR="00512BF2" w:rsidRPr="00BB28A0" w14:paraId="3CA1EFBA" w14:textId="77777777" w:rsidTr="00E35AF9">
        <w:trPr>
          <w:jc w:val="center"/>
        </w:trPr>
        <w:tc>
          <w:tcPr>
            <w:tcW w:w="2513" w:type="pct"/>
            <w:tcBorders>
              <w:top w:val="single" w:sz="6" w:space="0" w:color="auto"/>
              <w:left w:val="single" w:sz="6" w:space="0" w:color="auto"/>
              <w:bottom w:val="single" w:sz="6" w:space="0" w:color="auto"/>
              <w:right w:val="single" w:sz="6" w:space="0" w:color="auto"/>
            </w:tcBorders>
          </w:tcPr>
          <w:p w14:paraId="5749F92B" w14:textId="77777777" w:rsidR="00512BF2" w:rsidRPr="00BB28A0" w:rsidRDefault="00512BF2" w:rsidP="00512BF2">
            <w:pPr>
              <w:rPr>
                <w:rFonts w:ascii="Times New Roman" w:hAnsi="Times New Roman" w:cs="Times New Roman"/>
                <w:lang w:val="en-GB"/>
              </w:rPr>
            </w:pPr>
            <w:r w:rsidRPr="00BB28A0">
              <w:rPr>
                <w:rFonts w:ascii="Times New Roman" w:hAnsi="Times New Roman" w:cs="Times New Roman"/>
                <w:lang w:val="en-GB"/>
              </w:rPr>
              <w:lastRenderedPageBreak/>
              <w:t>Research Infrastructure’s address</w:t>
            </w:r>
          </w:p>
        </w:tc>
        <w:tc>
          <w:tcPr>
            <w:tcW w:w="2487" w:type="pct"/>
            <w:gridSpan w:val="2"/>
            <w:tcBorders>
              <w:top w:val="single" w:sz="6" w:space="0" w:color="auto"/>
              <w:left w:val="single" w:sz="6" w:space="0" w:color="auto"/>
              <w:bottom w:val="single" w:sz="6" w:space="0" w:color="auto"/>
              <w:right w:val="single" w:sz="6" w:space="0" w:color="auto"/>
            </w:tcBorders>
          </w:tcPr>
          <w:p w14:paraId="4BE8CA33" w14:textId="77777777" w:rsidR="00512BF2" w:rsidRPr="00BB28A0" w:rsidRDefault="00512BF2" w:rsidP="00512BF2">
            <w:pPr>
              <w:rPr>
                <w:rFonts w:ascii="Times New Roman" w:hAnsi="Times New Roman" w:cs="Times New Roman"/>
                <w:lang w:val="en-GB"/>
              </w:rPr>
            </w:pPr>
          </w:p>
        </w:tc>
      </w:tr>
      <w:tr w:rsidR="00512BF2" w:rsidRPr="00BB28A0" w14:paraId="76364700" w14:textId="77777777" w:rsidTr="00E35AF9">
        <w:trPr>
          <w:jc w:val="center"/>
        </w:trPr>
        <w:tc>
          <w:tcPr>
            <w:tcW w:w="2513" w:type="pct"/>
            <w:tcBorders>
              <w:top w:val="single" w:sz="6" w:space="0" w:color="auto"/>
              <w:left w:val="single" w:sz="6" w:space="0" w:color="auto"/>
              <w:bottom w:val="single" w:sz="6" w:space="0" w:color="auto"/>
              <w:right w:val="single" w:sz="6" w:space="0" w:color="auto"/>
            </w:tcBorders>
          </w:tcPr>
          <w:p w14:paraId="2B768D4F" w14:textId="77777777" w:rsidR="00512BF2" w:rsidRPr="00BB28A0" w:rsidRDefault="00512BF2" w:rsidP="00512BF2">
            <w:pPr>
              <w:rPr>
                <w:rFonts w:ascii="Times New Roman" w:hAnsi="Times New Roman" w:cs="Times New Roman"/>
                <w:lang w:val="en-GB"/>
              </w:rPr>
            </w:pPr>
            <w:r w:rsidRPr="00BB28A0">
              <w:rPr>
                <w:rFonts w:ascii="Times New Roman" w:hAnsi="Times New Roman" w:cs="Times New Roman"/>
                <w:lang w:val="en-GB"/>
              </w:rPr>
              <w:t>Research infrastructure’s website</w:t>
            </w:r>
          </w:p>
        </w:tc>
        <w:tc>
          <w:tcPr>
            <w:tcW w:w="2487" w:type="pct"/>
            <w:gridSpan w:val="2"/>
            <w:tcBorders>
              <w:top w:val="single" w:sz="6" w:space="0" w:color="auto"/>
              <w:left w:val="single" w:sz="6" w:space="0" w:color="auto"/>
              <w:bottom w:val="single" w:sz="6" w:space="0" w:color="auto"/>
              <w:right w:val="single" w:sz="6" w:space="0" w:color="auto"/>
            </w:tcBorders>
          </w:tcPr>
          <w:p w14:paraId="7E17E843" w14:textId="77777777" w:rsidR="00512BF2" w:rsidRPr="00BB28A0" w:rsidRDefault="00512BF2" w:rsidP="00512BF2">
            <w:pPr>
              <w:rPr>
                <w:rFonts w:ascii="Times New Roman" w:hAnsi="Times New Roman" w:cs="Times New Roman"/>
                <w:lang w:val="en-GB"/>
              </w:rPr>
            </w:pPr>
          </w:p>
        </w:tc>
      </w:tr>
      <w:tr w:rsidR="00512BF2" w:rsidRPr="00BB28A0" w14:paraId="14AB7ADA" w14:textId="77777777" w:rsidTr="00E35AF9">
        <w:trPr>
          <w:jc w:val="center"/>
        </w:trPr>
        <w:tc>
          <w:tcPr>
            <w:tcW w:w="2513" w:type="pct"/>
            <w:tcBorders>
              <w:top w:val="single" w:sz="6" w:space="0" w:color="auto"/>
              <w:left w:val="single" w:sz="6" w:space="0" w:color="auto"/>
              <w:bottom w:val="single" w:sz="6" w:space="0" w:color="auto"/>
              <w:right w:val="single" w:sz="6" w:space="0" w:color="auto"/>
            </w:tcBorders>
          </w:tcPr>
          <w:p w14:paraId="1B4EC429" w14:textId="77777777" w:rsidR="00512BF2" w:rsidRPr="00BB28A0" w:rsidRDefault="00512BF2" w:rsidP="00512BF2">
            <w:pPr>
              <w:rPr>
                <w:rFonts w:ascii="Times New Roman" w:hAnsi="Times New Roman" w:cs="Times New Roman"/>
                <w:lang w:val="en-GB"/>
              </w:rPr>
            </w:pPr>
            <w:r w:rsidRPr="00BB28A0">
              <w:rPr>
                <w:rFonts w:ascii="Times New Roman" w:hAnsi="Times New Roman" w:cs="Times New Roman"/>
                <w:lang w:val="en-GB"/>
              </w:rPr>
              <w:t>Thematic categorisation of RI by field of science*</w:t>
            </w:r>
          </w:p>
        </w:tc>
        <w:tc>
          <w:tcPr>
            <w:tcW w:w="2487" w:type="pct"/>
            <w:gridSpan w:val="2"/>
            <w:tcBorders>
              <w:top w:val="single" w:sz="6" w:space="0" w:color="auto"/>
              <w:left w:val="single" w:sz="6" w:space="0" w:color="auto"/>
              <w:bottom w:val="single" w:sz="6" w:space="0" w:color="auto"/>
              <w:right w:val="single" w:sz="6" w:space="0" w:color="auto"/>
            </w:tcBorders>
          </w:tcPr>
          <w:p w14:paraId="37C827CB" w14:textId="77777777" w:rsidR="00512BF2" w:rsidRPr="00BB28A0" w:rsidRDefault="00512BF2" w:rsidP="00512BF2">
            <w:pPr>
              <w:rPr>
                <w:rFonts w:ascii="Times New Roman" w:hAnsi="Times New Roman" w:cs="Times New Roman"/>
                <w:lang w:val="en-GB"/>
              </w:rPr>
            </w:pPr>
          </w:p>
        </w:tc>
      </w:tr>
      <w:tr w:rsidR="00512BF2" w:rsidRPr="00BB28A0" w14:paraId="44F48A4F" w14:textId="77777777" w:rsidTr="00E35AF9">
        <w:trPr>
          <w:jc w:val="center"/>
        </w:trPr>
        <w:tc>
          <w:tcPr>
            <w:tcW w:w="2513" w:type="pct"/>
            <w:tcBorders>
              <w:top w:val="single" w:sz="6" w:space="0" w:color="auto"/>
              <w:left w:val="single" w:sz="6" w:space="0" w:color="auto"/>
              <w:bottom w:val="single" w:sz="6" w:space="0" w:color="auto"/>
              <w:right w:val="single" w:sz="6" w:space="0" w:color="auto"/>
            </w:tcBorders>
          </w:tcPr>
          <w:p w14:paraId="1194CA73" w14:textId="77777777" w:rsidR="00512BF2" w:rsidRPr="00BB28A0" w:rsidRDefault="00512BF2" w:rsidP="00512BF2">
            <w:pPr>
              <w:rPr>
                <w:rFonts w:ascii="Times New Roman" w:hAnsi="Times New Roman" w:cs="Times New Roman"/>
                <w:lang w:val="en-GB"/>
              </w:rPr>
            </w:pPr>
            <w:r w:rsidRPr="00BB28A0">
              <w:rPr>
                <w:rFonts w:ascii="Times New Roman" w:hAnsi="Times New Roman" w:cs="Times New Roman"/>
                <w:lang w:val="en-GB"/>
              </w:rPr>
              <w:t>Type of RI**</w:t>
            </w:r>
          </w:p>
        </w:tc>
        <w:tc>
          <w:tcPr>
            <w:tcW w:w="2487" w:type="pct"/>
            <w:gridSpan w:val="2"/>
            <w:tcBorders>
              <w:top w:val="single" w:sz="6" w:space="0" w:color="auto"/>
              <w:left w:val="single" w:sz="6" w:space="0" w:color="auto"/>
              <w:bottom w:val="single" w:sz="6" w:space="0" w:color="auto"/>
              <w:right w:val="single" w:sz="6" w:space="0" w:color="auto"/>
            </w:tcBorders>
          </w:tcPr>
          <w:p w14:paraId="14275BAC" w14:textId="77777777" w:rsidR="00512BF2" w:rsidRPr="00BB28A0" w:rsidRDefault="00512BF2" w:rsidP="00512BF2">
            <w:pPr>
              <w:rPr>
                <w:rFonts w:ascii="Times New Roman" w:hAnsi="Times New Roman" w:cs="Times New Roman"/>
                <w:lang w:val="en-GB"/>
              </w:rPr>
            </w:pPr>
          </w:p>
        </w:tc>
      </w:tr>
      <w:tr w:rsidR="00512BF2" w:rsidRPr="00BB28A0" w14:paraId="6013BC21" w14:textId="77777777" w:rsidTr="00E35AF9">
        <w:trPr>
          <w:jc w:val="center"/>
        </w:trPr>
        <w:tc>
          <w:tcPr>
            <w:tcW w:w="2513" w:type="pct"/>
            <w:tcBorders>
              <w:top w:val="single" w:sz="6" w:space="0" w:color="auto"/>
              <w:left w:val="single" w:sz="6" w:space="0" w:color="auto"/>
              <w:bottom w:val="single" w:sz="6" w:space="0" w:color="auto"/>
              <w:right w:val="single" w:sz="6" w:space="0" w:color="auto"/>
            </w:tcBorders>
          </w:tcPr>
          <w:p w14:paraId="746AD4B5" w14:textId="77777777" w:rsidR="00512BF2" w:rsidRPr="00BB28A0" w:rsidRDefault="00512BF2" w:rsidP="00512BF2">
            <w:pPr>
              <w:rPr>
                <w:rFonts w:ascii="Times New Roman" w:hAnsi="Times New Roman" w:cs="Times New Roman"/>
                <w:lang w:val="en-GB"/>
              </w:rPr>
            </w:pPr>
            <w:r w:rsidRPr="00BB28A0">
              <w:rPr>
                <w:rFonts w:ascii="Times New Roman" w:hAnsi="Times New Roman" w:cs="Times New Roman"/>
                <w:lang w:val="en-GB"/>
              </w:rPr>
              <w:t>Main scientific domain</w:t>
            </w:r>
          </w:p>
        </w:tc>
        <w:tc>
          <w:tcPr>
            <w:tcW w:w="2487" w:type="pct"/>
            <w:gridSpan w:val="2"/>
            <w:tcBorders>
              <w:top w:val="single" w:sz="6" w:space="0" w:color="auto"/>
              <w:left w:val="single" w:sz="6" w:space="0" w:color="auto"/>
              <w:bottom w:val="single" w:sz="6" w:space="0" w:color="auto"/>
              <w:right w:val="single" w:sz="6" w:space="0" w:color="auto"/>
            </w:tcBorders>
          </w:tcPr>
          <w:p w14:paraId="416F260E" w14:textId="77777777" w:rsidR="00512BF2" w:rsidRPr="00BB28A0" w:rsidRDefault="00512BF2" w:rsidP="00512BF2">
            <w:pPr>
              <w:rPr>
                <w:rFonts w:ascii="Times New Roman" w:hAnsi="Times New Roman" w:cs="Times New Roman"/>
                <w:lang w:val="en-GB"/>
              </w:rPr>
            </w:pPr>
          </w:p>
        </w:tc>
      </w:tr>
      <w:tr w:rsidR="00512BF2" w:rsidRPr="00BB28A0" w14:paraId="718C1B53" w14:textId="77777777" w:rsidTr="00E35AF9">
        <w:trPr>
          <w:jc w:val="center"/>
        </w:trPr>
        <w:tc>
          <w:tcPr>
            <w:tcW w:w="2513" w:type="pct"/>
            <w:tcBorders>
              <w:top w:val="single" w:sz="6" w:space="0" w:color="auto"/>
              <w:left w:val="single" w:sz="6" w:space="0" w:color="auto"/>
              <w:bottom w:val="single" w:sz="6" w:space="0" w:color="auto"/>
              <w:right w:val="single" w:sz="6" w:space="0" w:color="auto"/>
            </w:tcBorders>
          </w:tcPr>
          <w:p w14:paraId="70251E0B" w14:textId="77777777" w:rsidR="00512BF2" w:rsidRPr="00BB28A0" w:rsidRDefault="00512BF2" w:rsidP="00512BF2">
            <w:pPr>
              <w:rPr>
                <w:rFonts w:ascii="Times New Roman" w:hAnsi="Times New Roman" w:cs="Times New Roman"/>
                <w:lang w:val="en-GB"/>
              </w:rPr>
            </w:pPr>
            <w:r w:rsidRPr="00BB28A0">
              <w:rPr>
                <w:rFonts w:ascii="Times New Roman" w:hAnsi="Times New Roman" w:cs="Times New Roman"/>
                <w:lang w:val="en-GB"/>
              </w:rPr>
              <w:t>Other scientific and technological domains served by RI</w:t>
            </w:r>
          </w:p>
        </w:tc>
        <w:tc>
          <w:tcPr>
            <w:tcW w:w="2487" w:type="pct"/>
            <w:gridSpan w:val="2"/>
            <w:tcBorders>
              <w:top w:val="single" w:sz="6" w:space="0" w:color="auto"/>
              <w:left w:val="single" w:sz="6" w:space="0" w:color="auto"/>
              <w:bottom w:val="single" w:sz="6" w:space="0" w:color="auto"/>
              <w:right w:val="single" w:sz="6" w:space="0" w:color="auto"/>
            </w:tcBorders>
          </w:tcPr>
          <w:p w14:paraId="5AFE86F4" w14:textId="77777777" w:rsidR="00512BF2" w:rsidRPr="00BB28A0" w:rsidRDefault="00512BF2" w:rsidP="00512BF2">
            <w:pPr>
              <w:rPr>
                <w:rFonts w:ascii="Times New Roman" w:hAnsi="Times New Roman" w:cs="Times New Roman"/>
                <w:lang w:val="en-GB"/>
              </w:rPr>
            </w:pPr>
          </w:p>
        </w:tc>
      </w:tr>
      <w:tr w:rsidR="00512BF2" w:rsidRPr="00BB28A0" w14:paraId="6FBEB5B4" w14:textId="77777777" w:rsidTr="00E35AF9">
        <w:trPr>
          <w:jc w:val="center"/>
        </w:trPr>
        <w:tc>
          <w:tcPr>
            <w:tcW w:w="2513" w:type="pct"/>
            <w:tcBorders>
              <w:top w:val="single" w:sz="6" w:space="0" w:color="auto"/>
              <w:left w:val="single" w:sz="6" w:space="0" w:color="auto"/>
              <w:bottom w:val="single" w:sz="6" w:space="0" w:color="auto"/>
              <w:right w:val="single" w:sz="6" w:space="0" w:color="auto"/>
            </w:tcBorders>
          </w:tcPr>
          <w:p w14:paraId="27013371" w14:textId="77777777" w:rsidR="00512BF2" w:rsidRPr="00BB28A0" w:rsidRDefault="00512BF2" w:rsidP="00512BF2">
            <w:pPr>
              <w:rPr>
                <w:rFonts w:ascii="Times New Roman" w:hAnsi="Times New Roman" w:cs="Times New Roman"/>
                <w:lang w:val="en-GB"/>
              </w:rPr>
            </w:pPr>
            <w:r w:rsidRPr="00BB28A0">
              <w:rPr>
                <w:rFonts w:ascii="Times New Roman" w:hAnsi="Times New Roman" w:cs="Times New Roman"/>
                <w:lang w:val="en-GB"/>
              </w:rPr>
              <w:t>Total number of RI users</w:t>
            </w:r>
          </w:p>
        </w:tc>
        <w:tc>
          <w:tcPr>
            <w:tcW w:w="2487" w:type="pct"/>
            <w:gridSpan w:val="2"/>
            <w:tcBorders>
              <w:top w:val="single" w:sz="6" w:space="0" w:color="auto"/>
              <w:left w:val="single" w:sz="6" w:space="0" w:color="auto"/>
              <w:bottom w:val="single" w:sz="6" w:space="0" w:color="auto"/>
              <w:right w:val="single" w:sz="6" w:space="0" w:color="auto"/>
            </w:tcBorders>
          </w:tcPr>
          <w:p w14:paraId="741F4C4A" w14:textId="77777777" w:rsidR="00512BF2" w:rsidRPr="00BB28A0" w:rsidRDefault="00512BF2" w:rsidP="00512BF2">
            <w:pPr>
              <w:rPr>
                <w:rFonts w:ascii="Times New Roman" w:hAnsi="Times New Roman" w:cs="Times New Roman"/>
                <w:lang w:val="en-GB"/>
              </w:rPr>
            </w:pPr>
          </w:p>
        </w:tc>
      </w:tr>
      <w:tr w:rsidR="00512BF2" w:rsidRPr="00BB28A0" w14:paraId="73F095C7" w14:textId="77777777" w:rsidTr="00E35AF9">
        <w:trPr>
          <w:jc w:val="center"/>
        </w:trPr>
        <w:tc>
          <w:tcPr>
            <w:tcW w:w="2513" w:type="pct"/>
            <w:tcBorders>
              <w:top w:val="single" w:sz="6" w:space="0" w:color="auto"/>
              <w:left w:val="single" w:sz="6" w:space="0" w:color="auto"/>
              <w:bottom w:val="single" w:sz="6" w:space="0" w:color="auto"/>
              <w:right w:val="single" w:sz="6" w:space="0" w:color="auto"/>
            </w:tcBorders>
          </w:tcPr>
          <w:p w14:paraId="024DC04B" w14:textId="77777777" w:rsidR="00512BF2" w:rsidRPr="00BB28A0" w:rsidRDefault="00512BF2" w:rsidP="00512BF2">
            <w:pPr>
              <w:rPr>
                <w:rFonts w:ascii="Times New Roman" w:hAnsi="Times New Roman" w:cs="Times New Roman"/>
                <w:lang w:val="en-GB"/>
              </w:rPr>
            </w:pPr>
            <w:r w:rsidRPr="00BB28A0">
              <w:rPr>
                <w:rFonts w:ascii="Times New Roman" w:hAnsi="Times New Roman" w:cs="Times New Roman"/>
                <w:lang w:val="en-GB"/>
              </w:rPr>
              <w:t>Name and position of a person responsible on behalf of research infrastructure:</w:t>
            </w:r>
          </w:p>
        </w:tc>
        <w:tc>
          <w:tcPr>
            <w:tcW w:w="2487" w:type="pct"/>
            <w:gridSpan w:val="2"/>
            <w:tcBorders>
              <w:top w:val="single" w:sz="6" w:space="0" w:color="auto"/>
              <w:left w:val="single" w:sz="6" w:space="0" w:color="auto"/>
              <w:bottom w:val="single" w:sz="6" w:space="0" w:color="auto"/>
              <w:right w:val="single" w:sz="6" w:space="0" w:color="auto"/>
            </w:tcBorders>
          </w:tcPr>
          <w:p w14:paraId="7BD6A122" w14:textId="77777777" w:rsidR="00512BF2" w:rsidRPr="00BB28A0" w:rsidRDefault="00512BF2" w:rsidP="00512BF2">
            <w:pPr>
              <w:rPr>
                <w:rFonts w:ascii="Times New Roman" w:hAnsi="Times New Roman" w:cs="Times New Roman"/>
                <w:lang w:val="en-GB"/>
              </w:rPr>
            </w:pPr>
          </w:p>
        </w:tc>
      </w:tr>
      <w:tr w:rsidR="00512BF2" w:rsidRPr="00BB28A0" w14:paraId="31604E41" w14:textId="77777777" w:rsidTr="00E35AF9">
        <w:trPr>
          <w:jc w:val="center"/>
        </w:trPr>
        <w:tc>
          <w:tcPr>
            <w:tcW w:w="2513" w:type="pct"/>
            <w:tcBorders>
              <w:top w:val="single" w:sz="6" w:space="0" w:color="auto"/>
              <w:left w:val="single" w:sz="6" w:space="0" w:color="auto"/>
              <w:bottom w:val="single" w:sz="6" w:space="0" w:color="auto"/>
              <w:right w:val="single" w:sz="6" w:space="0" w:color="auto"/>
            </w:tcBorders>
          </w:tcPr>
          <w:p w14:paraId="6FAEF0F2" w14:textId="77777777" w:rsidR="00512BF2" w:rsidRPr="00BB28A0" w:rsidRDefault="00512BF2" w:rsidP="00512BF2">
            <w:pPr>
              <w:rPr>
                <w:rFonts w:ascii="Times New Roman" w:hAnsi="Times New Roman" w:cs="Times New Roman"/>
                <w:lang w:val="en-GB"/>
              </w:rPr>
            </w:pPr>
            <w:r w:rsidRPr="00BB28A0">
              <w:rPr>
                <w:rFonts w:ascii="Times New Roman" w:hAnsi="Times New Roman" w:cs="Times New Roman"/>
                <w:lang w:val="en-GB"/>
              </w:rPr>
              <w:t>Year of establishment of RI:</w:t>
            </w:r>
          </w:p>
        </w:tc>
        <w:tc>
          <w:tcPr>
            <w:tcW w:w="2487" w:type="pct"/>
            <w:gridSpan w:val="2"/>
            <w:tcBorders>
              <w:top w:val="single" w:sz="6" w:space="0" w:color="auto"/>
              <w:left w:val="single" w:sz="6" w:space="0" w:color="auto"/>
              <w:bottom w:val="single" w:sz="6" w:space="0" w:color="auto"/>
              <w:right w:val="single" w:sz="6" w:space="0" w:color="auto"/>
            </w:tcBorders>
          </w:tcPr>
          <w:p w14:paraId="255E6548" w14:textId="77777777" w:rsidR="00512BF2" w:rsidRPr="00BB28A0" w:rsidRDefault="00512BF2" w:rsidP="00512BF2">
            <w:pPr>
              <w:rPr>
                <w:rFonts w:ascii="Times New Roman" w:hAnsi="Times New Roman" w:cs="Times New Roman"/>
                <w:lang w:val="en-GB"/>
              </w:rPr>
            </w:pPr>
          </w:p>
        </w:tc>
      </w:tr>
      <w:tr w:rsidR="00512BF2" w:rsidRPr="00BB28A0" w14:paraId="650094AB" w14:textId="77777777" w:rsidTr="00E35AF9">
        <w:trPr>
          <w:jc w:val="center"/>
        </w:trPr>
        <w:tc>
          <w:tcPr>
            <w:tcW w:w="2513" w:type="pct"/>
            <w:vMerge w:val="restart"/>
            <w:vAlign w:val="center"/>
          </w:tcPr>
          <w:p w14:paraId="56A6D7F2" w14:textId="77777777" w:rsidR="00512BF2" w:rsidRPr="00BB28A0" w:rsidRDefault="00512BF2" w:rsidP="001F5A4D">
            <w:pPr>
              <w:spacing w:after="0" w:line="240" w:lineRule="auto"/>
              <w:rPr>
                <w:rFonts w:ascii="Times New Roman" w:eastAsia="Calibri" w:hAnsi="Times New Roman" w:cs="Times New Roman"/>
                <w:lang w:val="en-GB"/>
              </w:rPr>
            </w:pPr>
            <w:r w:rsidRPr="00BB28A0">
              <w:rPr>
                <w:rFonts w:ascii="Times New Roman" w:eastAsia="Calibri" w:hAnsi="Times New Roman" w:cs="Times New Roman"/>
                <w:lang w:val="en-GB"/>
              </w:rPr>
              <w:t>Founder</w:t>
            </w:r>
          </w:p>
        </w:tc>
        <w:tc>
          <w:tcPr>
            <w:tcW w:w="1338" w:type="pct"/>
          </w:tcPr>
          <w:p w14:paraId="59B751EE" w14:textId="77777777" w:rsidR="00512BF2" w:rsidRPr="00BB28A0" w:rsidRDefault="00512BF2" w:rsidP="001F5A4D">
            <w:pPr>
              <w:spacing w:after="0" w:line="240" w:lineRule="auto"/>
              <w:rPr>
                <w:rFonts w:ascii="Times New Roman" w:eastAsia="Calibri" w:hAnsi="Times New Roman" w:cs="Times New Roman"/>
                <w:lang w:val="en-GB"/>
              </w:rPr>
            </w:pPr>
            <w:r w:rsidRPr="00BB28A0">
              <w:rPr>
                <w:rFonts w:ascii="Times New Roman" w:eastAsia="Calibri" w:hAnsi="Times New Roman" w:cs="Times New Roman"/>
                <w:lang w:val="en-GB"/>
              </w:rPr>
              <w:t>Institution(s)</w:t>
            </w:r>
          </w:p>
        </w:tc>
        <w:tc>
          <w:tcPr>
            <w:tcW w:w="1148" w:type="pct"/>
          </w:tcPr>
          <w:p w14:paraId="68CEEA54" w14:textId="77777777" w:rsidR="00512BF2" w:rsidRPr="00BB28A0" w:rsidRDefault="00512BF2" w:rsidP="001F5A4D">
            <w:pPr>
              <w:spacing w:after="0" w:line="240" w:lineRule="auto"/>
              <w:rPr>
                <w:rFonts w:ascii="Times New Roman" w:eastAsia="Calibri" w:hAnsi="Times New Roman" w:cs="Times New Roman"/>
                <w:lang w:val="en-GB"/>
              </w:rPr>
            </w:pPr>
            <w:r w:rsidRPr="00BB28A0">
              <w:rPr>
                <w:rFonts w:ascii="Times New Roman" w:eastAsia="Calibri" w:hAnsi="Times New Roman" w:cs="Times New Roman"/>
                <w:lang w:val="en-GB"/>
              </w:rPr>
              <w:t>Ownership share (%)</w:t>
            </w:r>
          </w:p>
        </w:tc>
      </w:tr>
      <w:tr w:rsidR="00512BF2" w:rsidRPr="00BB28A0" w14:paraId="205596FE" w14:textId="77777777" w:rsidTr="00E35AF9">
        <w:trPr>
          <w:jc w:val="center"/>
        </w:trPr>
        <w:tc>
          <w:tcPr>
            <w:tcW w:w="2513" w:type="pct"/>
            <w:vMerge/>
          </w:tcPr>
          <w:p w14:paraId="6254637F" w14:textId="77777777" w:rsidR="00512BF2" w:rsidRPr="00BB28A0" w:rsidRDefault="00512BF2" w:rsidP="001F5A4D">
            <w:pPr>
              <w:spacing w:after="0" w:line="240" w:lineRule="auto"/>
              <w:rPr>
                <w:rFonts w:ascii="Times New Roman" w:eastAsia="Calibri" w:hAnsi="Times New Roman" w:cs="Times New Roman"/>
                <w:lang w:val="en-GB"/>
              </w:rPr>
            </w:pPr>
          </w:p>
        </w:tc>
        <w:tc>
          <w:tcPr>
            <w:tcW w:w="1338" w:type="pct"/>
          </w:tcPr>
          <w:p w14:paraId="5A79F73F" w14:textId="77777777" w:rsidR="00512BF2" w:rsidRPr="00BB28A0" w:rsidRDefault="00512BF2" w:rsidP="001F5A4D">
            <w:pPr>
              <w:spacing w:after="0" w:line="240" w:lineRule="auto"/>
              <w:rPr>
                <w:rFonts w:ascii="Times New Roman" w:eastAsia="Calibri" w:hAnsi="Times New Roman" w:cs="Times New Roman"/>
                <w:lang w:val="en-GB"/>
              </w:rPr>
            </w:pPr>
          </w:p>
        </w:tc>
        <w:tc>
          <w:tcPr>
            <w:tcW w:w="1148" w:type="pct"/>
          </w:tcPr>
          <w:p w14:paraId="140F0C3F" w14:textId="77777777" w:rsidR="00512BF2" w:rsidRPr="00BB28A0" w:rsidRDefault="00512BF2" w:rsidP="001F5A4D">
            <w:pPr>
              <w:spacing w:after="0" w:line="240" w:lineRule="auto"/>
              <w:rPr>
                <w:rFonts w:ascii="Times New Roman" w:eastAsia="Calibri" w:hAnsi="Times New Roman" w:cs="Times New Roman"/>
                <w:lang w:val="en-GB"/>
              </w:rPr>
            </w:pPr>
          </w:p>
        </w:tc>
      </w:tr>
      <w:tr w:rsidR="00512BF2" w:rsidRPr="00BB28A0" w14:paraId="30A59710" w14:textId="77777777" w:rsidTr="00E35AF9">
        <w:trPr>
          <w:jc w:val="center"/>
        </w:trPr>
        <w:tc>
          <w:tcPr>
            <w:tcW w:w="2513" w:type="pct"/>
          </w:tcPr>
          <w:p w14:paraId="0E8E5A67" w14:textId="77777777" w:rsidR="00512BF2" w:rsidRPr="00BB28A0" w:rsidRDefault="00512BF2" w:rsidP="001F5A4D">
            <w:pPr>
              <w:spacing w:after="0" w:line="240" w:lineRule="auto"/>
              <w:rPr>
                <w:rFonts w:ascii="Times New Roman" w:eastAsia="Calibri" w:hAnsi="Times New Roman" w:cs="Times New Roman"/>
                <w:lang w:val="en-GB"/>
              </w:rPr>
            </w:pPr>
          </w:p>
        </w:tc>
        <w:tc>
          <w:tcPr>
            <w:tcW w:w="1338" w:type="pct"/>
            <w:tcBorders>
              <w:bottom w:val="single" w:sz="6" w:space="0" w:color="auto"/>
            </w:tcBorders>
          </w:tcPr>
          <w:p w14:paraId="062EE9E1" w14:textId="77777777" w:rsidR="00512BF2" w:rsidRPr="00BB28A0" w:rsidRDefault="00512BF2" w:rsidP="001F5A4D">
            <w:pPr>
              <w:spacing w:after="0" w:line="240" w:lineRule="auto"/>
              <w:rPr>
                <w:rFonts w:ascii="Times New Roman" w:eastAsia="Calibri" w:hAnsi="Times New Roman" w:cs="Times New Roman"/>
                <w:lang w:val="en-GB"/>
              </w:rPr>
            </w:pPr>
          </w:p>
        </w:tc>
        <w:tc>
          <w:tcPr>
            <w:tcW w:w="1148" w:type="pct"/>
            <w:tcBorders>
              <w:bottom w:val="single" w:sz="6" w:space="0" w:color="auto"/>
            </w:tcBorders>
          </w:tcPr>
          <w:p w14:paraId="50CF02A7" w14:textId="77777777" w:rsidR="00512BF2" w:rsidRPr="00BB28A0" w:rsidRDefault="00512BF2" w:rsidP="001F5A4D">
            <w:pPr>
              <w:spacing w:after="0" w:line="240" w:lineRule="auto"/>
              <w:rPr>
                <w:rFonts w:ascii="Times New Roman" w:eastAsia="Calibri" w:hAnsi="Times New Roman" w:cs="Times New Roman"/>
                <w:lang w:val="en-GB"/>
              </w:rPr>
            </w:pPr>
          </w:p>
        </w:tc>
      </w:tr>
    </w:tbl>
    <w:p w14:paraId="08D8A4DB" w14:textId="0D3DF558" w:rsidR="00512BF2" w:rsidRPr="00BB28A0" w:rsidRDefault="00512BF2" w:rsidP="006B1DF2">
      <w:pPr>
        <w:rPr>
          <w:rFonts w:ascii="StobiSerif Regular" w:hAnsi="StobiSerif Regular"/>
          <w:lang w:val="en-GB"/>
        </w:rPr>
      </w:pPr>
      <w:r w:rsidRPr="00BB28A0">
        <w:rPr>
          <w:rFonts w:ascii="StobiSerif Regular" w:hAnsi="StobiSerif Regular"/>
          <w:lang w:val="en-GB"/>
        </w:rPr>
        <w:t>*Thematic categorisation of RI types by field of science. The ESFRI sets the following 6 thematic areas:</w:t>
      </w:r>
    </w:p>
    <w:p w14:paraId="5E8F6EB2" w14:textId="77777777" w:rsidR="00512BF2" w:rsidRPr="00BB28A0" w:rsidRDefault="00512BF2" w:rsidP="00512BF2">
      <w:pPr>
        <w:numPr>
          <w:ilvl w:val="0"/>
          <w:numId w:val="10"/>
        </w:numPr>
        <w:rPr>
          <w:rFonts w:ascii="StobiSerif Regular" w:hAnsi="StobiSerif Regular"/>
          <w:lang w:val="en-GB"/>
        </w:rPr>
      </w:pPr>
      <w:r w:rsidRPr="00BB28A0">
        <w:rPr>
          <w:rFonts w:ascii="StobiSerif Regular" w:hAnsi="StobiSerif Regular"/>
          <w:lang w:val="en-GB"/>
        </w:rPr>
        <w:t>energy;</w:t>
      </w:r>
    </w:p>
    <w:p w14:paraId="3F967A1B" w14:textId="77777777" w:rsidR="00512BF2" w:rsidRPr="00BB28A0" w:rsidRDefault="00512BF2" w:rsidP="00512BF2">
      <w:pPr>
        <w:numPr>
          <w:ilvl w:val="0"/>
          <w:numId w:val="10"/>
        </w:numPr>
        <w:rPr>
          <w:rFonts w:ascii="StobiSerif Regular" w:hAnsi="StobiSerif Regular"/>
          <w:lang w:val="en-GB"/>
        </w:rPr>
      </w:pPr>
      <w:r w:rsidRPr="00BB28A0">
        <w:rPr>
          <w:rFonts w:ascii="StobiSerif Regular" w:hAnsi="StobiSerif Regular"/>
          <w:lang w:val="en-GB"/>
        </w:rPr>
        <w:t>environment;</w:t>
      </w:r>
    </w:p>
    <w:p w14:paraId="0AD736AD" w14:textId="77777777" w:rsidR="00512BF2" w:rsidRPr="00BB28A0" w:rsidRDefault="00512BF2" w:rsidP="00512BF2">
      <w:pPr>
        <w:numPr>
          <w:ilvl w:val="0"/>
          <w:numId w:val="10"/>
        </w:numPr>
        <w:rPr>
          <w:rFonts w:ascii="StobiSerif Regular" w:hAnsi="StobiSerif Regular"/>
          <w:lang w:val="en-GB"/>
        </w:rPr>
      </w:pPr>
      <w:r w:rsidRPr="00BB28A0">
        <w:rPr>
          <w:rFonts w:ascii="StobiSerif Regular" w:hAnsi="StobiSerif Regular"/>
          <w:lang w:val="en-GB"/>
        </w:rPr>
        <w:t>health and food sciences;</w:t>
      </w:r>
    </w:p>
    <w:p w14:paraId="7D594EA8" w14:textId="77777777" w:rsidR="00512BF2" w:rsidRPr="00BB28A0" w:rsidRDefault="00512BF2" w:rsidP="00512BF2">
      <w:pPr>
        <w:numPr>
          <w:ilvl w:val="0"/>
          <w:numId w:val="10"/>
        </w:numPr>
        <w:rPr>
          <w:rFonts w:ascii="StobiSerif Regular" w:hAnsi="StobiSerif Regular"/>
          <w:lang w:val="en-GB"/>
        </w:rPr>
      </w:pPr>
      <w:r w:rsidRPr="00BB28A0">
        <w:rPr>
          <w:rFonts w:ascii="StobiSerif Regular" w:hAnsi="StobiSerif Regular"/>
          <w:lang w:val="en-GB"/>
        </w:rPr>
        <w:t>engineering and technology;</w:t>
      </w:r>
    </w:p>
    <w:p w14:paraId="662B6BA1" w14:textId="77777777" w:rsidR="00512BF2" w:rsidRPr="00BB28A0" w:rsidRDefault="00512BF2" w:rsidP="00512BF2">
      <w:pPr>
        <w:numPr>
          <w:ilvl w:val="0"/>
          <w:numId w:val="10"/>
        </w:numPr>
        <w:rPr>
          <w:rFonts w:ascii="StobiSerif Regular" w:hAnsi="StobiSerif Regular"/>
          <w:lang w:val="en-GB"/>
        </w:rPr>
      </w:pPr>
      <w:r w:rsidRPr="00BB28A0">
        <w:rPr>
          <w:rFonts w:ascii="StobiSerif Regular" w:hAnsi="StobiSerif Regular"/>
          <w:lang w:val="en-GB"/>
        </w:rPr>
        <w:t>social sciences and humanities;</w:t>
      </w:r>
    </w:p>
    <w:p w14:paraId="3883CED1" w14:textId="77777777" w:rsidR="00512BF2" w:rsidRPr="00BB28A0" w:rsidRDefault="00512BF2" w:rsidP="00512BF2">
      <w:pPr>
        <w:numPr>
          <w:ilvl w:val="0"/>
          <w:numId w:val="10"/>
        </w:numPr>
        <w:rPr>
          <w:rFonts w:ascii="StobiSerif Regular" w:hAnsi="StobiSerif Regular"/>
          <w:lang w:val="en-GB"/>
        </w:rPr>
      </w:pPr>
      <w:r w:rsidRPr="00BB28A0">
        <w:rPr>
          <w:rFonts w:ascii="StobiSerif Regular" w:hAnsi="StobiSerif Regular"/>
          <w:lang w:val="en-GB"/>
        </w:rPr>
        <w:t>digital e-infrastructures.</w:t>
      </w:r>
    </w:p>
    <w:p w14:paraId="1CBECDE1" w14:textId="77777777" w:rsidR="00512BF2" w:rsidRPr="00BB28A0" w:rsidRDefault="00512BF2" w:rsidP="00512BF2">
      <w:pPr>
        <w:rPr>
          <w:rFonts w:ascii="StobiSerif Regular" w:hAnsi="StobiSerif Regular"/>
          <w:lang w:val="en-GB"/>
        </w:rPr>
      </w:pPr>
      <w:r w:rsidRPr="00BB28A0">
        <w:rPr>
          <w:rFonts w:ascii="StobiSerif Regular" w:hAnsi="StobiSerif Regular"/>
          <w:lang w:val="en-GB"/>
        </w:rPr>
        <w:t>E-Infrastructure for scientific research–provides computing services for the scientific community.</w:t>
      </w:r>
    </w:p>
    <w:p w14:paraId="71E1C064" w14:textId="77777777" w:rsidR="00512BF2" w:rsidRPr="00BB28A0" w:rsidRDefault="00512BF2" w:rsidP="00512BF2">
      <w:pPr>
        <w:rPr>
          <w:rFonts w:ascii="StobiSerif Regular" w:hAnsi="StobiSerif Regular"/>
          <w:lang w:val="en-GB"/>
        </w:rPr>
      </w:pPr>
      <w:r w:rsidRPr="00BB28A0">
        <w:rPr>
          <w:rFonts w:ascii="StobiSerif Regular" w:hAnsi="StobiSerif Regular"/>
          <w:lang w:val="en-GB"/>
        </w:rPr>
        <w:t xml:space="preserve">**Four types of RI are commonly distinguished: </w:t>
      </w:r>
    </w:p>
    <w:p w14:paraId="6FDF1275" w14:textId="77777777" w:rsidR="00512BF2" w:rsidRPr="00BB28A0" w:rsidRDefault="00512BF2" w:rsidP="00512BF2">
      <w:pPr>
        <w:numPr>
          <w:ilvl w:val="0"/>
          <w:numId w:val="9"/>
        </w:numPr>
        <w:rPr>
          <w:rFonts w:ascii="StobiSerif Regular" w:hAnsi="StobiSerif Regular"/>
          <w:lang w:val="en-GB"/>
        </w:rPr>
      </w:pPr>
      <w:r w:rsidRPr="00BB28A0">
        <w:rPr>
          <w:rFonts w:ascii="StobiSerif Regular" w:hAnsi="StobiSerif Regular"/>
          <w:lang w:val="en-GB"/>
        </w:rPr>
        <w:t xml:space="preserve">single-site facilities; </w:t>
      </w:r>
    </w:p>
    <w:p w14:paraId="5BD3FE06" w14:textId="77777777" w:rsidR="00512BF2" w:rsidRPr="00BB28A0" w:rsidRDefault="00512BF2" w:rsidP="00512BF2">
      <w:pPr>
        <w:numPr>
          <w:ilvl w:val="0"/>
          <w:numId w:val="9"/>
        </w:numPr>
        <w:rPr>
          <w:rFonts w:ascii="StobiSerif Regular" w:hAnsi="StobiSerif Regular"/>
          <w:lang w:val="en-GB"/>
        </w:rPr>
      </w:pPr>
      <w:r w:rsidRPr="00BB28A0">
        <w:rPr>
          <w:rFonts w:ascii="StobiSerif Regular" w:hAnsi="StobiSerif Regular"/>
          <w:lang w:val="en-GB"/>
        </w:rPr>
        <w:t xml:space="preserve">distributed facilities; </w:t>
      </w:r>
    </w:p>
    <w:p w14:paraId="6EC51F31" w14:textId="77777777" w:rsidR="00512BF2" w:rsidRPr="00BB28A0" w:rsidRDefault="00512BF2" w:rsidP="00512BF2">
      <w:pPr>
        <w:numPr>
          <w:ilvl w:val="0"/>
          <w:numId w:val="9"/>
        </w:numPr>
        <w:rPr>
          <w:rFonts w:ascii="StobiSerif Regular" w:hAnsi="StobiSerif Regular"/>
          <w:lang w:val="en-GB"/>
        </w:rPr>
      </w:pPr>
      <w:r w:rsidRPr="00BB28A0">
        <w:rPr>
          <w:rFonts w:ascii="StobiSerif Regular" w:hAnsi="StobiSerif Regular"/>
          <w:lang w:val="en-GB"/>
        </w:rPr>
        <w:t xml:space="preserve">mobile facilities; </w:t>
      </w:r>
    </w:p>
    <w:p w14:paraId="713F69A3" w14:textId="77777777" w:rsidR="00512BF2" w:rsidRPr="00BB28A0" w:rsidRDefault="00512BF2" w:rsidP="00512BF2">
      <w:pPr>
        <w:numPr>
          <w:ilvl w:val="0"/>
          <w:numId w:val="9"/>
        </w:numPr>
        <w:rPr>
          <w:rFonts w:ascii="StobiSerif Regular" w:hAnsi="StobiSerif Regular"/>
          <w:lang w:val="en-GB"/>
        </w:rPr>
      </w:pPr>
      <w:r w:rsidRPr="00BB28A0">
        <w:rPr>
          <w:rFonts w:ascii="StobiSerif Regular" w:hAnsi="StobiSerif Regular"/>
          <w:lang w:val="en-GB"/>
        </w:rPr>
        <w:t>virtual facilities.</w:t>
      </w:r>
    </w:p>
    <w:p w14:paraId="53873ADE" w14:textId="77777777" w:rsidR="00EE05A9" w:rsidRPr="00BB28A0" w:rsidRDefault="00EE05A9" w:rsidP="006B1DF2">
      <w:pPr>
        <w:rPr>
          <w:rFonts w:ascii="StobiSerif Regular" w:hAnsi="StobiSerif Regular"/>
          <w:b/>
          <w:lang w:val="en-GB"/>
        </w:rPr>
      </w:pPr>
    </w:p>
    <w:p w14:paraId="25CC45E1" w14:textId="7E210344" w:rsidR="006B1DF2" w:rsidRPr="00BB28A0" w:rsidRDefault="006B1DF2" w:rsidP="006B1DF2">
      <w:pPr>
        <w:rPr>
          <w:rFonts w:ascii="StobiSerif Regular" w:hAnsi="StobiSerif Regular"/>
          <w:b/>
          <w:lang w:val="en-GB"/>
        </w:rPr>
      </w:pPr>
      <w:r w:rsidRPr="00BB28A0">
        <w:rPr>
          <w:rFonts w:ascii="StobiSerif Regular" w:hAnsi="StobiSerif Regular"/>
          <w:b/>
          <w:lang w:val="en-GB"/>
        </w:rPr>
        <w:t xml:space="preserve">1.3. </w:t>
      </w:r>
      <w:r w:rsidR="00E35AF9" w:rsidRPr="00BB28A0">
        <w:rPr>
          <w:rFonts w:ascii="StobiSerif Regular" w:hAnsi="StobiSerif Regular"/>
          <w:b/>
          <w:lang w:val="en-GB"/>
        </w:rPr>
        <w:t>Description of Research Infrastructure. Please provide basic information and objectives of the research infrastructure</w:t>
      </w:r>
      <w:r w:rsidRPr="00BB28A0">
        <w:rPr>
          <w:rFonts w:ascii="StobiSerif Regular" w:hAnsi="StobiSerif Regular"/>
          <w:b/>
          <w:lang w:val="en-GB"/>
        </w:rPr>
        <w:t>.</w:t>
      </w:r>
    </w:p>
    <w:tbl>
      <w:tblPr>
        <w:tblStyle w:val="TableGrid"/>
        <w:tblW w:w="5000" w:type="pct"/>
        <w:tblLook w:val="04A0" w:firstRow="1" w:lastRow="0" w:firstColumn="1" w:lastColumn="0" w:noHBand="0" w:noVBand="1"/>
      </w:tblPr>
      <w:tblGrid>
        <w:gridCol w:w="9011"/>
      </w:tblGrid>
      <w:tr w:rsidR="006B1DF2" w:rsidRPr="00BB28A0" w14:paraId="54C3D8EF" w14:textId="77777777" w:rsidTr="002C5EDB">
        <w:tc>
          <w:tcPr>
            <w:tcW w:w="5000" w:type="pct"/>
          </w:tcPr>
          <w:p w14:paraId="28A18069" w14:textId="77777777" w:rsidR="006B1DF2" w:rsidRPr="00BB28A0" w:rsidRDefault="006B1DF2" w:rsidP="002C5EDB">
            <w:pPr>
              <w:spacing w:after="160" w:line="259" w:lineRule="auto"/>
              <w:rPr>
                <w:rFonts w:ascii="StobiSerif Regular" w:hAnsi="StobiSerif Regular"/>
                <w:lang w:val="en-GB"/>
              </w:rPr>
            </w:pPr>
          </w:p>
          <w:p w14:paraId="56C81469" w14:textId="77777777" w:rsidR="006B1DF2" w:rsidRPr="00BB28A0" w:rsidRDefault="006B1DF2" w:rsidP="002C5EDB">
            <w:pPr>
              <w:spacing w:after="160" w:line="259" w:lineRule="auto"/>
              <w:rPr>
                <w:rFonts w:ascii="StobiSerif Regular" w:hAnsi="StobiSerif Regular"/>
                <w:lang w:val="en-GB"/>
              </w:rPr>
            </w:pPr>
          </w:p>
        </w:tc>
      </w:tr>
    </w:tbl>
    <w:p w14:paraId="78662C07" w14:textId="77777777" w:rsidR="006B1DF2" w:rsidRPr="00BB28A0" w:rsidRDefault="006B1DF2" w:rsidP="006B1DF2">
      <w:pPr>
        <w:rPr>
          <w:rFonts w:ascii="StobiSerif Regular" w:hAnsi="StobiSerif Regular"/>
          <w:b/>
          <w:lang w:val="en-GB"/>
        </w:rPr>
      </w:pPr>
    </w:p>
    <w:p w14:paraId="02B3F545" w14:textId="255FAAC9" w:rsidR="006B1DF2" w:rsidRPr="00BB28A0" w:rsidRDefault="006B1DF2" w:rsidP="00E35AF9">
      <w:pPr>
        <w:rPr>
          <w:rFonts w:ascii="StobiSerif Regular" w:hAnsi="StobiSerif Regular"/>
          <w:b/>
          <w:lang w:val="en-GB"/>
        </w:rPr>
      </w:pPr>
      <w:r w:rsidRPr="00BB28A0">
        <w:rPr>
          <w:rFonts w:ascii="StobiSerif Regular" w:hAnsi="StobiSerif Regular"/>
          <w:b/>
          <w:lang w:val="en-GB"/>
        </w:rPr>
        <w:lastRenderedPageBreak/>
        <w:t xml:space="preserve">1.4. </w:t>
      </w:r>
      <w:r w:rsidR="00E35AF9" w:rsidRPr="00BB28A0">
        <w:rPr>
          <w:rFonts w:ascii="StobiSerif Regular" w:hAnsi="StobiSerif Regular"/>
          <w:b/>
          <w:lang w:val="en-GB"/>
        </w:rPr>
        <w:t xml:space="preserve">Please list the services provided to research infrastructure users </w:t>
      </w:r>
    </w:p>
    <w:tbl>
      <w:tblPr>
        <w:tblStyle w:val="TableGrid"/>
        <w:tblW w:w="5000" w:type="pct"/>
        <w:tblLook w:val="04A0" w:firstRow="1" w:lastRow="0" w:firstColumn="1" w:lastColumn="0" w:noHBand="0" w:noVBand="1"/>
      </w:tblPr>
      <w:tblGrid>
        <w:gridCol w:w="9011"/>
      </w:tblGrid>
      <w:tr w:rsidR="006B1DF2" w:rsidRPr="00BB28A0" w14:paraId="48B8AB81" w14:textId="77777777" w:rsidTr="002C5EDB">
        <w:tc>
          <w:tcPr>
            <w:tcW w:w="5000" w:type="pct"/>
          </w:tcPr>
          <w:p w14:paraId="4CD4FAC2" w14:textId="77777777" w:rsidR="006B1DF2" w:rsidRPr="00BB28A0" w:rsidRDefault="006B1DF2" w:rsidP="002C5EDB">
            <w:pPr>
              <w:spacing w:after="160" w:line="259" w:lineRule="auto"/>
              <w:rPr>
                <w:rFonts w:ascii="StobiSerif Regular" w:hAnsi="StobiSerif Regular"/>
                <w:lang w:val="en-GB"/>
              </w:rPr>
            </w:pPr>
          </w:p>
          <w:p w14:paraId="21A4C224" w14:textId="77777777" w:rsidR="006B1DF2" w:rsidRPr="00BB28A0" w:rsidRDefault="006B1DF2" w:rsidP="002C5EDB">
            <w:pPr>
              <w:spacing w:after="160" w:line="259" w:lineRule="auto"/>
              <w:rPr>
                <w:rFonts w:ascii="StobiSerif Regular" w:hAnsi="StobiSerif Regular"/>
                <w:lang w:val="en-GB"/>
              </w:rPr>
            </w:pPr>
          </w:p>
        </w:tc>
      </w:tr>
    </w:tbl>
    <w:p w14:paraId="6F985831" w14:textId="77777777" w:rsidR="006B1DF2" w:rsidRPr="00BB28A0" w:rsidRDefault="006B1DF2" w:rsidP="006B1DF2">
      <w:pPr>
        <w:rPr>
          <w:rFonts w:ascii="StobiSerif Regular" w:hAnsi="StobiSerif Regular"/>
          <w:lang w:val="en-GB"/>
        </w:rPr>
      </w:pPr>
    </w:p>
    <w:p w14:paraId="427C31F5" w14:textId="198DCE4F" w:rsidR="006B1DF2" w:rsidRPr="00BB28A0" w:rsidRDefault="006B1DF2" w:rsidP="006B1DF2">
      <w:pPr>
        <w:rPr>
          <w:rFonts w:ascii="StobiSerif Regular" w:hAnsi="StobiSerif Regular"/>
          <w:b/>
          <w:lang w:val="en-GB"/>
        </w:rPr>
      </w:pPr>
      <w:r w:rsidRPr="00BB28A0">
        <w:rPr>
          <w:rFonts w:ascii="StobiSerif Regular" w:hAnsi="StobiSerif Regular"/>
          <w:b/>
          <w:lang w:val="en-GB"/>
        </w:rPr>
        <w:t xml:space="preserve">2. </w:t>
      </w:r>
      <w:r w:rsidR="00E35AF9" w:rsidRPr="00BB28A0">
        <w:rPr>
          <w:rFonts w:ascii="StobiSerif Regular" w:hAnsi="StobiSerif Regular"/>
          <w:b/>
          <w:lang w:val="en-GB"/>
        </w:rPr>
        <w:t xml:space="preserve">Data on research equipment </w:t>
      </w:r>
    </w:p>
    <w:p w14:paraId="31955C0C" w14:textId="34098B52" w:rsidR="006B1DF2" w:rsidRPr="00BB28A0" w:rsidRDefault="006B1DF2" w:rsidP="006B1DF2">
      <w:pPr>
        <w:rPr>
          <w:rFonts w:ascii="StobiSerif Regular" w:hAnsi="StobiSerif Regular"/>
          <w:lang w:val="en-GB"/>
        </w:rPr>
      </w:pPr>
      <w:r w:rsidRPr="00BB28A0">
        <w:rPr>
          <w:rFonts w:ascii="StobiSerif Regular" w:hAnsi="StobiSerif Regular"/>
          <w:b/>
          <w:lang w:val="en-GB"/>
        </w:rPr>
        <w:t xml:space="preserve">2.1. </w:t>
      </w:r>
      <w:r w:rsidR="00E35AF9" w:rsidRPr="00BB28A0">
        <w:rPr>
          <w:rFonts w:ascii="StobiSerif Regular" w:hAnsi="StobiSerif Regular"/>
          <w:b/>
          <w:lang w:val="en-GB"/>
        </w:rPr>
        <w:t>Estimated value of research equipment</w:t>
      </w:r>
    </w:p>
    <w:tbl>
      <w:tblPr>
        <w:tblW w:w="5148" w:type="pct"/>
        <w:tblInd w:w="108" w:type="dxa"/>
        <w:tblLook w:val="04A0" w:firstRow="1" w:lastRow="0" w:firstColumn="1" w:lastColumn="0" w:noHBand="0" w:noVBand="1"/>
      </w:tblPr>
      <w:tblGrid>
        <w:gridCol w:w="226"/>
        <w:gridCol w:w="4296"/>
        <w:gridCol w:w="1696"/>
        <w:gridCol w:w="941"/>
        <w:gridCol w:w="1398"/>
        <w:gridCol w:w="731"/>
      </w:tblGrid>
      <w:tr w:rsidR="006B1DF2" w:rsidRPr="00BB28A0" w14:paraId="6FF1C617" w14:textId="77777777" w:rsidTr="00E35AF9">
        <w:trPr>
          <w:gridAfter w:val="3"/>
          <w:wAfter w:w="3070" w:type="dxa"/>
        </w:trPr>
        <w:tc>
          <w:tcPr>
            <w:tcW w:w="6218" w:type="dxa"/>
            <w:gridSpan w:val="3"/>
            <w:tcBorders>
              <w:top w:val="nil"/>
              <w:left w:val="nil"/>
              <w:bottom w:val="nil"/>
              <w:right w:val="nil"/>
            </w:tcBorders>
            <w:shd w:val="clear" w:color="auto" w:fill="auto"/>
            <w:noWrap/>
            <w:vAlign w:val="bottom"/>
            <w:hideMark/>
          </w:tcPr>
          <w:p w14:paraId="49F8FC3E" w14:textId="1F872C24" w:rsidR="006B1DF2" w:rsidRPr="00BB28A0" w:rsidRDefault="00E35AF9" w:rsidP="00E35AF9">
            <w:pPr>
              <w:rPr>
                <w:rFonts w:ascii="StobiSerif Regular" w:hAnsi="StobiSerif Regular"/>
                <w:b/>
                <w:lang w:val="en-GB"/>
              </w:rPr>
            </w:pPr>
            <w:r w:rsidRPr="00BB28A0">
              <w:rPr>
                <w:rFonts w:ascii="StobiSerif Regular" w:hAnsi="StobiSerif Regular"/>
                <w:b/>
                <w:lang w:val="en-GB"/>
              </w:rPr>
              <w:t xml:space="preserve">Total estimated value of research capital equipment (in EUR): </w:t>
            </w:r>
          </w:p>
        </w:tc>
      </w:tr>
      <w:tr w:rsidR="006B1DF2" w:rsidRPr="00BB28A0" w14:paraId="04A8494D" w14:textId="77777777" w:rsidTr="00E35AF9">
        <w:trPr>
          <w:trHeight w:val="264"/>
        </w:trPr>
        <w:tc>
          <w:tcPr>
            <w:tcW w:w="226" w:type="dxa"/>
            <w:tcBorders>
              <w:top w:val="nil"/>
              <w:left w:val="nil"/>
              <w:bottom w:val="nil"/>
              <w:right w:val="nil"/>
            </w:tcBorders>
            <w:shd w:val="clear" w:color="auto" w:fill="auto"/>
            <w:noWrap/>
            <w:vAlign w:val="bottom"/>
            <w:hideMark/>
          </w:tcPr>
          <w:p w14:paraId="4CC83038" w14:textId="77777777" w:rsidR="006B1DF2" w:rsidRPr="00BB28A0" w:rsidRDefault="006B1DF2" w:rsidP="002C5EDB">
            <w:pPr>
              <w:rPr>
                <w:rFonts w:ascii="StobiSerif Regular" w:hAnsi="StobiSerif Regular"/>
                <w:lang w:val="en-GB"/>
              </w:rPr>
            </w:pPr>
          </w:p>
        </w:tc>
        <w:tc>
          <w:tcPr>
            <w:tcW w:w="4296" w:type="dxa"/>
            <w:tcBorders>
              <w:top w:val="nil"/>
              <w:left w:val="nil"/>
              <w:bottom w:val="nil"/>
              <w:right w:val="single" w:sz="4" w:space="0" w:color="808080"/>
            </w:tcBorders>
            <w:shd w:val="clear" w:color="auto" w:fill="auto"/>
            <w:noWrap/>
            <w:vAlign w:val="bottom"/>
            <w:hideMark/>
          </w:tcPr>
          <w:p w14:paraId="36EEAEC8" w14:textId="278AD4D7" w:rsidR="006B1DF2" w:rsidRPr="00BB28A0" w:rsidRDefault="006B1DF2" w:rsidP="00E35AF9">
            <w:pPr>
              <w:rPr>
                <w:rFonts w:ascii="StobiSerif Regular" w:hAnsi="StobiSerif Regular"/>
                <w:lang w:val="en-GB"/>
              </w:rPr>
            </w:pPr>
            <w:r w:rsidRPr="00BB28A0">
              <w:rPr>
                <w:rFonts w:ascii="StobiSerif Regular" w:hAnsi="StobiSerif Regular"/>
                <w:lang w:val="en-GB"/>
              </w:rPr>
              <w:t xml:space="preserve">– </w:t>
            </w:r>
            <w:r w:rsidR="00E35AF9" w:rsidRPr="00BB28A0">
              <w:rPr>
                <w:rFonts w:ascii="StobiSerif Regular" w:hAnsi="StobiSerif Regular"/>
                <w:lang w:val="en-GB"/>
              </w:rPr>
              <w:t>purchase value</w:t>
            </w:r>
            <w:r w:rsidRPr="00BB28A0">
              <w:rPr>
                <w:rFonts w:ascii="StobiSerif Regular" w:hAnsi="StobiSerif Regular"/>
                <w:lang w:val="en-GB"/>
              </w:rPr>
              <w:t>:</w:t>
            </w:r>
          </w:p>
        </w:tc>
        <w:tc>
          <w:tcPr>
            <w:tcW w:w="1696" w:type="dxa"/>
            <w:tcBorders>
              <w:top w:val="single" w:sz="4" w:space="0" w:color="808080"/>
              <w:left w:val="nil"/>
              <w:bottom w:val="single" w:sz="4" w:space="0" w:color="808080"/>
              <w:right w:val="single" w:sz="4" w:space="0" w:color="808080"/>
            </w:tcBorders>
            <w:shd w:val="clear" w:color="auto" w:fill="auto"/>
            <w:vAlign w:val="bottom"/>
          </w:tcPr>
          <w:p w14:paraId="7DB411B5" w14:textId="77777777" w:rsidR="006B1DF2" w:rsidRPr="00BB28A0" w:rsidRDefault="006B1DF2" w:rsidP="002C5EDB">
            <w:pPr>
              <w:rPr>
                <w:rFonts w:ascii="StobiSerif Regular" w:hAnsi="StobiSerif Regular"/>
                <w:lang w:val="en-GB"/>
              </w:rPr>
            </w:pPr>
          </w:p>
        </w:tc>
        <w:tc>
          <w:tcPr>
            <w:tcW w:w="941" w:type="dxa"/>
            <w:tcBorders>
              <w:top w:val="nil"/>
              <w:left w:val="nil"/>
              <w:bottom w:val="nil"/>
              <w:right w:val="nil"/>
            </w:tcBorders>
            <w:shd w:val="clear" w:color="auto" w:fill="auto"/>
            <w:noWrap/>
            <w:vAlign w:val="bottom"/>
            <w:hideMark/>
          </w:tcPr>
          <w:p w14:paraId="001851E8" w14:textId="724C09B9" w:rsidR="006B1DF2" w:rsidRPr="00BB28A0" w:rsidRDefault="00E35AF9" w:rsidP="00E35AF9">
            <w:pPr>
              <w:rPr>
                <w:rFonts w:ascii="StobiSerif Regular" w:hAnsi="StobiSerif Regular"/>
                <w:lang w:val="en-GB"/>
              </w:rPr>
            </w:pPr>
            <w:r w:rsidRPr="00BB28A0">
              <w:rPr>
                <w:rFonts w:ascii="StobiSerif Regular" w:hAnsi="StobiSerif Regular"/>
                <w:lang w:val="en-GB"/>
              </w:rPr>
              <w:t>EUR</w:t>
            </w:r>
          </w:p>
        </w:tc>
        <w:tc>
          <w:tcPr>
            <w:tcW w:w="1398" w:type="dxa"/>
            <w:tcBorders>
              <w:top w:val="nil"/>
              <w:left w:val="nil"/>
              <w:bottom w:val="nil"/>
              <w:right w:val="nil"/>
            </w:tcBorders>
            <w:shd w:val="clear" w:color="auto" w:fill="auto"/>
            <w:noWrap/>
            <w:vAlign w:val="bottom"/>
            <w:hideMark/>
          </w:tcPr>
          <w:p w14:paraId="400ADC37" w14:textId="77777777" w:rsidR="006B1DF2" w:rsidRPr="00BB28A0" w:rsidRDefault="006B1DF2" w:rsidP="002C5EDB">
            <w:pPr>
              <w:rPr>
                <w:rFonts w:ascii="StobiSerif Regular" w:hAnsi="StobiSerif Regular"/>
                <w:lang w:val="en-GB"/>
              </w:rPr>
            </w:pPr>
          </w:p>
        </w:tc>
        <w:tc>
          <w:tcPr>
            <w:tcW w:w="731" w:type="dxa"/>
            <w:tcBorders>
              <w:top w:val="nil"/>
              <w:left w:val="nil"/>
              <w:bottom w:val="nil"/>
              <w:right w:val="nil"/>
            </w:tcBorders>
            <w:shd w:val="clear" w:color="auto" w:fill="auto"/>
            <w:noWrap/>
            <w:vAlign w:val="bottom"/>
            <w:hideMark/>
          </w:tcPr>
          <w:p w14:paraId="7BAF06E4" w14:textId="77777777" w:rsidR="006B1DF2" w:rsidRPr="00BB28A0" w:rsidRDefault="006B1DF2" w:rsidP="002C5EDB">
            <w:pPr>
              <w:rPr>
                <w:rFonts w:ascii="StobiSerif Regular" w:hAnsi="StobiSerif Regular"/>
                <w:lang w:val="en-GB"/>
              </w:rPr>
            </w:pPr>
          </w:p>
        </w:tc>
      </w:tr>
      <w:tr w:rsidR="006B1DF2" w:rsidRPr="00BB28A0" w14:paraId="66F55EFC" w14:textId="77777777" w:rsidTr="00E35AF9">
        <w:tc>
          <w:tcPr>
            <w:tcW w:w="9288" w:type="dxa"/>
            <w:gridSpan w:val="6"/>
            <w:tcBorders>
              <w:top w:val="nil"/>
              <w:left w:val="nil"/>
              <w:bottom w:val="nil"/>
              <w:right w:val="nil"/>
            </w:tcBorders>
            <w:shd w:val="clear" w:color="auto" w:fill="auto"/>
            <w:noWrap/>
            <w:vAlign w:val="bottom"/>
            <w:hideMark/>
          </w:tcPr>
          <w:p w14:paraId="4710B4D0" w14:textId="77777777" w:rsidR="006B1DF2" w:rsidRPr="00BB28A0" w:rsidRDefault="006B1DF2" w:rsidP="002C5EDB">
            <w:pPr>
              <w:rPr>
                <w:rFonts w:ascii="StobiSerif Regular" w:hAnsi="StobiSerif Regular"/>
                <w:lang w:val="en-GB"/>
              </w:rPr>
            </w:pPr>
          </w:p>
        </w:tc>
      </w:tr>
      <w:tr w:rsidR="006B1DF2" w:rsidRPr="00BB28A0" w14:paraId="62643A10" w14:textId="77777777" w:rsidTr="00E35AF9">
        <w:trPr>
          <w:trHeight w:val="264"/>
        </w:trPr>
        <w:tc>
          <w:tcPr>
            <w:tcW w:w="226" w:type="dxa"/>
            <w:tcBorders>
              <w:top w:val="nil"/>
              <w:left w:val="nil"/>
              <w:bottom w:val="nil"/>
              <w:right w:val="nil"/>
            </w:tcBorders>
            <w:shd w:val="clear" w:color="auto" w:fill="auto"/>
            <w:noWrap/>
            <w:vAlign w:val="bottom"/>
            <w:hideMark/>
          </w:tcPr>
          <w:p w14:paraId="6E49D810" w14:textId="77777777" w:rsidR="006B1DF2" w:rsidRPr="00BB28A0" w:rsidRDefault="006B1DF2" w:rsidP="002C5EDB">
            <w:pPr>
              <w:rPr>
                <w:rFonts w:ascii="StobiSerif Regular" w:hAnsi="StobiSerif Regular"/>
                <w:lang w:val="en-GB"/>
              </w:rPr>
            </w:pPr>
          </w:p>
        </w:tc>
        <w:tc>
          <w:tcPr>
            <w:tcW w:w="4296" w:type="dxa"/>
            <w:tcBorders>
              <w:top w:val="nil"/>
              <w:left w:val="nil"/>
              <w:bottom w:val="nil"/>
              <w:right w:val="nil"/>
            </w:tcBorders>
            <w:shd w:val="clear" w:color="auto" w:fill="auto"/>
            <w:noWrap/>
            <w:vAlign w:val="bottom"/>
            <w:hideMark/>
          </w:tcPr>
          <w:p w14:paraId="21F2DAF2" w14:textId="44A34A7F" w:rsidR="006B1DF2" w:rsidRPr="00BB28A0" w:rsidRDefault="006B1DF2" w:rsidP="00E35AF9">
            <w:pPr>
              <w:rPr>
                <w:rFonts w:ascii="StobiSerif Regular" w:hAnsi="StobiSerif Regular"/>
                <w:lang w:val="en-GB"/>
              </w:rPr>
            </w:pPr>
            <w:r w:rsidRPr="00BB28A0">
              <w:rPr>
                <w:rFonts w:ascii="StobiSerif Regular" w:hAnsi="StobiSerif Regular"/>
                <w:lang w:val="en-GB"/>
              </w:rPr>
              <w:t xml:space="preserve">– </w:t>
            </w:r>
            <w:r w:rsidR="00E35AF9" w:rsidRPr="00BB28A0">
              <w:rPr>
                <w:rFonts w:ascii="StobiSerif Regular" w:hAnsi="StobiSerif Regular"/>
                <w:lang w:val="en-GB"/>
              </w:rPr>
              <w:t>current value (amortisation)</w:t>
            </w:r>
            <w:r w:rsidRPr="00BB28A0">
              <w:rPr>
                <w:rFonts w:ascii="StobiSerif Regular" w:hAnsi="StobiSerif Regular"/>
                <w:lang w:val="en-GB"/>
              </w:rPr>
              <w:t>:</w:t>
            </w:r>
          </w:p>
        </w:tc>
        <w:tc>
          <w:tcPr>
            <w:tcW w:w="1696" w:type="dxa"/>
            <w:tcBorders>
              <w:top w:val="single" w:sz="4" w:space="0" w:color="808080"/>
              <w:left w:val="single" w:sz="4" w:space="0" w:color="808080"/>
              <w:bottom w:val="single" w:sz="4" w:space="0" w:color="808080"/>
              <w:right w:val="single" w:sz="4" w:space="0" w:color="808080"/>
            </w:tcBorders>
            <w:shd w:val="clear" w:color="auto" w:fill="auto"/>
            <w:vAlign w:val="bottom"/>
          </w:tcPr>
          <w:p w14:paraId="7CC63693" w14:textId="77777777" w:rsidR="006B1DF2" w:rsidRPr="00BB28A0" w:rsidRDefault="006B1DF2" w:rsidP="002C5EDB">
            <w:pPr>
              <w:rPr>
                <w:rFonts w:ascii="StobiSerif Regular" w:hAnsi="StobiSerif Regular"/>
                <w:lang w:val="en-GB"/>
              </w:rPr>
            </w:pPr>
          </w:p>
        </w:tc>
        <w:tc>
          <w:tcPr>
            <w:tcW w:w="941" w:type="dxa"/>
            <w:tcBorders>
              <w:top w:val="nil"/>
              <w:left w:val="nil"/>
              <w:bottom w:val="nil"/>
              <w:right w:val="nil"/>
            </w:tcBorders>
            <w:shd w:val="clear" w:color="auto" w:fill="auto"/>
            <w:noWrap/>
            <w:vAlign w:val="bottom"/>
            <w:hideMark/>
          </w:tcPr>
          <w:p w14:paraId="5B289C3D" w14:textId="6A91F7D1" w:rsidR="006B1DF2" w:rsidRPr="00BB28A0" w:rsidRDefault="00E35AF9" w:rsidP="00E35AF9">
            <w:pPr>
              <w:rPr>
                <w:rFonts w:ascii="StobiSerif Regular" w:hAnsi="StobiSerif Regular"/>
                <w:lang w:val="en-GB"/>
              </w:rPr>
            </w:pPr>
            <w:r w:rsidRPr="00BB28A0">
              <w:rPr>
                <w:rFonts w:ascii="StobiSerif Regular" w:hAnsi="StobiSerif Regular"/>
                <w:lang w:val="en-GB"/>
              </w:rPr>
              <w:t>EUR</w:t>
            </w:r>
          </w:p>
        </w:tc>
        <w:tc>
          <w:tcPr>
            <w:tcW w:w="1398" w:type="dxa"/>
            <w:tcBorders>
              <w:top w:val="nil"/>
              <w:left w:val="nil"/>
              <w:bottom w:val="nil"/>
              <w:right w:val="nil"/>
            </w:tcBorders>
            <w:shd w:val="clear" w:color="auto" w:fill="auto"/>
            <w:noWrap/>
            <w:vAlign w:val="bottom"/>
            <w:hideMark/>
          </w:tcPr>
          <w:p w14:paraId="3FFEAD4C" w14:textId="77777777" w:rsidR="006B1DF2" w:rsidRPr="00BB28A0" w:rsidRDefault="006B1DF2" w:rsidP="002C5EDB">
            <w:pPr>
              <w:rPr>
                <w:rFonts w:ascii="StobiSerif Regular" w:hAnsi="StobiSerif Regular"/>
                <w:lang w:val="en-GB"/>
              </w:rPr>
            </w:pPr>
          </w:p>
        </w:tc>
        <w:tc>
          <w:tcPr>
            <w:tcW w:w="731" w:type="dxa"/>
            <w:tcBorders>
              <w:top w:val="nil"/>
              <w:left w:val="nil"/>
              <w:bottom w:val="nil"/>
              <w:right w:val="nil"/>
            </w:tcBorders>
            <w:shd w:val="clear" w:color="auto" w:fill="auto"/>
            <w:noWrap/>
            <w:vAlign w:val="bottom"/>
            <w:hideMark/>
          </w:tcPr>
          <w:p w14:paraId="284B0DFC" w14:textId="77777777" w:rsidR="006B1DF2" w:rsidRPr="00BB28A0" w:rsidRDefault="006B1DF2" w:rsidP="002C5EDB">
            <w:pPr>
              <w:rPr>
                <w:rFonts w:ascii="StobiSerif Regular" w:hAnsi="StobiSerif Regular"/>
                <w:lang w:val="en-GB"/>
              </w:rPr>
            </w:pPr>
          </w:p>
        </w:tc>
      </w:tr>
    </w:tbl>
    <w:p w14:paraId="3A145686" w14:textId="77777777" w:rsidR="006B1DF2" w:rsidRPr="00BB28A0" w:rsidRDefault="006B1DF2" w:rsidP="006B1DF2">
      <w:pPr>
        <w:rPr>
          <w:rFonts w:ascii="StobiSerif Regular" w:hAnsi="StobiSerif Regular"/>
          <w:b/>
          <w:lang w:val="en-GB"/>
        </w:rPr>
      </w:pPr>
    </w:p>
    <w:p w14:paraId="39481CEF" w14:textId="4845C468" w:rsidR="006B1DF2" w:rsidRPr="00BB28A0" w:rsidRDefault="006B1DF2" w:rsidP="006B1DF2">
      <w:pPr>
        <w:rPr>
          <w:rFonts w:ascii="StobiSerif Regular" w:hAnsi="StobiSerif Regular"/>
          <w:b/>
          <w:lang w:val="en-GB"/>
        </w:rPr>
      </w:pPr>
      <w:r w:rsidRPr="00BB28A0">
        <w:rPr>
          <w:rFonts w:ascii="StobiSerif Regular" w:hAnsi="StobiSerif Regular"/>
          <w:b/>
          <w:lang w:val="en-GB"/>
        </w:rPr>
        <w:t xml:space="preserve">2.2. </w:t>
      </w:r>
      <w:r w:rsidR="00E35AF9" w:rsidRPr="00BB28A0">
        <w:rPr>
          <w:rFonts w:ascii="StobiSerif Regular" w:hAnsi="StobiSerif Regular"/>
          <w:b/>
          <w:lang w:val="en-GB"/>
        </w:rPr>
        <w:t xml:space="preserve">List of capital equipment at purchase price higher than EUR 50.000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4A0" w:firstRow="1" w:lastRow="0" w:firstColumn="1" w:lastColumn="0" w:noHBand="0" w:noVBand="1"/>
      </w:tblPr>
      <w:tblGrid>
        <w:gridCol w:w="519"/>
        <w:gridCol w:w="2099"/>
        <w:gridCol w:w="945"/>
        <w:gridCol w:w="926"/>
        <w:gridCol w:w="1207"/>
        <w:gridCol w:w="1416"/>
        <w:gridCol w:w="1126"/>
        <w:gridCol w:w="773"/>
      </w:tblGrid>
      <w:tr w:rsidR="00E35AF9" w:rsidRPr="00BB28A0" w14:paraId="48ABE6BB" w14:textId="77777777" w:rsidTr="00E35AF9">
        <w:trPr>
          <w:jc w:val="center"/>
        </w:trPr>
        <w:tc>
          <w:tcPr>
            <w:tcW w:w="511" w:type="dxa"/>
            <w:shd w:val="clear" w:color="auto" w:fill="auto"/>
            <w:noWrap/>
            <w:vAlign w:val="bottom"/>
          </w:tcPr>
          <w:p w14:paraId="1E8AD6E4" w14:textId="77777777" w:rsidR="00E35AF9" w:rsidRPr="00BB28A0" w:rsidRDefault="00E35AF9" w:rsidP="00E35AF9">
            <w:pPr>
              <w:rPr>
                <w:rFonts w:ascii="Times New Roman" w:hAnsi="Times New Roman" w:cs="Times New Roman"/>
                <w:b/>
                <w:lang w:val="en-GB"/>
              </w:rPr>
            </w:pPr>
            <w:bookmarkStart w:id="8" w:name="_Hlk177984092"/>
          </w:p>
        </w:tc>
        <w:tc>
          <w:tcPr>
            <w:tcW w:w="2104" w:type="dxa"/>
            <w:shd w:val="clear" w:color="auto" w:fill="auto"/>
          </w:tcPr>
          <w:p w14:paraId="4F62A90B" w14:textId="26F14282" w:rsidR="00E35AF9" w:rsidRPr="00BB28A0" w:rsidRDefault="00E35AF9" w:rsidP="00E35AF9">
            <w:pPr>
              <w:rPr>
                <w:rFonts w:ascii="Times New Roman" w:hAnsi="Times New Roman" w:cs="Times New Roman"/>
                <w:b/>
                <w:lang w:val="en-GB"/>
              </w:rPr>
            </w:pPr>
            <w:r w:rsidRPr="00BB28A0">
              <w:rPr>
                <w:rFonts w:ascii="Times New Roman" w:eastAsia="Times New Roman" w:hAnsi="Times New Roman" w:cs="Times New Roman"/>
                <w:b/>
                <w:lang w:val="en-GB" w:eastAsia="en-GB"/>
              </w:rPr>
              <w:t>Name of research equipment</w:t>
            </w:r>
          </w:p>
        </w:tc>
        <w:tc>
          <w:tcPr>
            <w:tcW w:w="945" w:type="dxa"/>
          </w:tcPr>
          <w:p w14:paraId="16FBD806" w14:textId="2F0F2DD1" w:rsidR="00E35AF9" w:rsidRPr="00BB28A0" w:rsidRDefault="00E35AF9" w:rsidP="00E35AF9">
            <w:pPr>
              <w:rPr>
                <w:rFonts w:ascii="Times New Roman" w:hAnsi="Times New Roman" w:cs="Times New Roman"/>
                <w:b/>
                <w:lang w:val="en-GB"/>
              </w:rPr>
            </w:pPr>
            <w:r w:rsidRPr="00BB28A0">
              <w:rPr>
                <w:rFonts w:ascii="Times New Roman" w:eastAsia="Times New Roman" w:hAnsi="Times New Roman" w:cs="Times New Roman"/>
                <w:b/>
                <w:lang w:val="en-GB" w:eastAsia="en-GB"/>
              </w:rPr>
              <w:t>Purchase Price (EUR)</w:t>
            </w:r>
          </w:p>
        </w:tc>
        <w:tc>
          <w:tcPr>
            <w:tcW w:w="926" w:type="dxa"/>
            <w:shd w:val="clear" w:color="auto" w:fill="auto"/>
          </w:tcPr>
          <w:p w14:paraId="569B2D87" w14:textId="4305E183" w:rsidR="00E35AF9" w:rsidRPr="00BB28A0" w:rsidRDefault="00E35AF9" w:rsidP="00E35AF9">
            <w:pPr>
              <w:rPr>
                <w:rFonts w:ascii="Times New Roman" w:hAnsi="Times New Roman" w:cs="Times New Roman"/>
                <w:b/>
                <w:lang w:val="en-GB"/>
              </w:rPr>
            </w:pPr>
            <w:r w:rsidRPr="00BB28A0">
              <w:rPr>
                <w:rFonts w:ascii="Times New Roman" w:eastAsia="Times New Roman" w:hAnsi="Times New Roman" w:cs="Times New Roman"/>
                <w:b/>
                <w:lang w:val="en-GB" w:eastAsia="en-GB"/>
              </w:rPr>
              <w:t>Year of Purchase</w:t>
            </w:r>
          </w:p>
        </w:tc>
        <w:tc>
          <w:tcPr>
            <w:tcW w:w="1208" w:type="dxa"/>
            <w:shd w:val="clear" w:color="auto" w:fill="auto"/>
          </w:tcPr>
          <w:p w14:paraId="1A2E7B99" w14:textId="2950A465" w:rsidR="00E35AF9" w:rsidRPr="00BB28A0" w:rsidRDefault="00946DB9" w:rsidP="00E35AF9">
            <w:pPr>
              <w:rPr>
                <w:rFonts w:ascii="Times New Roman" w:hAnsi="Times New Roman" w:cs="Times New Roman"/>
                <w:b/>
                <w:lang w:val="en-GB"/>
              </w:rPr>
            </w:pPr>
            <w:r w:rsidRPr="00BB28A0">
              <w:rPr>
                <w:rFonts w:ascii="Times New Roman" w:eastAsia="Times New Roman" w:hAnsi="Times New Roman" w:cs="Times New Roman"/>
                <w:b/>
                <w:lang w:val="en-GB" w:eastAsia="en-GB"/>
              </w:rPr>
              <w:t>S</w:t>
            </w:r>
            <w:r w:rsidR="00E35AF9" w:rsidRPr="00BB28A0">
              <w:rPr>
                <w:rFonts w:ascii="Times New Roman" w:eastAsia="Times New Roman" w:hAnsi="Times New Roman" w:cs="Times New Roman"/>
                <w:b/>
                <w:lang w:val="en-GB" w:eastAsia="en-GB"/>
              </w:rPr>
              <w:t>ource of funds for the purchase of equipment</w:t>
            </w:r>
          </w:p>
        </w:tc>
        <w:tc>
          <w:tcPr>
            <w:tcW w:w="1417" w:type="dxa"/>
          </w:tcPr>
          <w:p w14:paraId="0448511C" w14:textId="210A9A07" w:rsidR="00E35AF9" w:rsidRPr="00BB28A0" w:rsidRDefault="00E35AF9" w:rsidP="00E35AF9">
            <w:pPr>
              <w:rPr>
                <w:rFonts w:ascii="Times New Roman" w:hAnsi="Times New Roman" w:cs="Times New Roman"/>
                <w:b/>
                <w:lang w:val="en-GB"/>
              </w:rPr>
            </w:pPr>
            <w:r w:rsidRPr="00BB28A0">
              <w:rPr>
                <w:rFonts w:ascii="Times New Roman" w:hAnsi="Times New Roman" w:cs="Times New Roman"/>
                <w:b/>
                <w:lang w:val="en-GB"/>
              </w:rPr>
              <w:t>Estimated Duration of Equipment (yrs.)</w:t>
            </w:r>
          </w:p>
        </w:tc>
        <w:tc>
          <w:tcPr>
            <w:tcW w:w="1127" w:type="dxa"/>
          </w:tcPr>
          <w:p w14:paraId="655C5F4F" w14:textId="272C1D7D" w:rsidR="00E35AF9" w:rsidRPr="00BB28A0" w:rsidRDefault="00E35AF9" w:rsidP="00E35AF9">
            <w:pPr>
              <w:rPr>
                <w:rFonts w:ascii="Times New Roman" w:hAnsi="Times New Roman" w:cs="Times New Roman"/>
                <w:b/>
                <w:lang w:val="en-GB"/>
              </w:rPr>
            </w:pPr>
            <w:r w:rsidRPr="00BB28A0">
              <w:rPr>
                <w:rFonts w:ascii="Times New Roman" w:eastAsia="Times New Roman" w:hAnsi="Times New Roman" w:cs="Times New Roman"/>
                <w:b/>
                <w:lang w:val="en-GB" w:eastAsia="en-GB"/>
              </w:rPr>
              <w:t xml:space="preserve">Estimated Number of Users </w:t>
            </w:r>
          </w:p>
        </w:tc>
        <w:tc>
          <w:tcPr>
            <w:tcW w:w="773" w:type="dxa"/>
          </w:tcPr>
          <w:p w14:paraId="23C1461F" w14:textId="15C58F14" w:rsidR="00E35AF9" w:rsidRPr="00BB28A0" w:rsidRDefault="00E35AF9" w:rsidP="00E35AF9">
            <w:pPr>
              <w:rPr>
                <w:rFonts w:ascii="Times New Roman" w:hAnsi="Times New Roman" w:cs="Times New Roman"/>
                <w:b/>
                <w:lang w:val="en-GB"/>
              </w:rPr>
            </w:pPr>
            <w:r w:rsidRPr="00BB28A0">
              <w:rPr>
                <w:rFonts w:ascii="Times New Roman" w:hAnsi="Times New Roman" w:cs="Times New Roman"/>
                <w:b/>
                <w:lang w:val="en-GB"/>
              </w:rPr>
              <w:t>Price of services</w:t>
            </w:r>
          </w:p>
        </w:tc>
      </w:tr>
      <w:tr w:rsidR="00E35AF9" w:rsidRPr="00BB28A0" w14:paraId="247E85D5" w14:textId="77777777" w:rsidTr="00E35AF9">
        <w:trPr>
          <w:jc w:val="center"/>
        </w:trPr>
        <w:tc>
          <w:tcPr>
            <w:tcW w:w="511" w:type="dxa"/>
            <w:shd w:val="clear" w:color="auto" w:fill="auto"/>
            <w:noWrap/>
            <w:vAlign w:val="bottom"/>
          </w:tcPr>
          <w:p w14:paraId="05BF7B1D" w14:textId="77777777" w:rsidR="006B1DF2" w:rsidRPr="00BB28A0" w:rsidRDefault="006B1DF2" w:rsidP="002C5EDB">
            <w:pPr>
              <w:rPr>
                <w:rFonts w:ascii="Times New Roman" w:hAnsi="Times New Roman" w:cs="Times New Roman"/>
                <w:lang w:val="en-GB"/>
              </w:rPr>
            </w:pPr>
            <w:r w:rsidRPr="00BB28A0">
              <w:rPr>
                <w:rFonts w:ascii="Times New Roman" w:hAnsi="Times New Roman" w:cs="Times New Roman"/>
                <w:lang w:val="en-GB"/>
              </w:rPr>
              <w:t>1.</w:t>
            </w:r>
          </w:p>
        </w:tc>
        <w:tc>
          <w:tcPr>
            <w:tcW w:w="2104" w:type="dxa"/>
            <w:shd w:val="clear" w:color="auto" w:fill="auto"/>
            <w:vAlign w:val="bottom"/>
          </w:tcPr>
          <w:p w14:paraId="1DE2BF95" w14:textId="77777777" w:rsidR="006B1DF2" w:rsidRPr="00BB28A0" w:rsidRDefault="006B1DF2" w:rsidP="002C5EDB">
            <w:pPr>
              <w:rPr>
                <w:rFonts w:ascii="Times New Roman" w:hAnsi="Times New Roman" w:cs="Times New Roman"/>
                <w:lang w:val="en-GB"/>
              </w:rPr>
            </w:pPr>
          </w:p>
        </w:tc>
        <w:tc>
          <w:tcPr>
            <w:tcW w:w="945" w:type="dxa"/>
            <w:vAlign w:val="bottom"/>
          </w:tcPr>
          <w:p w14:paraId="1EDC8BE0" w14:textId="77777777" w:rsidR="006B1DF2" w:rsidRPr="00BB28A0" w:rsidRDefault="006B1DF2" w:rsidP="002C5EDB">
            <w:pPr>
              <w:rPr>
                <w:rFonts w:ascii="Times New Roman" w:hAnsi="Times New Roman" w:cs="Times New Roman"/>
                <w:lang w:val="en-GB"/>
              </w:rPr>
            </w:pPr>
          </w:p>
        </w:tc>
        <w:tc>
          <w:tcPr>
            <w:tcW w:w="926" w:type="dxa"/>
            <w:shd w:val="clear" w:color="auto" w:fill="auto"/>
            <w:vAlign w:val="bottom"/>
          </w:tcPr>
          <w:p w14:paraId="0DEED490" w14:textId="77777777" w:rsidR="006B1DF2" w:rsidRPr="00BB28A0" w:rsidRDefault="006B1DF2" w:rsidP="002C5EDB">
            <w:pPr>
              <w:rPr>
                <w:rFonts w:ascii="Times New Roman" w:hAnsi="Times New Roman" w:cs="Times New Roman"/>
                <w:lang w:val="en-GB"/>
              </w:rPr>
            </w:pPr>
          </w:p>
        </w:tc>
        <w:tc>
          <w:tcPr>
            <w:tcW w:w="1208" w:type="dxa"/>
            <w:shd w:val="clear" w:color="auto" w:fill="auto"/>
            <w:vAlign w:val="bottom"/>
          </w:tcPr>
          <w:p w14:paraId="1E5D5708" w14:textId="77777777" w:rsidR="006B1DF2" w:rsidRPr="00BB28A0" w:rsidRDefault="006B1DF2" w:rsidP="002C5EDB">
            <w:pPr>
              <w:rPr>
                <w:rFonts w:ascii="Times New Roman" w:hAnsi="Times New Roman" w:cs="Times New Roman"/>
                <w:lang w:val="en-GB"/>
              </w:rPr>
            </w:pPr>
          </w:p>
        </w:tc>
        <w:tc>
          <w:tcPr>
            <w:tcW w:w="1417" w:type="dxa"/>
          </w:tcPr>
          <w:p w14:paraId="7DE082A7" w14:textId="77777777" w:rsidR="006B1DF2" w:rsidRPr="00BB28A0" w:rsidRDefault="006B1DF2" w:rsidP="002C5EDB">
            <w:pPr>
              <w:rPr>
                <w:rFonts w:ascii="Times New Roman" w:hAnsi="Times New Roman" w:cs="Times New Roman"/>
                <w:lang w:val="en-GB"/>
              </w:rPr>
            </w:pPr>
          </w:p>
        </w:tc>
        <w:tc>
          <w:tcPr>
            <w:tcW w:w="1127" w:type="dxa"/>
          </w:tcPr>
          <w:p w14:paraId="29013C14" w14:textId="77777777" w:rsidR="006B1DF2" w:rsidRPr="00BB28A0" w:rsidRDefault="006B1DF2" w:rsidP="002C5EDB">
            <w:pPr>
              <w:rPr>
                <w:rFonts w:ascii="Times New Roman" w:hAnsi="Times New Roman" w:cs="Times New Roman"/>
                <w:lang w:val="en-GB"/>
              </w:rPr>
            </w:pPr>
          </w:p>
        </w:tc>
        <w:tc>
          <w:tcPr>
            <w:tcW w:w="773" w:type="dxa"/>
          </w:tcPr>
          <w:p w14:paraId="2F6A8509" w14:textId="77777777" w:rsidR="006B1DF2" w:rsidRPr="00BB28A0" w:rsidRDefault="006B1DF2" w:rsidP="002C5EDB">
            <w:pPr>
              <w:rPr>
                <w:rFonts w:ascii="Times New Roman" w:hAnsi="Times New Roman" w:cs="Times New Roman"/>
                <w:lang w:val="en-GB"/>
              </w:rPr>
            </w:pPr>
          </w:p>
        </w:tc>
      </w:tr>
      <w:tr w:rsidR="00E35AF9" w:rsidRPr="00BB28A0" w14:paraId="5548D548" w14:textId="77777777" w:rsidTr="00E35AF9">
        <w:trPr>
          <w:jc w:val="center"/>
        </w:trPr>
        <w:tc>
          <w:tcPr>
            <w:tcW w:w="511" w:type="dxa"/>
            <w:shd w:val="clear" w:color="auto" w:fill="auto"/>
            <w:noWrap/>
            <w:vAlign w:val="bottom"/>
          </w:tcPr>
          <w:p w14:paraId="24E114DF" w14:textId="77777777" w:rsidR="006B1DF2" w:rsidRPr="00BB28A0" w:rsidRDefault="006B1DF2" w:rsidP="002C5EDB">
            <w:pPr>
              <w:rPr>
                <w:rFonts w:ascii="Times New Roman" w:hAnsi="Times New Roman" w:cs="Times New Roman"/>
                <w:lang w:val="en-GB"/>
              </w:rPr>
            </w:pPr>
            <w:r w:rsidRPr="00BB28A0">
              <w:rPr>
                <w:rFonts w:ascii="Times New Roman" w:hAnsi="Times New Roman" w:cs="Times New Roman"/>
                <w:lang w:val="en-GB"/>
              </w:rPr>
              <w:t>2.</w:t>
            </w:r>
          </w:p>
        </w:tc>
        <w:tc>
          <w:tcPr>
            <w:tcW w:w="2104" w:type="dxa"/>
            <w:shd w:val="clear" w:color="auto" w:fill="auto"/>
            <w:vAlign w:val="bottom"/>
          </w:tcPr>
          <w:p w14:paraId="69EA7657" w14:textId="77777777" w:rsidR="006B1DF2" w:rsidRPr="00BB28A0" w:rsidRDefault="006B1DF2" w:rsidP="002C5EDB">
            <w:pPr>
              <w:rPr>
                <w:rFonts w:ascii="Times New Roman" w:hAnsi="Times New Roman" w:cs="Times New Roman"/>
                <w:lang w:val="en-GB"/>
              </w:rPr>
            </w:pPr>
          </w:p>
        </w:tc>
        <w:tc>
          <w:tcPr>
            <w:tcW w:w="945" w:type="dxa"/>
            <w:vAlign w:val="bottom"/>
          </w:tcPr>
          <w:p w14:paraId="62CAE4CF" w14:textId="77777777" w:rsidR="006B1DF2" w:rsidRPr="00BB28A0" w:rsidRDefault="006B1DF2" w:rsidP="002C5EDB">
            <w:pPr>
              <w:rPr>
                <w:rFonts w:ascii="Times New Roman" w:hAnsi="Times New Roman" w:cs="Times New Roman"/>
                <w:lang w:val="en-GB"/>
              </w:rPr>
            </w:pPr>
          </w:p>
        </w:tc>
        <w:tc>
          <w:tcPr>
            <w:tcW w:w="926" w:type="dxa"/>
            <w:shd w:val="clear" w:color="auto" w:fill="auto"/>
            <w:vAlign w:val="bottom"/>
          </w:tcPr>
          <w:p w14:paraId="1CB8C70C" w14:textId="77777777" w:rsidR="006B1DF2" w:rsidRPr="00BB28A0" w:rsidRDefault="006B1DF2" w:rsidP="002C5EDB">
            <w:pPr>
              <w:rPr>
                <w:rFonts w:ascii="Times New Roman" w:hAnsi="Times New Roman" w:cs="Times New Roman"/>
                <w:lang w:val="en-GB"/>
              </w:rPr>
            </w:pPr>
          </w:p>
        </w:tc>
        <w:tc>
          <w:tcPr>
            <w:tcW w:w="1208" w:type="dxa"/>
            <w:shd w:val="clear" w:color="auto" w:fill="auto"/>
            <w:vAlign w:val="bottom"/>
          </w:tcPr>
          <w:p w14:paraId="77B8D5C6" w14:textId="77777777" w:rsidR="006B1DF2" w:rsidRPr="00BB28A0" w:rsidRDefault="006B1DF2" w:rsidP="002C5EDB">
            <w:pPr>
              <w:rPr>
                <w:rFonts w:ascii="Times New Roman" w:hAnsi="Times New Roman" w:cs="Times New Roman"/>
                <w:lang w:val="en-GB"/>
              </w:rPr>
            </w:pPr>
          </w:p>
        </w:tc>
        <w:tc>
          <w:tcPr>
            <w:tcW w:w="1417" w:type="dxa"/>
          </w:tcPr>
          <w:p w14:paraId="08EDF289" w14:textId="77777777" w:rsidR="006B1DF2" w:rsidRPr="00BB28A0" w:rsidRDefault="006B1DF2" w:rsidP="002C5EDB">
            <w:pPr>
              <w:rPr>
                <w:rFonts w:ascii="Times New Roman" w:hAnsi="Times New Roman" w:cs="Times New Roman"/>
                <w:lang w:val="en-GB"/>
              </w:rPr>
            </w:pPr>
          </w:p>
        </w:tc>
        <w:tc>
          <w:tcPr>
            <w:tcW w:w="1127" w:type="dxa"/>
          </w:tcPr>
          <w:p w14:paraId="2B7E30F0" w14:textId="77777777" w:rsidR="006B1DF2" w:rsidRPr="00BB28A0" w:rsidRDefault="006B1DF2" w:rsidP="002C5EDB">
            <w:pPr>
              <w:rPr>
                <w:rFonts w:ascii="Times New Roman" w:hAnsi="Times New Roman" w:cs="Times New Roman"/>
                <w:lang w:val="en-GB"/>
              </w:rPr>
            </w:pPr>
          </w:p>
        </w:tc>
        <w:tc>
          <w:tcPr>
            <w:tcW w:w="773" w:type="dxa"/>
          </w:tcPr>
          <w:p w14:paraId="23281F63" w14:textId="77777777" w:rsidR="006B1DF2" w:rsidRPr="00BB28A0" w:rsidRDefault="006B1DF2" w:rsidP="002C5EDB">
            <w:pPr>
              <w:rPr>
                <w:rFonts w:ascii="Times New Roman" w:hAnsi="Times New Roman" w:cs="Times New Roman"/>
                <w:lang w:val="en-GB"/>
              </w:rPr>
            </w:pPr>
          </w:p>
        </w:tc>
      </w:tr>
      <w:tr w:rsidR="00E35AF9" w:rsidRPr="00BB28A0" w14:paraId="59F87FF3" w14:textId="77777777" w:rsidTr="00E35AF9">
        <w:trPr>
          <w:jc w:val="center"/>
        </w:trPr>
        <w:tc>
          <w:tcPr>
            <w:tcW w:w="511" w:type="dxa"/>
            <w:shd w:val="clear" w:color="auto" w:fill="auto"/>
            <w:noWrap/>
            <w:vAlign w:val="bottom"/>
          </w:tcPr>
          <w:p w14:paraId="662B0D76" w14:textId="77777777" w:rsidR="006B1DF2" w:rsidRPr="00BB28A0" w:rsidRDefault="006B1DF2" w:rsidP="002C5EDB">
            <w:pPr>
              <w:rPr>
                <w:rFonts w:ascii="Times New Roman" w:hAnsi="Times New Roman" w:cs="Times New Roman"/>
                <w:lang w:val="en-GB"/>
              </w:rPr>
            </w:pPr>
            <w:r w:rsidRPr="00BB28A0">
              <w:rPr>
                <w:rFonts w:ascii="Times New Roman" w:hAnsi="Times New Roman" w:cs="Times New Roman"/>
                <w:lang w:val="en-GB"/>
              </w:rPr>
              <w:t>3.</w:t>
            </w:r>
          </w:p>
        </w:tc>
        <w:tc>
          <w:tcPr>
            <w:tcW w:w="2104" w:type="dxa"/>
            <w:shd w:val="clear" w:color="auto" w:fill="auto"/>
            <w:vAlign w:val="bottom"/>
          </w:tcPr>
          <w:p w14:paraId="1CB04DB2" w14:textId="77777777" w:rsidR="006B1DF2" w:rsidRPr="00BB28A0" w:rsidRDefault="006B1DF2" w:rsidP="002C5EDB">
            <w:pPr>
              <w:rPr>
                <w:rFonts w:ascii="Times New Roman" w:hAnsi="Times New Roman" w:cs="Times New Roman"/>
                <w:lang w:val="en-GB"/>
              </w:rPr>
            </w:pPr>
          </w:p>
        </w:tc>
        <w:tc>
          <w:tcPr>
            <w:tcW w:w="945" w:type="dxa"/>
            <w:vAlign w:val="bottom"/>
          </w:tcPr>
          <w:p w14:paraId="32A179BC" w14:textId="77777777" w:rsidR="006B1DF2" w:rsidRPr="00BB28A0" w:rsidRDefault="006B1DF2" w:rsidP="002C5EDB">
            <w:pPr>
              <w:rPr>
                <w:rFonts w:ascii="Times New Roman" w:hAnsi="Times New Roman" w:cs="Times New Roman"/>
                <w:lang w:val="en-GB"/>
              </w:rPr>
            </w:pPr>
          </w:p>
        </w:tc>
        <w:tc>
          <w:tcPr>
            <w:tcW w:w="926" w:type="dxa"/>
            <w:shd w:val="clear" w:color="auto" w:fill="auto"/>
            <w:vAlign w:val="bottom"/>
          </w:tcPr>
          <w:p w14:paraId="77C7F37D" w14:textId="77777777" w:rsidR="006B1DF2" w:rsidRPr="00BB28A0" w:rsidRDefault="006B1DF2" w:rsidP="002C5EDB">
            <w:pPr>
              <w:rPr>
                <w:rFonts w:ascii="Times New Roman" w:hAnsi="Times New Roman" w:cs="Times New Roman"/>
                <w:lang w:val="en-GB"/>
              </w:rPr>
            </w:pPr>
          </w:p>
        </w:tc>
        <w:tc>
          <w:tcPr>
            <w:tcW w:w="1208" w:type="dxa"/>
            <w:shd w:val="clear" w:color="auto" w:fill="auto"/>
            <w:vAlign w:val="bottom"/>
          </w:tcPr>
          <w:p w14:paraId="4CD50C94" w14:textId="77777777" w:rsidR="006B1DF2" w:rsidRPr="00BB28A0" w:rsidRDefault="006B1DF2" w:rsidP="002C5EDB">
            <w:pPr>
              <w:rPr>
                <w:rFonts w:ascii="Times New Roman" w:hAnsi="Times New Roman" w:cs="Times New Roman"/>
                <w:lang w:val="en-GB"/>
              </w:rPr>
            </w:pPr>
          </w:p>
        </w:tc>
        <w:tc>
          <w:tcPr>
            <w:tcW w:w="1417" w:type="dxa"/>
          </w:tcPr>
          <w:p w14:paraId="24506182" w14:textId="77777777" w:rsidR="006B1DF2" w:rsidRPr="00BB28A0" w:rsidRDefault="006B1DF2" w:rsidP="002C5EDB">
            <w:pPr>
              <w:rPr>
                <w:rFonts w:ascii="Times New Roman" w:hAnsi="Times New Roman" w:cs="Times New Roman"/>
                <w:lang w:val="en-GB"/>
              </w:rPr>
            </w:pPr>
          </w:p>
        </w:tc>
        <w:tc>
          <w:tcPr>
            <w:tcW w:w="1127" w:type="dxa"/>
          </w:tcPr>
          <w:p w14:paraId="3AB9869A" w14:textId="77777777" w:rsidR="006B1DF2" w:rsidRPr="00BB28A0" w:rsidRDefault="006B1DF2" w:rsidP="002C5EDB">
            <w:pPr>
              <w:rPr>
                <w:rFonts w:ascii="Times New Roman" w:hAnsi="Times New Roman" w:cs="Times New Roman"/>
                <w:lang w:val="en-GB"/>
              </w:rPr>
            </w:pPr>
          </w:p>
        </w:tc>
        <w:tc>
          <w:tcPr>
            <w:tcW w:w="773" w:type="dxa"/>
          </w:tcPr>
          <w:p w14:paraId="7A6D9BA2" w14:textId="77777777" w:rsidR="006B1DF2" w:rsidRPr="00BB28A0" w:rsidRDefault="006B1DF2" w:rsidP="002C5EDB">
            <w:pPr>
              <w:rPr>
                <w:rFonts w:ascii="Times New Roman" w:hAnsi="Times New Roman" w:cs="Times New Roman"/>
                <w:lang w:val="en-GB"/>
              </w:rPr>
            </w:pPr>
          </w:p>
        </w:tc>
      </w:tr>
      <w:tr w:rsidR="00E35AF9" w:rsidRPr="00BB28A0" w14:paraId="7E694943" w14:textId="77777777" w:rsidTr="00E35AF9">
        <w:trPr>
          <w:jc w:val="center"/>
        </w:trPr>
        <w:tc>
          <w:tcPr>
            <w:tcW w:w="511" w:type="dxa"/>
            <w:shd w:val="clear" w:color="auto" w:fill="auto"/>
            <w:noWrap/>
            <w:vAlign w:val="bottom"/>
          </w:tcPr>
          <w:p w14:paraId="2D516EE9" w14:textId="77777777" w:rsidR="006B1DF2" w:rsidRPr="00BB28A0" w:rsidRDefault="006B1DF2" w:rsidP="002C5EDB">
            <w:pPr>
              <w:rPr>
                <w:rFonts w:ascii="Times New Roman" w:hAnsi="Times New Roman" w:cs="Times New Roman"/>
                <w:lang w:val="en-GB"/>
              </w:rPr>
            </w:pPr>
            <w:r w:rsidRPr="00BB28A0">
              <w:rPr>
                <w:rFonts w:ascii="Times New Roman" w:hAnsi="Times New Roman" w:cs="Times New Roman"/>
                <w:lang w:val="en-GB"/>
              </w:rPr>
              <w:t>4.</w:t>
            </w:r>
          </w:p>
        </w:tc>
        <w:tc>
          <w:tcPr>
            <w:tcW w:w="2104" w:type="dxa"/>
            <w:shd w:val="clear" w:color="auto" w:fill="auto"/>
            <w:vAlign w:val="bottom"/>
          </w:tcPr>
          <w:p w14:paraId="2818AE1F" w14:textId="77777777" w:rsidR="006B1DF2" w:rsidRPr="00BB28A0" w:rsidRDefault="006B1DF2" w:rsidP="002C5EDB">
            <w:pPr>
              <w:rPr>
                <w:rFonts w:ascii="Times New Roman" w:hAnsi="Times New Roman" w:cs="Times New Roman"/>
                <w:lang w:val="en-GB"/>
              </w:rPr>
            </w:pPr>
          </w:p>
        </w:tc>
        <w:tc>
          <w:tcPr>
            <w:tcW w:w="945" w:type="dxa"/>
            <w:vAlign w:val="bottom"/>
          </w:tcPr>
          <w:p w14:paraId="55DCAE0E" w14:textId="77777777" w:rsidR="006B1DF2" w:rsidRPr="00BB28A0" w:rsidRDefault="006B1DF2" w:rsidP="002C5EDB">
            <w:pPr>
              <w:rPr>
                <w:rFonts w:ascii="Times New Roman" w:hAnsi="Times New Roman" w:cs="Times New Roman"/>
                <w:lang w:val="en-GB"/>
              </w:rPr>
            </w:pPr>
          </w:p>
        </w:tc>
        <w:tc>
          <w:tcPr>
            <w:tcW w:w="926" w:type="dxa"/>
            <w:shd w:val="clear" w:color="auto" w:fill="auto"/>
            <w:vAlign w:val="bottom"/>
          </w:tcPr>
          <w:p w14:paraId="0E0E4447" w14:textId="77777777" w:rsidR="006B1DF2" w:rsidRPr="00BB28A0" w:rsidRDefault="006B1DF2" w:rsidP="002C5EDB">
            <w:pPr>
              <w:rPr>
                <w:rFonts w:ascii="Times New Roman" w:hAnsi="Times New Roman" w:cs="Times New Roman"/>
                <w:lang w:val="en-GB"/>
              </w:rPr>
            </w:pPr>
          </w:p>
        </w:tc>
        <w:tc>
          <w:tcPr>
            <w:tcW w:w="1208" w:type="dxa"/>
            <w:shd w:val="clear" w:color="auto" w:fill="auto"/>
            <w:vAlign w:val="bottom"/>
          </w:tcPr>
          <w:p w14:paraId="545E0E91" w14:textId="77777777" w:rsidR="006B1DF2" w:rsidRPr="00BB28A0" w:rsidRDefault="006B1DF2" w:rsidP="002C5EDB">
            <w:pPr>
              <w:rPr>
                <w:rFonts w:ascii="Times New Roman" w:hAnsi="Times New Roman" w:cs="Times New Roman"/>
                <w:lang w:val="en-GB"/>
              </w:rPr>
            </w:pPr>
          </w:p>
        </w:tc>
        <w:tc>
          <w:tcPr>
            <w:tcW w:w="1417" w:type="dxa"/>
          </w:tcPr>
          <w:p w14:paraId="3761A20C" w14:textId="77777777" w:rsidR="006B1DF2" w:rsidRPr="00BB28A0" w:rsidRDefault="006B1DF2" w:rsidP="002C5EDB">
            <w:pPr>
              <w:rPr>
                <w:rFonts w:ascii="Times New Roman" w:hAnsi="Times New Roman" w:cs="Times New Roman"/>
                <w:lang w:val="en-GB"/>
              </w:rPr>
            </w:pPr>
          </w:p>
        </w:tc>
        <w:tc>
          <w:tcPr>
            <w:tcW w:w="1127" w:type="dxa"/>
          </w:tcPr>
          <w:p w14:paraId="37928A3D" w14:textId="77777777" w:rsidR="006B1DF2" w:rsidRPr="00BB28A0" w:rsidRDefault="006B1DF2" w:rsidP="002C5EDB">
            <w:pPr>
              <w:rPr>
                <w:rFonts w:ascii="Times New Roman" w:hAnsi="Times New Roman" w:cs="Times New Roman"/>
                <w:lang w:val="en-GB"/>
              </w:rPr>
            </w:pPr>
          </w:p>
        </w:tc>
        <w:tc>
          <w:tcPr>
            <w:tcW w:w="773" w:type="dxa"/>
          </w:tcPr>
          <w:p w14:paraId="0BCE24DF" w14:textId="77777777" w:rsidR="006B1DF2" w:rsidRPr="00BB28A0" w:rsidRDefault="006B1DF2" w:rsidP="002C5EDB">
            <w:pPr>
              <w:rPr>
                <w:rFonts w:ascii="Times New Roman" w:hAnsi="Times New Roman" w:cs="Times New Roman"/>
                <w:lang w:val="en-GB"/>
              </w:rPr>
            </w:pPr>
          </w:p>
        </w:tc>
      </w:tr>
      <w:tr w:rsidR="00E35AF9" w:rsidRPr="00BB28A0" w14:paraId="66B75E14" w14:textId="77777777" w:rsidTr="00E35AF9">
        <w:trPr>
          <w:jc w:val="center"/>
        </w:trPr>
        <w:tc>
          <w:tcPr>
            <w:tcW w:w="511" w:type="dxa"/>
            <w:shd w:val="clear" w:color="auto" w:fill="auto"/>
            <w:noWrap/>
            <w:vAlign w:val="bottom"/>
          </w:tcPr>
          <w:p w14:paraId="282C8FC5" w14:textId="77777777" w:rsidR="006B1DF2" w:rsidRPr="00BB28A0" w:rsidRDefault="006B1DF2" w:rsidP="002C5EDB">
            <w:pPr>
              <w:rPr>
                <w:rFonts w:ascii="Times New Roman" w:hAnsi="Times New Roman" w:cs="Times New Roman"/>
                <w:lang w:val="en-GB"/>
              </w:rPr>
            </w:pPr>
            <w:r w:rsidRPr="00BB28A0">
              <w:rPr>
                <w:rFonts w:ascii="Times New Roman" w:hAnsi="Times New Roman" w:cs="Times New Roman"/>
                <w:lang w:val="en-GB"/>
              </w:rPr>
              <w:t>5.</w:t>
            </w:r>
          </w:p>
        </w:tc>
        <w:tc>
          <w:tcPr>
            <w:tcW w:w="2104" w:type="dxa"/>
            <w:shd w:val="clear" w:color="auto" w:fill="auto"/>
            <w:vAlign w:val="bottom"/>
          </w:tcPr>
          <w:p w14:paraId="509438EE" w14:textId="77777777" w:rsidR="006B1DF2" w:rsidRPr="00BB28A0" w:rsidRDefault="006B1DF2" w:rsidP="002C5EDB">
            <w:pPr>
              <w:rPr>
                <w:rFonts w:ascii="Times New Roman" w:hAnsi="Times New Roman" w:cs="Times New Roman"/>
                <w:lang w:val="en-GB"/>
              </w:rPr>
            </w:pPr>
          </w:p>
        </w:tc>
        <w:tc>
          <w:tcPr>
            <w:tcW w:w="945" w:type="dxa"/>
            <w:vAlign w:val="bottom"/>
          </w:tcPr>
          <w:p w14:paraId="6158DD6C" w14:textId="77777777" w:rsidR="006B1DF2" w:rsidRPr="00BB28A0" w:rsidRDefault="006B1DF2" w:rsidP="002C5EDB">
            <w:pPr>
              <w:rPr>
                <w:rFonts w:ascii="Times New Roman" w:hAnsi="Times New Roman" w:cs="Times New Roman"/>
                <w:lang w:val="en-GB"/>
              </w:rPr>
            </w:pPr>
          </w:p>
        </w:tc>
        <w:tc>
          <w:tcPr>
            <w:tcW w:w="926" w:type="dxa"/>
            <w:shd w:val="clear" w:color="auto" w:fill="auto"/>
            <w:vAlign w:val="bottom"/>
          </w:tcPr>
          <w:p w14:paraId="293365B5" w14:textId="77777777" w:rsidR="006B1DF2" w:rsidRPr="00BB28A0" w:rsidRDefault="006B1DF2" w:rsidP="002C5EDB">
            <w:pPr>
              <w:rPr>
                <w:rFonts w:ascii="Times New Roman" w:hAnsi="Times New Roman" w:cs="Times New Roman"/>
                <w:lang w:val="en-GB"/>
              </w:rPr>
            </w:pPr>
          </w:p>
        </w:tc>
        <w:tc>
          <w:tcPr>
            <w:tcW w:w="1208" w:type="dxa"/>
            <w:shd w:val="clear" w:color="auto" w:fill="auto"/>
            <w:vAlign w:val="bottom"/>
          </w:tcPr>
          <w:p w14:paraId="33D192B1" w14:textId="77777777" w:rsidR="006B1DF2" w:rsidRPr="00BB28A0" w:rsidRDefault="006B1DF2" w:rsidP="002C5EDB">
            <w:pPr>
              <w:rPr>
                <w:rFonts w:ascii="Times New Roman" w:hAnsi="Times New Roman" w:cs="Times New Roman"/>
                <w:lang w:val="en-GB"/>
              </w:rPr>
            </w:pPr>
          </w:p>
        </w:tc>
        <w:tc>
          <w:tcPr>
            <w:tcW w:w="1417" w:type="dxa"/>
          </w:tcPr>
          <w:p w14:paraId="09F56426" w14:textId="77777777" w:rsidR="006B1DF2" w:rsidRPr="00BB28A0" w:rsidRDefault="006B1DF2" w:rsidP="002C5EDB">
            <w:pPr>
              <w:rPr>
                <w:rFonts w:ascii="Times New Roman" w:hAnsi="Times New Roman" w:cs="Times New Roman"/>
                <w:lang w:val="en-GB"/>
              </w:rPr>
            </w:pPr>
          </w:p>
        </w:tc>
        <w:tc>
          <w:tcPr>
            <w:tcW w:w="1127" w:type="dxa"/>
          </w:tcPr>
          <w:p w14:paraId="260FC319" w14:textId="77777777" w:rsidR="006B1DF2" w:rsidRPr="00BB28A0" w:rsidRDefault="006B1DF2" w:rsidP="002C5EDB">
            <w:pPr>
              <w:rPr>
                <w:rFonts w:ascii="Times New Roman" w:hAnsi="Times New Roman" w:cs="Times New Roman"/>
                <w:lang w:val="en-GB"/>
              </w:rPr>
            </w:pPr>
          </w:p>
        </w:tc>
        <w:tc>
          <w:tcPr>
            <w:tcW w:w="773" w:type="dxa"/>
          </w:tcPr>
          <w:p w14:paraId="45BC5FE3" w14:textId="77777777" w:rsidR="006B1DF2" w:rsidRPr="00BB28A0" w:rsidRDefault="006B1DF2" w:rsidP="002C5EDB">
            <w:pPr>
              <w:rPr>
                <w:rFonts w:ascii="Times New Roman" w:hAnsi="Times New Roman" w:cs="Times New Roman"/>
                <w:lang w:val="en-GB"/>
              </w:rPr>
            </w:pPr>
          </w:p>
        </w:tc>
      </w:tr>
      <w:tr w:rsidR="00E35AF9" w:rsidRPr="00BB28A0" w14:paraId="00C4123B" w14:textId="77777777" w:rsidTr="00E35AF9">
        <w:trPr>
          <w:jc w:val="center"/>
        </w:trPr>
        <w:tc>
          <w:tcPr>
            <w:tcW w:w="511" w:type="dxa"/>
            <w:shd w:val="clear" w:color="auto" w:fill="auto"/>
            <w:noWrap/>
            <w:vAlign w:val="bottom"/>
          </w:tcPr>
          <w:p w14:paraId="23A12492" w14:textId="77777777" w:rsidR="006B1DF2" w:rsidRPr="00BB28A0" w:rsidRDefault="006B1DF2" w:rsidP="002C5EDB">
            <w:pPr>
              <w:rPr>
                <w:rFonts w:ascii="Times New Roman" w:hAnsi="Times New Roman" w:cs="Times New Roman"/>
                <w:lang w:val="en-GB"/>
              </w:rPr>
            </w:pPr>
            <w:r w:rsidRPr="00BB28A0">
              <w:rPr>
                <w:rFonts w:ascii="Times New Roman" w:hAnsi="Times New Roman" w:cs="Times New Roman"/>
                <w:lang w:val="en-GB"/>
              </w:rPr>
              <w:t>6.</w:t>
            </w:r>
          </w:p>
        </w:tc>
        <w:tc>
          <w:tcPr>
            <w:tcW w:w="2104" w:type="dxa"/>
            <w:shd w:val="clear" w:color="auto" w:fill="auto"/>
            <w:vAlign w:val="bottom"/>
          </w:tcPr>
          <w:p w14:paraId="7804BFD0" w14:textId="77777777" w:rsidR="006B1DF2" w:rsidRPr="00BB28A0" w:rsidRDefault="006B1DF2" w:rsidP="002C5EDB">
            <w:pPr>
              <w:rPr>
                <w:rFonts w:ascii="Times New Roman" w:hAnsi="Times New Roman" w:cs="Times New Roman"/>
                <w:lang w:val="en-GB"/>
              </w:rPr>
            </w:pPr>
          </w:p>
        </w:tc>
        <w:tc>
          <w:tcPr>
            <w:tcW w:w="945" w:type="dxa"/>
            <w:vAlign w:val="bottom"/>
          </w:tcPr>
          <w:p w14:paraId="693F9967" w14:textId="77777777" w:rsidR="006B1DF2" w:rsidRPr="00BB28A0" w:rsidRDefault="006B1DF2" w:rsidP="002C5EDB">
            <w:pPr>
              <w:rPr>
                <w:rFonts w:ascii="Times New Roman" w:hAnsi="Times New Roman" w:cs="Times New Roman"/>
                <w:lang w:val="en-GB"/>
              </w:rPr>
            </w:pPr>
          </w:p>
        </w:tc>
        <w:tc>
          <w:tcPr>
            <w:tcW w:w="926" w:type="dxa"/>
            <w:shd w:val="clear" w:color="auto" w:fill="auto"/>
            <w:vAlign w:val="bottom"/>
          </w:tcPr>
          <w:p w14:paraId="47ECF496" w14:textId="77777777" w:rsidR="006B1DF2" w:rsidRPr="00BB28A0" w:rsidRDefault="006B1DF2" w:rsidP="002C5EDB">
            <w:pPr>
              <w:rPr>
                <w:rFonts w:ascii="Times New Roman" w:hAnsi="Times New Roman" w:cs="Times New Roman"/>
                <w:lang w:val="en-GB"/>
              </w:rPr>
            </w:pPr>
          </w:p>
        </w:tc>
        <w:tc>
          <w:tcPr>
            <w:tcW w:w="1208" w:type="dxa"/>
            <w:shd w:val="clear" w:color="auto" w:fill="auto"/>
            <w:vAlign w:val="bottom"/>
          </w:tcPr>
          <w:p w14:paraId="686FF51B" w14:textId="77777777" w:rsidR="006B1DF2" w:rsidRPr="00BB28A0" w:rsidRDefault="006B1DF2" w:rsidP="002C5EDB">
            <w:pPr>
              <w:rPr>
                <w:rFonts w:ascii="Times New Roman" w:hAnsi="Times New Roman" w:cs="Times New Roman"/>
                <w:lang w:val="en-GB"/>
              </w:rPr>
            </w:pPr>
          </w:p>
        </w:tc>
        <w:tc>
          <w:tcPr>
            <w:tcW w:w="1417" w:type="dxa"/>
          </w:tcPr>
          <w:p w14:paraId="2A1B0C1D" w14:textId="77777777" w:rsidR="006B1DF2" w:rsidRPr="00BB28A0" w:rsidRDefault="006B1DF2" w:rsidP="002C5EDB">
            <w:pPr>
              <w:rPr>
                <w:rFonts w:ascii="Times New Roman" w:hAnsi="Times New Roman" w:cs="Times New Roman"/>
                <w:lang w:val="en-GB"/>
              </w:rPr>
            </w:pPr>
          </w:p>
        </w:tc>
        <w:tc>
          <w:tcPr>
            <w:tcW w:w="1127" w:type="dxa"/>
          </w:tcPr>
          <w:p w14:paraId="6AAC7F50" w14:textId="77777777" w:rsidR="006B1DF2" w:rsidRPr="00BB28A0" w:rsidRDefault="006B1DF2" w:rsidP="002C5EDB">
            <w:pPr>
              <w:rPr>
                <w:rFonts w:ascii="Times New Roman" w:hAnsi="Times New Roman" w:cs="Times New Roman"/>
                <w:lang w:val="en-GB"/>
              </w:rPr>
            </w:pPr>
          </w:p>
        </w:tc>
        <w:tc>
          <w:tcPr>
            <w:tcW w:w="773" w:type="dxa"/>
          </w:tcPr>
          <w:p w14:paraId="769D048A" w14:textId="77777777" w:rsidR="006B1DF2" w:rsidRPr="00BB28A0" w:rsidRDefault="006B1DF2" w:rsidP="002C5EDB">
            <w:pPr>
              <w:rPr>
                <w:rFonts w:ascii="Times New Roman" w:hAnsi="Times New Roman" w:cs="Times New Roman"/>
                <w:lang w:val="en-GB"/>
              </w:rPr>
            </w:pPr>
          </w:p>
        </w:tc>
      </w:tr>
      <w:tr w:rsidR="00E35AF9" w:rsidRPr="00BB28A0" w14:paraId="17C14926" w14:textId="77777777" w:rsidTr="00E35AF9">
        <w:trPr>
          <w:jc w:val="center"/>
        </w:trPr>
        <w:tc>
          <w:tcPr>
            <w:tcW w:w="511" w:type="dxa"/>
            <w:shd w:val="clear" w:color="auto" w:fill="auto"/>
            <w:noWrap/>
            <w:vAlign w:val="bottom"/>
          </w:tcPr>
          <w:p w14:paraId="7CFC0AB7" w14:textId="77777777" w:rsidR="006B1DF2" w:rsidRPr="00BB28A0" w:rsidRDefault="006B1DF2" w:rsidP="002C5EDB">
            <w:pPr>
              <w:rPr>
                <w:rFonts w:ascii="Times New Roman" w:hAnsi="Times New Roman" w:cs="Times New Roman"/>
                <w:lang w:val="en-GB"/>
              </w:rPr>
            </w:pPr>
            <w:r w:rsidRPr="00BB28A0">
              <w:rPr>
                <w:rFonts w:ascii="Times New Roman" w:hAnsi="Times New Roman" w:cs="Times New Roman"/>
                <w:lang w:val="en-GB"/>
              </w:rPr>
              <w:t>7.</w:t>
            </w:r>
          </w:p>
        </w:tc>
        <w:tc>
          <w:tcPr>
            <w:tcW w:w="2104" w:type="dxa"/>
            <w:shd w:val="clear" w:color="auto" w:fill="auto"/>
            <w:vAlign w:val="bottom"/>
          </w:tcPr>
          <w:p w14:paraId="6C3411E7" w14:textId="77777777" w:rsidR="006B1DF2" w:rsidRPr="00BB28A0" w:rsidRDefault="006B1DF2" w:rsidP="002C5EDB">
            <w:pPr>
              <w:rPr>
                <w:rFonts w:ascii="Times New Roman" w:hAnsi="Times New Roman" w:cs="Times New Roman"/>
                <w:lang w:val="en-GB"/>
              </w:rPr>
            </w:pPr>
          </w:p>
        </w:tc>
        <w:tc>
          <w:tcPr>
            <w:tcW w:w="945" w:type="dxa"/>
            <w:vAlign w:val="bottom"/>
          </w:tcPr>
          <w:p w14:paraId="249FC73A" w14:textId="77777777" w:rsidR="006B1DF2" w:rsidRPr="00BB28A0" w:rsidRDefault="006B1DF2" w:rsidP="002C5EDB">
            <w:pPr>
              <w:rPr>
                <w:rFonts w:ascii="Times New Roman" w:hAnsi="Times New Roman" w:cs="Times New Roman"/>
                <w:lang w:val="en-GB"/>
              </w:rPr>
            </w:pPr>
          </w:p>
        </w:tc>
        <w:tc>
          <w:tcPr>
            <w:tcW w:w="926" w:type="dxa"/>
            <w:shd w:val="clear" w:color="auto" w:fill="auto"/>
            <w:vAlign w:val="bottom"/>
          </w:tcPr>
          <w:p w14:paraId="20AABCBC" w14:textId="77777777" w:rsidR="006B1DF2" w:rsidRPr="00BB28A0" w:rsidRDefault="006B1DF2" w:rsidP="002C5EDB">
            <w:pPr>
              <w:rPr>
                <w:rFonts w:ascii="Times New Roman" w:hAnsi="Times New Roman" w:cs="Times New Roman"/>
                <w:lang w:val="en-GB"/>
              </w:rPr>
            </w:pPr>
          </w:p>
        </w:tc>
        <w:tc>
          <w:tcPr>
            <w:tcW w:w="1208" w:type="dxa"/>
            <w:shd w:val="clear" w:color="auto" w:fill="auto"/>
            <w:vAlign w:val="bottom"/>
          </w:tcPr>
          <w:p w14:paraId="511748C5" w14:textId="77777777" w:rsidR="006B1DF2" w:rsidRPr="00BB28A0" w:rsidRDefault="006B1DF2" w:rsidP="002C5EDB">
            <w:pPr>
              <w:rPr>
                <w:rFonts w:ascii="Times New Roman" w:hAnsi="Times New Roman" w:cs="Times New Roman"/>
                <w:lang w:val="en-GB"/>
              </w:rPr>
            </w:pPr>
          </w:p>
        </w:tc>
        <w:tc>
          <w:tcPr>
            <w:tcW w:w="1417" w:type="dxa"/>
          </w:tcPr>
          <w:p w14:paraId="054F8A8E" w14:textId="77777777" w:rsidR="006B1DF2" w:rsidRPr="00BB28A0" w:rsidRDefault="006B1DF2" w:rsidP="002C5EDB">
            <w:pPr>
              <w:rPr>
                <w:rFonts w:ascii="Times New Roman" w:hAnsi="Times New Roman" w:cs="Times New Roman"/>
                <w:lang w:val="en-GB"/>
              </w:rPr>
            </w:pPr>
          </w:p>
        </w:tc>
        <w:tc>
          <w:tcPr>
            <w:tcW w:w="1127" w:type="dxa"/>
          </w:tcPr>
          <w:p w14:paraId="57832D05" w14:textId="77777777" w:rsidR="006B1DF2" w:rsidRPr="00BB28A0" w:rsidRDefault="006B1DF2" w:rsidP="002C5EDB">
            <w:pPr>
              <w:rPr>
                <w:rFonts w:ascii="Times New Roman" w:hAnsi="Times New Roman" w:cs="Times New Roman"/>
                <w:lang w:val="en-GB"/>
              </w:rPr>
            </w:pPr>
          </w:p>
        </w:tc>
        <w:tc>
          <w:tcPr>
            <w:tcW w:w="773" w:type="dxa"/>
          </w:tcPr>
          <w:p w14:paraId="5E6304F0" w14:textId="77777777" w:rsidR="006B1DF2" w:rsidRPr="00BB28A0" w:rsidRDefault="006B1DF2" w:rsidP="002C5EDB">
            <w:pPr>
              <w:rPr>
                <w:rFonts w:ascii="Times New Roman" w:hAnsi="Times New Roman" w:cs="Times New Roman"/>
                <w:lang w:val="en-GB"/>
              </w:rPr>
            </w:pPr>
          </w:p>
        </w:tc>
      </w:tr>
      <w:tr w:rsidR="00E35AF9" w:rsidRPr="00BB28A0" w14:paraId="1D96E4FB" w14:textId="77777777" w:rsidTr="00E35AF9">
        <w:trPr>
          <w:jc w:val="center"/>
        </w:trPr>
        <w:tc>
          <w:tcPr>
            <w:tcW w:w="511" w:type="dxa"/>
            <w:shd w:val="clear" w:color="auto" w:fill="auto"/>
            <w:noWrap/>
            <w:vAlign w:val="bottom"/>
          </w:tcPr>
          <w:p w14:paraId="6D200819" w14:textId="77777777" w:rsidR="006B1DF2" w:rsidRPr="00BB28A0" w:rsidRDefault="006B1DF2" w:rsidP="002C5EDB">
            <w:pPr>
              <w:rPr>
                <w:rFonts w:ascii="Times New Roman" w:hAnsi="Times New Roman" w:cs="Times New Roman"/>
                <w:lang w:val="en-GB"/>
              </w:rPr>
            </w:pPr>
            <w:r w:rsidRPr="00BB28A0">
              <w:rPr>
                <w:rFonts w:ascii="Times New Roman" w:hAnsi="Times New Roman" w:cs="Times New Roman"/>
                <w:lang w:val="en-GB"/>
              </w:rPr>
              <w:t>8.</w:t>
            </w:r>
          </w:p>
        </w:tc>
        <w:tc>
          <w:tcPr>
            <w:tcW w:w="2104" w:type="dxa"/>
            <w:shd w:val="clear" w:color="auto" w:fill="auto"/>
            <w:vAlign w:val="bottom"/>
          </w:tcPr>
          <w:p w14:paraId="00E3AA5C" w14:textId="77777777" w:rsidR="006B1DF2" w:rsidRPr="00BB28A0" w:rsidRDefault="006B1DF2" w:rsidP="002C5EDB">
            <w:pPr>
              <w:rPr>
                <w:rFonts w:ascii="Times New Roman" w:hAnsi="Times New Roman" w:cs="Times New Roman"/>
                <w:lang w:val="en-GB"/>
              </w:rPr>
            </w:pPr>
          </w:p>
        </w:tc>
        <w:tc>
          <w:tcPr>
            <w:tcW w:w="945" w:type="dxa"/>
            <w:vAlign w:val="bottom"/>
          </w:tcPr>
          <w:p w14:paraId="390B47E4" w14:textId="77777777" w:rsidR="006B1DF2" w:rsidRPr="00BB28A0" w:rsidRDefault="006B1DF2" w:rsidP="002C5EDB">
            <w:pPr>
              <w:rPr>
                <w:rFonts w:ascii="Times New Roman" w:hAnsi="Times New Roman" w:cs="Times New Roman"/>
                <w:lang w:val="en-GB"/>
              </w:rPr>
            </w:pPr>
          </w:p>
        </w:tc>
        <w:tc>
          <w:tcPr>
            <w:tcW w:w="926" w:type="dxa"/>
            <w:shd w:val="clear" w:color="auto" w:fill="auto"/>
            <w:vAlign w:val="bottom"/>
          </w:tcPr>
          <w:p w14:paraId="00D1BFB6" w14:textId="77777777" w:rsidR="006B1DF2" w:rsidRPr="00BB28A0" w:rsidRDefault="006B1DF2" w:rsidP="002C5EDB">
            <w:pPr>
              <w:rPr>
                <w:rFonts w:ascii="Times New Roman" w:hAnsi="Times New Roman" w:cs="Times New Roman"/>
                <w:lang w:val="en-GB"/>
              </w:rPr>
            </w:pPr>
          </w:p>
        </w:tc>
        <w:tc>
          <w:tcPr>
            <w:tcW w:w="1208" w:type="dxa"/>
            <w:shd w:val="clear" w:color="auto" w:fill="auto"/>
            <w:vAlign w:val="bottom"/>
          </w:tcPr>
          <w:p w14:paraId="09B46BCF" w14:textId="77777777" w:rsidR="006B1DF2" w:rsidRPr="00BB28A0" w:rsidRDefault="006B1DF2" w:rsidP="002C5EDB">
            <w:pPr>
              <w:rPr>
                <w:rFonts w:ascii="Times New Roman" w:hAnsi="Times New Roman" w:cs="Times New Roman"/>
                <w:lang w:val="en-GB"/>
              </w:rPr>
            </w:pPr>
          </w:p>
        </w:tc>
        <w:tc>
          <w:tcPr>
            <w:tcW w:w="1417" w:type="dxa"/>
          </w:tcPr>
          <w:p w14:paraId="69988AA3" w14:textId="77777777" w:rsidR="006B1DF2" w:rsidRPr="00BB28A0" w:rsidRDefault="006B1DF2" w:rsidP="002C5EDB">
            <w:pPr>
              <w:rPr>
                <w:rFonts w:ascii="Times New Roman" w:hAnsi="Times New Roman" w:cs="Times New Roman"/>
                <w:lang w:val="en-GB"/>
              </w:rPr>
            </w:pPr>
          </w:p>
        </w:tc>
        <w:tc>
          <w:tcPr>
            <w:tcW w:w="1127" w:type="dxa"/>
          </w:tcPr>
          <w:p w14:paraId="1C0B7B87" w14:textId="77777777" w:rsidR="006B1DF2" w:rsidRPr="00BB28A0" w:rsidRDefault="006B1DF2" w:rsidP="002C5EDB">
            <w:pPr>
              <w:rPr>
                <w:rFonts w:ascii="Times New Roman" w:hAnsi="Times New Roman" w:cs="Times New Roman"/>
                <w:lang w:val="en-GB"/>
              </w:rPr>
            </w:pPr>
          </w:p>
        </w:tc>
        <w:tc>
          <w:tcPr>
            <w:tcW w:w="773" w:type="dxa"/>
          </w:tcPr>
          <w:p w14:paraId="7F8E9FD7" w14:textId="77777777" w:rsidR="006B1DF2" w:rsidRPr="00BB28A0" w:rsidRDefault="006B1DF2" w:rsidP="002C5EDB">
            <w:pPr>
              <w:rPr>
                <w:rFonts w:ascii="Times New Roman" w:hAnsi="Times New Roman" w:cs="Times New Roman"/>
                <w:lang w:val="en-GB"/>
              </w:rPr>
            </w:pPr>
          </w:p>
        </w:tc>
      </w:tr>
      <w:tr w:rsidR="00E35AF9" w:rsidRPr="00BB28A0" w14:paraId="7F33D25F" w14:textId="77777777" w:rsidTr="00E35AF9">
        <w:trPr>
          <w:jc w:val="center"/>
        </w:trPr>
        <w:tc>
          <w:tcPr>
            <w:tcW w:w="511" w:type="dxa"/>
            <w:shd w:val="clear" w:color="auto" w:fill="auto"/>
            <w:noWrap/>
            <w:vAlign w:val="bottom"/>
          </w:tcPr>
          <w:p w14:paraId="40DB3DFC" w14:textId="77777777" w:rsidR="006B1DF2" w:rsidRPr="00BB28A0" w:rsidRDefault="006B1DF2" w:rsidP="002C5EDB">
            <w:pPr>
              <w:rPr>
                <w:rFonts w:ascii="Times New Roman" w:hAnsi="Times New Roman" w:cs="Times New Roman"/>
                <w:lang w:val="en-GB"/>
              </w:rPr>
            </w:pPr>
            <w:r w:rsidRPr="00BB28A0">
              <w:rPr>
                <w:rFonts w:ascii="Times New Roman" w:hAnsi="Times New Roman" w:cs="Times New Roman"/>
                <w:lang w:val="en-GB"/>
              </w:rPr>
              <w:t>9.</w:t>
            </w:r>
          </w:p>
        </w:tc>
        <w:tc>
          <w:tcPr>
            <w:tcW w:w="2104" w:type="dxa"/>
            <w:shd w:val="clear" w:color="auto" w:fill="auto"/>
            <w:vAlign w:val="bottom"/>
          </w:tcPr>
          <w:p w14:paraId="35E5CD5B" w14:textId="77777777" w:rsidR="006B1DF2" w:rsidRPr="00BB28A0" w:rsidRDefault="006B1DF2" w:rsidP="002C5EDB">
            <w:pPr>
              <w:rPr>
                <w:rFonts w:ascii="Times New Roman" w:hAnsi="Times New Roman" w:cs="Times New Roman"/>
                <w:lang w:val="en-GB"/>
              </w:rPr>
            </w:pPr>
          </w:p>
        </w:tc>
        <w:tc>
          <w:tcPr>
            <w:tcW w:w="945" w:type="dxa"/>
            <w:vAlign w:val="bottom"/>
          </w:tcPr>
          <w:p w14:paraId="4C03E99C" w14:textId="77777777" w:rsidR="006B1DF2" w:rsidRPr="00BB28A0" w:rsidRDefault="006B1DF2" w:rsidP="002C5EDB">
            <w:pPr>
              <w:rPr>
                <w:rFonts w:ascii="Times New Roman" w:hAnsi="Times New Roman" w:cs="Times New Roman"/>
                <w:lang w:val="en-GB"/>
              </w:rPr>
            </w:pPr>
          </w:p>
        </w:tc>
        <w:tc>
          <w:tcPr>
            <w:tcW w:w="926" w:type="dxa"/>
            <w:shd w:val="clear" w:color="auto" w:fill="auto"/>
            <w:vAlign w:val="bottom"/>
          </w:tcPr>
          <w:p w14:paraId="4D25DF6F" w14:textId="77777777" w:rsidR="006B1DF2" w:rsidRPr="00BB28A0" w:rsidRDefault="006B1DF2" w:rsidP="002C5EDB">
            <w:pPr>
              <w:rPr>
                <w:rFonts w:ascii="Times New Roman" w:hAnsi="Times New Roman" w:cs="Times New Roman"/>
                <w:lang w:val="en-GB"/>
              </w:rPr>
            </w:pPr>
          </w:p>
        </w:tc>
        <w:tc>
          <w:tcPr>
            <w:tcW w:w="1208" w:type="dxa"/>
            <w:shd w:val="clear" w:color="auto" w:fill="auto"/>
            <w:vAlign w:val="bottom"/>
          </w:tcPr>
          <w:p w14:paraId="40F99664" w14:textId="77777777" w:rsidR="006B1DF2" w:rsidRPr="00BB28A0" w:rsidRDefault="006B1DF2" w:rsidP="002C5EDB">
            <w:pPr>
              <w:rPr>
                <w:rFonts w:ascii="Times New Roman" w:hAnsi="Times New Roman" w:cs="Times New Roman"/>
                <w:lang w:val="en-GB"/>
              </w:rPr>
            </w:pPr>
          </w:p>
        </w:tc>
        <w:tc>
          <w:tcPr>
            <w:tcW w:w="1417" w:type="dxa"/>
          </w:tcPr>
          <w:p w14:paraId="420B57D7" w14:textId="77777777" w:rsidR="006B1DF2" w:rsidRPr="00BB28A0" w:rsidRDefault="006B1DF2" w:rsidP="002C5EDB">
            <w:pPr>
              <w:rPr>
                <w:rFonts w:ascii="Times New Roman" w:hAnsi="Times New Roman" w:cs="Times New Roman"/>
                <w:lang w:val="en-GB"/>
              </w:rPr>
            </w:pPr>
          </w:p>
        </w:tc>
        <w:tc>
          <w:tcPr>
            <w:tcW w:w="1127" w:type="dxa"/>
          </w:tcPr>
          <w:p w14:paraId="4835A0F5" w14:textId="77777777" w:rsidR="006B1DF2" w:rsidRPr="00BB28A0" w:rsidRDefault="006B1DF2" w:rsidP="002C5EDB">
            <w:pPr>
              <w:rPr>
                <w:rFonts w:ascii="Times New Roman" w:hAnsi="Times New Roman" w:cs="Times New Roman"/>
                <w:lang w:val="en-GB"/>
              </w:rPr>
            </w:pPr>
          </w:p>
        </w:tc>
        <w:tc>
          <w:tcPr>
            <w:tcW w:w="773" w:type="dxa"/>
          </w:tcPr>
          <w:p w14:paraId="4C6CA647" w14:textId="77777777" w:rsidR="006B1DF2" w:rsidRPr="00BB28A0" w:rsidRDefault="006B1DF2" w:rsidP="002C5EDB">
            <w:pPr>
              <w:rPr>
                <w:rFonts w:ascii="Times New Roman" w:hAnsi="Times New Roman" w:cs="Times New Roman"/>
                <w:lang w:val="en-GB"/>
              </w:rPr>
            </w:pPr>
          </w:p>
        </w:tc>
      </w:tr>
      <w:tr w:rsidR="00E35AF9" w:rsidRPr="00BB28A0" w14:paraId="04AF11D8" w14:textId="77777777" w:rsidTr="00E35AF9">
        <w:trPr>
          <w:jc w:val="center"/>
        </w:trPr>
        <w:tc>
          <w:tcPr>
            <w:tcW w:w="511" w:type="dxa"/>
            <w:shd w:val="clear" w:color="auto" w:fill="auto"/>
            <w:noWrap/>
            <w:vAlign w:val="bottom"/>
          </w:tcPr>
          <w:p w14:paraId="021A8BE3" w14:textId="77777777" w:rsidR="006B1DF2" w:rsidRPr="00BB28A0" w:rsidRDefault="006B1DF2" w:rsidP="002C5EDB">
            <w:pPr>
              <w:rPr>
                <w:rFonts w:ascii="Times New Roman" w:hAnsi="Times New Roman" w:cs="Times New Roman"/>
                <w:lang w:val="en-GB"/>
              </w:rPr>
            </w:pPr>
            <w:r w:rsidRPr="00BB28A0">
              <w:rPr>
                <w:rFonts w:ascii="Times New Roman" w:hAnsi="Times New Roman" w:cs="Times New Roman"/>
                <w:lang w:val="en-GB"/>
              </w:rPr>
              <w:t>10.</w:t>
            </w:r>
          </w:p>
        </w:tc>
        <w:tc>
          <w:tcPr>
            <w:tcW w:w="2104" w:type="dxa"/>
            <w:shd w:val="clear" w:color="auto" w:fill="auto"/>
            <w:vAlign w:val="bottom"/>
          </w:tcPr>
          <w:p w14:paraId="4F75433A" w14:textId="77777777" w:rsidR="006B1DF2" w:rsidRPr="00BB28A0" w:rsidRDefault="006B1DF2" w:rsidP="002C5EDB">
            <w:pPr>
              <w:rPr>
                <w:rFonts w:ascii="Times New Roman" w:hAnsi="Times New Roman" w:cs="Times New Roman"/>
                <w:lang w:val="en-GB"/>
              </w:rPr>
            </w:pPr>
          </w:p>
        </w:tc>
        <w:tc>
          <w:tcPr>
            <w:tcW w:w="945" w:type="dxa"/>
            <w:vAlign w:val="bottom"/>
          </w:tcPr>
          <w:p w14:paraId="60A0F804" w14:textId="77777777" w:rsidR="006B1DF2" w:rsidRPr="00BB28A0" w:rsidRDefault="006B1DF2" w:rsidP="002C5EDB">
            <w:pPr>
              <w:rPr>
                <w:rFonts w:ascii="Times New Roman" w:hAnsi="Times New Roman" w:cs="Times New Roman"/>
                <w:lang w:val="en-GB"/>
              </w:rPr>
            </w:pPr>
          </w:p>
        </w:tc>
        <w:tc>
          <w:tcPr>
            <w:tcW w:w="926" w:type="dxa"/>
            <w:shd w:val="clear" w:color="auto" w:fill="auto"/>
            <w:vAlign w:val="bottom"/>
          </w:tcPr>
          <w:p w14:paraId="1A578A2C" w14:textId="77777777" w:rsidR="006B1DF2" w:rsidRPr="00BB28A0" w:rsidRDefault="006B1DF2" w:rsidP="002C5EDB">
            <w:pPr>
              <w:rPr>
                <w:rFonts w:ascii="Times New Roman" w:hAnsi="Times New Roman" w:cs="Times New Roman"/>
                <w:lang w:val="en-GB"/>
              </w:rPr>
            </w:pPr>
          </w:p>
        </w:tc>
        <w:tc>
          <w:tcPr>
            <w:tcW w:w="1208" w:type="dxa"/>
            <w:shd w:val="clear" w:color="auto" w:fill="auto"/>
            <w:vAlign w:val="bottom"/>
          </w:tcPr>
          <w:p w14:paraId="2B5C6FDC" w14:textId="77777777" w:rsidR="006B1DF2" w:rsidRPr="00BB28A0" w:rsidRDefault="006B1DF2" w:rsidP="002C5EDB">
            <w:pPr>
              <w:rPr>
                <w:rFonts w:ascii="Times New Roman" w:hAnsi="Times New Roman" w:cs="Times New Roman"/>
                <w:lang w:val="en-GB"/>
              </w:rPr>
            </w:pPr>
          </w:p>
        </w:tc>
        <w:tc>
          <w:tcPr>
            <w:tcW w:w="1417" w:type="dxa"/>
          </w:tcPr>
          <w:p w14:paraId="143C1567" w14:textId="77777777" w:rsidR="006B1DF2" w:rsidRPr="00BB28A0" w:rsidRDefault="006B1DF2" w:rsidP="002C5EDB">
            <w:pPr>
              <w:rPr>
                <w:rFonts w:ascii="Times New Roman" w:hAnsi="Times New Roman" w:cs="Times New Roman"/>
                <w:lang w:val="en-GB"/>
              </w:rPr>
            </w:pPr>
          </w:p>
        </w:tc>
        <w:tc>
          <w:tcPr>
            <w:tcW w:w="1127" w:type="dxa"/>
          </w:tcPr>
          <w:p w14:paraId="600DD906" w14:textId="77777777" w:rsidR="006B1DF2" w:rsidRPr="00BB28A0" w:rsidRDefault="006B1DF2" w:rsidP="002C5EDB">
            <w:pPr>
              <w:rPr>
                <w:rFonts w:ascii="Times New Roman" w:hAnsi="Times New Roman" w:cs="Times New Roman"/>
                <w:lang w:val="en-GB"/>
              </w:rPr>
            </w:pPr>
          </w:p>
        </w:tc>
        <w:tc>
          <w:tcPr>
            <w:tcW w:w="773" w:type="dxa"/>
          </w:tcPr>
          <w:p w14:paraId="0E4B9566" w14:textId="77777777" w:rsidR="006B1DF2" w:rsidRPr="00BB28A0" w:rsidRDefault="006B1DF2" w:rsidP="002C5EDB">
            <w:pPr>
              <w:rPr>
                <w:rFonts w:ascii="Times New Roman" w:hAnsi="Times New Roman" w:cs="Times New Roman"/>
                <w:lang w:val="en-GB"/>
              </w:rPr>
            </w:pPr>
          </w:p>
        </w:tc>
      </w:tr>
      <w:tr w:rsidR="00E35AF9" w:rsidRPr="00BB28A0" w14:paraId="50B0BD4A" w14:textId="77777777" w:rsidTr="00E35AF9">
        <w:trPr>
          <w:jc w:val="center"/>
        </w:trPr>
        <w:tc>
          <w:tcPr>
            <w:tcW w:w="511" w:type="dxa"/>
            <w:shd w:val="clear" w:color="auto" w:fill="auto"/>
            <w:noWrap/>
            <w:vAlign w:val="bottom"/>
          </w:tcPr>
          <w:p w14:paraId="4B4C5041" w14:textId="77777777" w:rsidR="006B1DF2" w:rsidRPr="00BB28A0" w:rsidRDefault="006B1DF2" w:rsidP="002C5EDB">
            <w:pPr>
              <w:rPr>
                <w:rFonts w:ascii="Times New Roman" w:hAnsi="Times New Roman" w:cs="Times New Roman"/>
                <w:lang w:val="en-GB"/>
              </w:rPr>
            </w:pPr>
            <w:r w:rsidRPr="00BB28A0">
              <w:rPr>
                <w:rFonts w:ascii="Times New Roman" w:hAnsi="Times New Roman" w:cs="Times New Roman"/>
                <w:lang w:val="en-GB"/>
              </w:rPr>
              <w:t>…</w:t>
            </w:r>
          </w:p>
        </w:tc>
        <w:tc>
          <w:tcPr>
            <w:tcW w:w="2104" w:type="dxa"/>
            <w:shd w:val="clear" w:color="auto" w:fill="auto"/>
            <w:vAlign w:val="bottom"/>
          </w:tcPr>
          <w:p w14:paraId="49AF9DB6" w14:textId="77777777" w:rsidR="006B1DF2" w:rsidRPr="00BB28A0" w:rsidRDefault="006B1DF2" w:rsidP="002C5EDB">
            <w:pPr>
              <w:rPr>
                <w:rFonts w:ascii="Times New Roman" w:hAnsi="Times New Roman" w:cs="Times New Roman"/>
                <w:lang w:val="en-GB"/>
              </w:rPr>
            </w:pPr>
          </w:p>
        </w:tc>
        <w:tc>
          <w:tcPr>
            <w:tcW w:w="945" w:type="dxa"/>
            <w:vAlign w:val="bottom"/>
          </w:tcPr>
          <w:p w14:paraId="71422F9F" w14:textId="77777777" w:rsidR="006B1DF2" w:rsidRPr="00BB28A0" w:rsidRDefault="006B1DF2" w:rsidP="002C5EDB">
            <w:pPr>
              <w:rPr>
                <w:rFonts w:ascii="Times New Roman" w:hAnsi="Times New Roman" w:cs="Times New Roman"/>
                <w:lang w:val="en-GB"/>
              </w:rPr>
            </w:pPr>
          </w:p>
        </w:tc>
        <w:tc>
          <w:tcPr>
            <w:tcW w:w="926" w:type="dxa"/>
            <w:shd w:val="clear" w:color="auto" w:fill="auto"/>
            <w:vAlign w:val="bottom"/>
          </w:tcPr>
          <w:p w14:paraId="1329E52B" w14:textId="77777777" w:rsidR="006B1DF2" w:rsidRPr="00BB28A0" w:rsidRDefault="006B1DF2" w:rsidP="002C5EDB">
            <w:pPr>
              <w:rPr>
                <w:rFonts w:ascii="Times New Roman" w:hAnsi="Times New Roman" w:cs="Times New Roman"/>
                <w:lang w:val="en-GB"/>
              </w:rPr>
            </w:pPr>
          </w:p>
        </w:tc>
        <w:tc>
          <w:tcPr>
            <w:tcW w:w="1208" w:type="dxa"/>
            <w:shd w:val="clear" w:color="auto" w:fill="auto"/>
            <w:vAlign w:val="bottom"/>
          </w:tcPr>
          <w:p w14:paraId="49496695" w14:textId="77777777" w:rsidR="006B1DF2" w:rsidRPr="00BB28A0" w:rsidRDefault="006B1DF2" w:rsidP="002C5EDB">
            <w:pPr>
              <w:rPr>
                <w:rFonts w:ascii="Times New Roman" w:hAnsi="Times New Roman" w:cs="Times New Roman"/>
                <w:lang w:val="en-GB"/>
              </w:rPr>
            </w:pPr>
          </w:p>
        </w:tc>
        <w:tc>
          <w:tcPr>
            <w:tcW w:w="1417" w:type="dxa"/>
          </w:tcPr>
          <w:p w14:paraId="1FF1324E" w14:textId="77777777" w:rsidR="006B1DF2" w:rsidRPr="00BB28A0" w:rsidRDefault="006B1DF2" w:rsidP="002C5EDB">
            <w:pPr>
              <w:rPr>
                <w:rFonts w:ascii="Times New Roman" w:hAnsi="Times New Roman" w:cs="Times New Roman"/>
                <w:lang w:val="en-GB"/>
              </w:rPr>
            </w:pPr>
          </w:p>
        </w:tc>
        <w:tc>
          <w:tcPr>
            <w:tcW w:w="1127" w:type="dxa"/>
          </w:tcPr>
          <w:p w14:paraId="03239B74" w14:textId="77777777" w:rsidR="006B1DF2" w:rsidRPr="00BB28A0" w:rsidRDefault="006B1DF2" w:rsidP="002C5EDB">
            <w:pPr>
              <w:rPr>
                <w:rFonts w:ascii="Times New Roman" w:hAnsi="Times New Roman" w:cs="Times New Roman"/>
                <w:lang w:val="en-GB"/>
              </w:rPr>
            </w:pPr>
          </w:p>
        </w:tc>
        <w:tc>
          <w:tcPr>
            <w:tcW w:w="773" w:type="dxa"/>
          </w:tcPr>
          <w:p w14:paraId="080F5EB3" w14:textId="77777777" w:rsidR="006B1DF2" w:rsidRPr="00BB28A0" w:rsidRDefault="006B1DF2" w:rsidP="002C5EDB">
            <w:pPr>
              <w:rPr>
                <w:rFonts w:ascii="Times New Roman" w:hAnsi="Times New Roman" w:cs="Times New Roman"/>
                <w:lang w:val="en-GB"/>
              </w:rPr>
            </w:pPr>
          </w:p>
        </w:tc>
      </w:tr>
      <w:tr w:rsidR="00E35AF9" w:rsidRPr="00BB28A0" w14:paraId="06A32886" w14:textId="77777777" w:rsidTr="00E35AF9">
        <w:trPr>
          <w:jc w:val="center"/>
        </w:trPr>
        <w:tc>
          <w:tcPr>
            <w:tcW w:w="511" w:type="dxa"/>
            <w:shd w:val="clear" w:color="auto" w:fill="auto"/>
            <w:noWrap/>
            <w:vAlign w:val="bottom"/>
          </w:tcPr>
          <w:p w14:paraId="275A9C90" w14:textId="77777777" w:rsidR="006B1DF2" w:rsidRPr="00BB28A0" w:rsidRDefault="006B1DF2" w:rsidP="002C5EDB">
            <w:pPr>
              <w:rPr>
                <w:rFonts w:ascii="Times New Roman" w:hAnsi="Times New Roman" w:cs="Times New Roman"/>
                <w:lang w:val="en-GB"/>
              </w:rPr>
            </w:pPr>
            <w:r w:rsidRPr="00BB28A0">
              <w:rPr>
                <w:rFonts w:ascii="Times New Roman" w:hAnsi="Times New Roman" w:cs="Times New Roman"/>
                <w:lang w:val="en-GB"/>
              </w:rPr>
              <w:t>…</w:t>
            </w:r>
          </w:p>
        </w:tc>
        <w:tc>
          <w:tcPr>
            <w:tcW w:w="2104" w:type="dxa"/>
            <w:shd w:val="clear" w:color="auto" w:fill="auto"/>
            <w:vAlign w:val="bottom"/>
          </w:tcPr>
          <w:p w14:paraId="5A34FEF4" w14:textId="77777777" w:rsidR="006B1DF2" w:rsidRPr="00BB28A0" w:rsidRDefault="006B1DF2" w:rsidP="002C5EDB">
            <w:pPr>
              <w:rPr>
                <w:rFonts w:ascii="Times New Roman" w:hAnsi="Times New Roman" w:cs="Times New Roman"/>
                <w:lang w:val="en-GB"/>
              </w:rPr>
            </w:pPr>
          </w:p>
        </w:tc>
        <w:tc>
          <w:tcPr>
            <w:tcW w:w="945" w:type="dxa"/>
            <w:vAlign w:val="bottom"/>
          </w:tcPr>
          <w:p w14:paraId="3E25AAC9" w14:textId="77777777" w:rsidR="006B1DF2" w:rsidRPr="00BB28A0" w:rsidRDefault="006B1DF2" w:rsidP="002C5EDB">
            <w:pPr>
              <w:rPr>
                <w:rFonts w:ascii="Times New Roman" w:hAnsi="Times New Roman" w:cs="Times New Roman"/>
                <w:lang w:val="en-GB"/>
              </w:rPr>
            </w:pPr>
          </w:p>
        </w:tc>
        <w:tc>
          <w:tcPr>
            <w:tcW w:w="926" w:type="dxa"/>
            <w:shd w:val="clear" w:color="auto" w:fill="auto"/>
            <w:vAlign w:val="bottom"/>
          </w:tcPr>
          <w:p w14:paraId="4615BA2F" w14:textId="77777777" w:rsidR="006B1DF2" w:rsidRPr="00BB28A0" w:rsidRDefault="006B1DF2" w:rsidP="002C5EDB">
            <w:pPr>
              <w:rPr>
                <w:rFonts w:ascii="Times New Roman" w:hAnsi="Times New Roman" w:cs="Times New Roman"/>
                <w:lang w:val="en-GB"/>
              </w:rPr>
            </w:pPr>
          </w:p>
        </w:tc>
        <w:tc>
          <w:tcPr>
            <w:tcW w:w="1208" w:type="dxa"/>
            <w:shd w:val="clear" w:color="auto" w:fill="auto"/>
            <w:vAlign w:val="bottom"/>
          </w:tcPr>
          <w:p w14:paraId="4A947CC2" w14:textId="77777777" w:rsidR="006B1DF2" w:rsidRPr="00BB28A0" w:rsidRDefault="006B1DF2" w:rsidP="002C5EDB">
            <w:pPr>
              <w:rPr>
                <w:rFonts w:ascii="Times New Roman" w:hAnsi="Times New Roman" w:cs="Times New Roman"/>
                <w:lang w:val="en-GB"/>
              </w:rPr>
            </w:pPr>
          </w:p>
        </w:tc>
        <w:tc>
          <w:tcPr>
            <w:tcW w:w="1417" w:type="dxa"/>
          </w:tcPr>
          <w:p w14:paraId="3D82F698" w14:textId="77777777" w:rsidR="006B1DF2" w:rsidRPr="00BB28A0" w:rsidRDefault="006B1DF2" w:rsidP="002C5EDB">
            <w:pPr>
              <w:rPr>
                <w:rFonts w:ascii="Times New Roman" w:hAnsi="Times New Roman" w:cs="Times New Roman"/>
                <w:lang w:val="en-GB"/>
              </w:rPr>
            </w:pPr>
          </w:p>
        </w:tc>
        <w:tc>
          <w:tcPr>
            <w:tcW w:w="1127" w:type="dxa"/>
          </w:tcPr>
          <w:p w14:paraId="643AF012" w14:textId="77777777" w:rsidR="006B1DF2" w:rsidRPr="00BB28A0" w:rsidRDefault="006B1DF2" w:rsidP="002C5EDB">
            <w:pPr>
              <w:rPr>
                <w:rFonts w:ascii="Times New Roman" w:hAnsi="Times New Roman" w:cs="Times New Roman"/>
                <w:lang w:val="en-GB"/>
              </w:rPr>
            </w:pPr>
          </w:p>
        </w:tc>
        <w:tc>
          <w:tcPr>
            <w:tcW w:w="773" w:type="dxa"/>
          </w:tcPr>
          <w:p w14:paraId="4418CDFC" w14:textId="77777777" w:rsidR="006B1DF2" w:rsidRPr="00BB28A0" w:rsidRDefault="006B1DF2" w:rsidP="002C5EDB">
            <w:pPr>
              <w:rPr>
                <w:rFonts w:ascii="Times New Roman" w:hAnsi="Times New Roman" w:cs="Times New Roman"/>
                <w:lang w:val="en-GB"/>
              </w:rPr>
            </w:pPr>
          </w:p>
        </w:tc>
      </w:tr>
      <w:tr w:rsidR="00E35AF9" w:rsidRPr="00BB28A0" w14:paraId="72535610" w14:textId="77777777" w:rsidTr="00E35AF9">
        <w:trPr>
          <w:jc w:val="center"/>
        </w:trPr>
        <w:tc>
          <w:tcPr>
            <w:tcW w:w="511" w:type="dxa"/>
            <w:shd w:val="clear" w:color="auto" w:fill="auto"/>
            <w:noWrap/>
            <w:vAlign w:val="bottom"/>
          </w:tcPr>
          <w:p w14:paraId="3C564657" w14:textId="77777777" w:rsidR="006B1DF2" w:rsidRPr="00BB28A0" w:rsidRDefault="006B1DF2" w:rsidP="002C5EDB">
            <w:pPr>
              <w:rPr>
                <w:rFonts w:ascii="Times New Roman" w:hAnsi="Times New Roman" w:cs="Times New Roman"/>
                <w:lang w:val="en-GB"/>
              </w:rPr>
            </w:pPr>
            <w:r w:rsidRPr="00BB28A0">
              <w:rPr>
                <w:rFonts w:ascii="Times New Roman" w:hAnsi="Times New Roman" w:cs="Times New Roman"/>
                <w:lang w:val="en-GB"/>
              </w:rPr>
              <w:t>...</w:t>
            </w:r>
          </w:p>
        </w:tc>
        <w:tc>
          <w:tcPr>
            <w:tcW w:w="2104" w:type="dxa"/>
            <w:shd w:val="clear" w:color="auto" w:fill="auto"/>
            <w:vAlign w:val="bottom"/>
          </w:tcPr>
          <w:p w14:paraId="54D55125" w14:textId="77777777" w:rsidR="006B1DF2" w:rsidRPr="00BB28A0" w:rsidRDefault="006B1DF2" w:rsidP="002C5EDB">
            <w:pPr>
              <w:rPr>
                <w:rFonts w:ascii="Times New Roman" w:hAnsi="Times New Roman" w:cs="Times New Roman"/>
                <w:lang w:val="en-GB"/>
              </w:rPr>
            </w:pPr>
          </w:p>
        </w:tc>
        <w:tc>
          <w:tcPr>
            <w:tcW w:w="945" w:type="dxa"/>
            <w:vAlign w:val="bottom"/>
          </w:tcPr>
          <w:p w14:paraId="1696D49B" w14:textId="77777777" w:rsidR="006B1DF2" w:rsidRPr="00BB28A0" w:rsidRDefault="006B1DF2" w:rsidP="002C5EDB">
            <w:pPr>
              <w:rPr>
                <w:rFonts w:ascii="Times New Roman" w:hAnsi="Times New Roman" w:cs="Times New Roman"/>
                <w:lang w:val="en-GB"/>
              </w:rPr>
            </w:pPr>
          </w:p>
        </w:tc>
        <w:tc>
          <w:tcPr>
            <w:tcW w:w="926" w:type="dxa"/>
            <w:shd w:val="clear" w:color="auto" w:fill="auto"/>
            <w:vAlign w:val="bottom"/>
          </w:tcPr>
          <w:p w14:paraId="336701D2" w14:textId="77777777" w:rsidR="006B1DF2" w:rsidRPr="00BB28A0" w:rsidRDefault="006B1DF2" w:rsidP="002C5EDB">
            <w:pPr>
              <w:rPr>
                <w:rFonts w:ascii="Times New Roman" w:hAnsi="Times New Roman" w:cs="Times New Roman"/>
                <w:lang w:val="en-GB"/>
              </w:rPr>
            </w:pPr>
          </w:p>
        </w:tc>
        <w:tc>
          <w:tcPr>
            <w:tcW w:w="1208" w:type="dxa"/>
            <w:shd w:val="clear" w:color="auto" w:fill="auto"/>
            <w:vAlign w:val="bottom"/>
          </w:tcPr>
          <w:p w14:paraId="11BDA205" w14:textId="77777777" w:rsidR="006B1DF2" w:rsidRPr="00BB28A0" w:rsidRDefault="006B1DF2" w:rsidP="002C5EDB">
            <w:pPr>
              <w:rPr>
                <w:rFonts w:ascii="Times New Roman" w:hAnsi="Times New Roman" w:cs="Times New Roman"/>
                <w:lang w:val="en-GB"/>
              </w:rPr>
            </w:pPr>
          </w:p>
        </w:tc>
        <w:tc>
          <w:tcPr>
            <w:tcW w:w="1417" w:type="dxa"/>
          </w:tcPr>
          <w:p w14:paraId="32FD4D4B" w14:textId="77777777" w:rsidR="006B1DF2" w:rsidRPr="00BB28A0" w:rsidRDefault="006B1DF2" w:rsidP="002C5EDB">
            <w:pPr>
              <w:rPr>
                <w:rFonts w:ascii="Times New Roman" w:hAnsi="Times New Roman" w:cs="Times New Roman"/>
                <w:lang w:val="en-GB"/>
              </w:rPr>
            </w:pPr>
          </w:p>
        </w:tc>
        <w:tc>
          <w:tcPr>
            <w:tcW w:w="1127" w:type="dxa"/>
          </w:tcPr>
          <w:p w14:paraId="3A8B07EB" w14:textId="77777777" w:rsidR="006B1DF2" w:rsidRPr="00BB28A0" w:rsidRDefault="006B1DF2" w:rsidP="002C5EDB">
            <w:pPr>
              <w:rPr>
                <w:rFonts w:ascii="Times New Roman" w:hAnsi="Times New Roman" w:cs="Times New Roman"/>
                <w:lang w:val="en-GB"/>
              </w:rPr>
            </w:pPr>
          </w:p>
        </w:tc>
        <w:tc>
          <w:tcPr>
            <w:tcW w:w="773" w:type="dxa"/>
          </w:tcPr>
          <w:p w14:paraId="02BB9BC4" w14:textId="77777777" w:rsidR="006B1DF2" w:rsidRPr="00BB28A0" w:rsidRDefault="006B1DF2" w:rsidP="002C5EDB">
            <w:pPr>
              <w:rPr>
                <w:rFonts w:ascii="Times New Roman" w:hAnsi="Times New Roman" w:cs="Times New Roman"/>
                <w:lang w:val="en-GB"/>
              </w:rPr>
            </w:pPr>
          </w:p>
        </w:tc>
      </w:tr>
    </w:tbl>
    <w:bookmarkEnd w:id="8"/>
    <w:p w14:paraId="245BF7B1" w14:textId="77777777" w:rsidR="002E36C9" w:rsidRPr="00BB28A0" w:rsidRDefault="002E36C9" w:rsidP="002E36C9">
      <w:pPr>
        <w:spacing w:after="0" w:line="252" w:lineRule="auto"/>
        <w:jc w:val="both"/>
        <w:rPr>
          <w:rFonts w:ascii="Times New Roman" w:eastAsia="Calibri" w:hAnsi="Times New Roman" w:cs="Times New Roman"/>
          <w:b/>
          <w:lang w:val="en-GB"/>
        </w:rPr>
      </w:pPr>
      <w:r w:rsidRPr="00BB28A0">
        <w:rPr>
          <w:rFonts w:ascii="Times New Roman" w:eastAsia="Calibri" w:hAnsi="Times New Roman" w:cs="Times New Roman"/>
          <w:b/>
          <w:lang w:val="en-GB"/>
        </w:rPr>
        <w:t>Instructions for completing Table 2.2:</w:t>
      </w:r>
    </w:p>
    <w:p w14:paraId="773A04F5" w14:textId="77777777" w:rsidR="002E36C9" w:rsidRPr="00BB28A0" w:rsidRDefault="002E36C9" w:rsidP="002E36C9">
      <w:pPr>
        <w:spacing w:after="0" w:line="252" w:lineRule="auto"/>
        <w:jc w:val="both"/>
        <w:rPr>
          <w:rFonts w:ascii="Times New Roman" w:eastAsia="Calibri" w:hAnsi="Times New Roman" w:cs="Times New Roman"/>
          <w:lang w:val="en-GB"/>
        </w:rPr>
      </w:pPr>
      <w:r w:rsidRPr="00BB28A0">
        <w:rPr>
          <w:rFonts w:ascii="Times New Roman" w:eastAsia="Calibri" w:hAnsi="Times New Roman" w:cs="Times New Roman"/>
          <w:lang w:val="en-GB"/>
        </w:rPr>
        <w:t>Please enter only the equipment the purchase value of which is above EUR 50,000.</w:t>
      </w:r>
    </w:p>
    <w:p w14:paraId="07DD2C09" w14:textId="15F5C7D1" w:rsidR="002E36C9" w:rsidRPr="00BB28A0" w:rsidRDefault="002E36C9" w:rsidP="002E36C9">
      <w:pPr>
        <w:spacing w:after="0" w:line="252" w:lineRule="auto"/>
        <w:jc w:val="both"/>
        <w:rPr>
          <w:rFonts w:ascii="Times New Roman" w:eastAsia="Calibri" w:hAnsi="Times New Roman" w:cs="Times New Roman"/>
          <w:lang w:val="en-GB"/>
        </w:rPr>
      </w:pPr>
      <w:r w:rsidRPr="00BB28A0">
        <w:rPr>
          <w:rFonts w:ascii="Times New Roman" w:eastAsia="Calibri" w:hAnsi="Times New Roman" w:cs="Times New Roman"/>
          <w:lang w:val="en-GB"/>
        </w:rPr>
        <w:t>In the column “</w:t>
      </w:r>
      <w:r w:rsidR="00946DB9" w:rsidRPr="00BB28A0">
        <w:rPr>
          <w:rFonts w:ascii="Times New Roman" w:eastAsia="Calibri" w:hAnsi="Times New Roman" w:cs="Times New Roman"/>
          <w:lang w:val="en-GB"/>
        </w:rPr>
        <w:t>S</w:t>
      </w:r>
      <w:r w:rsidRPr="00BB28A0">
        <w:rPr>
          <w:rFonts w:ascii="Times New Roman" w:eastAsia="Calibri" w:hAnsi="Times New Roman" w:cs="Times New Roman"/>
          <w:lang w:val="en-GB"/>
        </w:rPr>
        <w:t>ource of funds for the purchase of equipment” please enter the funding source. If there are two or more sources, please indicate each one with the participation share:</w:t>
      </w:r>
    </w:p>
    <w:p w14:paraId="4AEF00A7" w14:textId="77777777" w:rsidR="002E36C9" w:rsidRPr="00BB28A0" w:rsidRDefault="002E36C9" w:rsidP="002E36C9">
      <w:pPr>
        <w:spacing w:after="0" w:line="252" w:lineRule="auto"/>
        <w:jc w:val="both"/>
        <w:rPr>
          <w:rFonts w:ascii="Times New Roman" w:eastAsia="Calibri" w:hAnsi="Times New Roman" w:cs="Times New Roman"/>
          <w:lang w:val="en-GB"/>
        </w:rPr>
      </w:pPr>
      <w:r w:rsidRPr="00BB28A0">
        <w:rPr>
          <w:rFonts w:ascii="Times New Roman" w:eastAsia="Calibri" w:hAnsi="Times New Roman" w:cs="Times New Roman"/>
          <w:lang w:val="en-GB"/>
        </w:rPr>
        <w:t>a. Own funds</w:t>
      </w:r>
    </w:p>
    <w:p w14:paraId="4DF8E706" w14:textId="77777777" w:rsidR="002E36C9" w:rsidRPr="00BB28A0" w:rsidRDefault="002E36C9" w:rsidP="002E36C9">
      <w:pPr>
        <w:spacing w:after="0" w:line="252" w:lineRule="auto"/>
        <w:jc w:val="both"/>
        <w:rPr>
          <w:rFonts w:ascii="Times New Roman" w:eastAsia="Calibri" w:hAnsi="Times New Roman" w:cs="Times New Roman"/>
          <w:lang w:val="en-GB"/>
        </w:rPr>
      </w:pPr>
      <w:r w:rsidRPr="00BB28A0">
        <w:rPr>
          <w:rFonts w:ascii="Times New Roman" w:eastAsia="Calibri" w:hAnsi="Times New Roman" w:cs="Times New Roman"/>
          <w:lang w:val="en-GB"/>
        </w:rPr>
        <w:t>b. Resources of the Ministry of Education and Science</w:t>
      </w:r>
    </w:p>
    <w:p w14:paraId="60C3C1A5" w14:textId="77777777" w:rsidR="002E36C9" w:rsidRPr="00BB28A0" w:rsidRDefault="002E36C9" w:rsidP="002E36C9">
      <w:pPr>
        <w:spacing w:after="0" w:line="252" w:lineRule="auto"/>
        <w:jc w:val="both"/>
        <w:rPr>
          <w:rFonts w:ascii="Times New Roman" w:eastAsia="Calibri" w:hAnsi="Times New Roman" w:cs="Times New Roman"/>
          <w:lang w:val="en-GB"/>
        </w:rPr>
      </w:pPr>
      <w:r w:rsidRPr="00BB28A0">
        <w:rPr>
          <w:rFonts w:ascii="Times New Roman" w:eastAsia="Calibri" w:hAnsi="Times New Roman" w:cs="Times New Roman"/>
          <w:lang w:val="en-GB"/>
        </w:rPr>
        <w:lastRenderedPageBreak/>
        <w:t>c. Resources of other ministries</w:t>
      </w:r>
    </w:p>
    <w:p w14:paraId="50E8C96E" w14:textId="77777777" w:rsidR="002E36C9" w:rsidRPr="00BB28A0" w:rsidRDefault="002E36C9" w:rsidP="002E36C9">
      <w:pPr>
        <w:spacing w:after="0" w:line="252" w:lineRule="auto"/>
        <w:jc w:val="both"/>
        <w:rPr>
          <w:rFonts w:ascii="Times New Roman" w:eastAsia="Calibri" w:hAnsi="Times New Roman" w:cs="Times New Roman"/>
          <w:lang w:val="en-GB"/>
        </w:rPr>
      </w:pPr>
      <w:r w:rsidRPr="00BB28A0">
        <w:rPr>
          <w:rFonts w:ascii="Times New Roman" w:eastAsia="Calibri" w:hAnsi="Times New Roman" w:cs="Times New Roman"/>
          <w:lang w:val="en-GB"/>
        </w:rPr>
        <w:t xml:space="preserve">d. Public Funds </w:t>
      </w:r>
    </w:p>
    <w:p w14:paraId="0D846FC9" w14:textId="77777777" w:rsidR="002E36C9" w:rsidRPr="00BB28A0" w:rsidRDefault="002E36C9" w:rsidP="002E36C9">
      <w:pPr>
        <w:spacing w:after="0" w:line="252" w:lineRule="auto"/>
        <w:jc w:val="both"/>
        <w:rPr>
          <w:rFonts w:ascii="Times New Roman" w:eastAsia="Calibri" w:hAnsi="Times New Roman" w:cs="Times New Roman"/>
          <w:lang w:val="en-GB"/>
        </w:rPr>
      </w:pPr>
      <w:r w:rsidRPr="00BB28A0">
        <w:rPr>
          <w:rFonts w:ascii="Times New Roman" w:eastAsia="Calibri" w:hAnsi="Times New Roman" w:cs="Times New Roman"/>
          <w:lang w:val="en-GB"/>
        </w:rPr>
        <w:t>e. Donations</w:t>
      </w:r>
    </w:p>
    <w:p w14:paraId="2CC117EF" w14:textId="77777777" w:rsidR="002E36C9" w:rsidRPr="00BB28A0" w:rsidRDefault="002E36C9" w:rsidP="002E36C9">
      <w:pPr>
        <w:spacing w:after="0" w:line="252" w:lineRule="auto"/>
        <w:jc w:val="both"/>
        <w:rPr>
          <w:rFonts w:ascii="Times New Roman" w:eastAsia="Calibri" w:hAnsi="Times New Roman" w:cs="Times New Roman"/>
          <w:lang w:val="en-GB"/>
        </w:rPr>
      </w:pPr>
      <w:r w:rsidRPr="00BB28A0">
        <w:rPr>
          <w:rFonts w:ascii="Times New Roman" w:eastAsia="Calibri" w:hAnsi="Times New Roman" w:cs="Times New Roman"/>
          <w:lang w:val="en-GB"/>
        </w:rPr>
        <w:t>f. Funds from international projects</w:t>
      </w:r>
    </w:p>
    <w:p w14:paraId="06C00238" w14:textId="77777777" w:rsidR="002E36C9" w:rsidRPr="00BB28A0" w:rsidRDefault="002E36C9" w:rsidP="002E36C9">
      <w:pPr>
        <w:spacing w:after="0" w:line="252" w:lineRule="auto"/>
        <w:jc w:val="both"/>
        <w:rPr>
          <w:rFonts w:ascii="Times New Roman" w:eastAsia="Calibri" w:hAnsi="Times New Roman" w:cs="Times New Roman"/>
          <w:lang w:val="en-GB"/>
        </w:rPr>
      </w:pPr>
      <w:r w:rsidRPr="00BB28A0">
        <w:rPr>
          <w:rFonts w:ascii="Times New Roman" w:eastAsia="Calibri" w:hAnsi="Times New Roman" w:cs="Times New Roman"/>
          <w:lang w:val="en-GB"/>
        </w:rPr>
        <w:t>g. Funds / international donations</w:t>
      </w:r>
    </w:p>
    <w:p w14:paraId="0F21E262" w14:textId="77777777" w:rsidR="002E36C9" w:rsidRPr="00BB28A0" w:rsidRDefault="002E36C9" w:rsidP="002E36C9">
      <w:pPr>
        <w:spacing w:after="0" w:line="252" w:lineRule="auto"/>
        <w:jc w:val="both"/>
        <w:rPr>
          <w:rFonts w:ascii="Times New Roman" w:eastAsia="Calibri" w:hAnsi="Times New Roman" w:cs="Times New Roman"/>
          <w:lang w:val="en-GB"/>
        </w:rPr>
      </w:pPr>
      <w:r w:rsidRPr="00BB28A0">
        <w:rPr>
          <w:rFonts w:ascii="Times New Roman" w:eastAsia="Calibri" w:hAnsi="Times New Roman" w:cs="Times New Roman"/>
          <w:lang w:val="en-GB"/>
        </w:rPr>
        <w:t>h. Other sources - specify which!</w:t>
      </w:r>
    </w:p>
    <w:p w14:paraId="2EC5BC5A" w14:textId="2194146A" w:rsidR="004F0CE0" w:rsidRPr="00BB28A0" w:rsidRDefault="002E36C9" w:rsidP="006B1DF2">
      <w:pPr>
        <w:rPr>
          <w:rFonts w:ascii="Times New Roman" w:hAnsi="Times New Roman" w:cs="Times New Roman"/>
          <w:lang w:val="en-GB"/>
        </w:rPr>
      </w:pPr>
      <w:r w:rsidRPr="00BB28A0">
        <w:rPr>
          <w:rFonts w:ascii="Times New Roman" w:hAnsi="Times New Roman" w:cs="Times New Roman"/>
          <w:lang w:val="en-GB"/>
        </w:rPr>
        <w:t xml:space="preserve">In the </w:t>
      </w:r>
      <w:r w:rsidR="004F0CE0" w:rsidRPr="00BB28A0">
        <w:rPr>
          <w:rFonts w:ascii="Times New Roman" w:hAnsi="Times New Roman" w:cs="Times New Roman"/>
          <w:lang w:val="en-GB"/>
        </w:rPr>
        <w:t xml:space="preserve">column </w:t>
      </w:r>
      <w:r w:rsidRPr="00BB28A0">
        <w:rPr>
          <w:rFonts w:ascii="Times New Roman" w:hAnsi="Times New Roman" w:cs="Times New Roman"/>
          <w:lang w:val="en-GB"/>
        </w:rPr>
        <w:t>"Price</w:t>
      </w:r>
      <w:r w:rsidR="004F0CE0" w:rsidRPr="00BB28A0">
        <w:rPr>
          <w:rFonts w:ascii="Times New Roman" w:hAnsi="Times New Roman" w:cs="Times New Roman"/>
          <w:lang w:val="en-GB"/>
        </w:rPr>
        <w:t xml:space="preserve"> of Service</w:t>
      </w:r>
      <w:r w:rsidRPr="00BB28A0">
        <w:rPr>
          <w:rFonts w:ascii="Times New Roman" w:hAnsi="Times New Roman" w:cs="Times New Roman"/>
          <w:lang w:val="en-GB"/>
        </w:rPr>
        <w:t xml:space="preserve">s", </w:t>
      </w:r>
      <w:r w:rsidR="004F0CE0" w:rsidRPr="00BB28A0">
        <w:rPr>
          <w:rFonts w:ascii="Times New Roman" w:hAnsi="Times New Roman" w:cs="Times New Roman"/>
          <w:lang w:val="en-GB"/>
        </w:rPr>
        <w:t xml:space="preserve">please </w:t>
      </w:r>
      <w:r w:rsidRPr="00BB28A0">
        <w:rPr>
          <w:rFonts w:ascii="Times New Roman" w:hAnsi="Times New Roman" w:cs="Times New Roman"/>
          <w:lang w:val="en-GB"/>
        </w:rPr>
        <w:t>enter the prices of services for using the research equipment.</w:t>
      </w:r>
    </w:p>
    <w:p w14:paraId="312373B0" w14:textId="77777777" w:rsidR="006B1DF2" w:rsidRPr="00BB28A0" w:rsidRDefault="006B1DF2" w:rsidP="006B1DF2">
      <w:pPr>
        <w:rPr>
          <w:rFonts w:ascii="StobiSerif Regular" w:hAnsi="StobiSerif Regular"/>
          <w:b/>
          <w:bCs/>
          <w:lang w:val="en-GB"/>
        </w:rPr>
      </w:pPr>
    </w:p>
    <w:p w14:paraId="3819EA60" w14:textId="622D8FC7" w:rsidR="006B1DF2" w:rsidRPr="00BB28A0" w:rsidRDefault="006B1DF2" w:rsidP="006B1DF2">
      <w:pPr>
        <w:rPr>
          <w:rFonts w:ascii="StobiSerif Regular" w:hAnsi="StobiSerif Regular"/>
          <w:b/>
          <w:bCs/>
          <w:lang w:val="en-GB"/>
        </w:rPr>
      </w:pPr>
      <w:r w:rsidRPr="00BB28A0">
        <w:rPr>
          <w:rFonts w:ascii="StobiSerif Regular" w:hAnsi="StobiSerif Regular"/>
          <w:b/>
          <w:bCs/>
          <w:lang w:val="en-GB"/>
        </w:rPr>
        <w:t xml:space="preserve">2.3. </w:t>
      </w:r>
      <w:r w:rsidR="004F0CE0" w:rsidRPr="00BB28A0">
        <w:rPr>
          <w:rFonts w:ascii="StobiSerif Regular" w:hAnsi="StobiSerif Regular"/>
          <w:b/>
          <w:bCs/>
          <w:lang w:val="en-GB"/>
        </w:rPr>
        <w:t xml:space="preserve">List of research equipment purchased based on the Competition for the allocation of funds for funding scientific and research projects of special and public interest for 2021 (support of laboratory resources) by the Ministry of Education and Science </w:t>
      </w:r>
    </w:p>
    <w:tbl>
      <w:tblPr>
        <w:tblW w:w="49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4A0" w:firstRow="1" w:lastRow="0" w:firstColumn="1" w:lastColumn="0" w:noHBand="0" w:noVBand="1"/>
      </w:tblPr>
      <w:tblGrid>
        <w:gridCol w:w="562"/>
        <w:gridCol w:w="2070"/>
        <w:gridCol w:w="896"/>
        <w:gridCol w:w="880"/>
        <w:gridCol w:w="1090"/>
        <w:gridCol w:w="1321"/>
        <w:gridCol w:w="1044"/>
        <w:gridCol w:w="1080"/>
      </w:tblGrid>
      <w:tr w:rsidR="006B1DF2" w:rsidRPr="00BB28A0" w14:paraId="0E5C1733" w14:textId="77777777" w:rsidTr="004F0CE0">
        <w:trPr>
          <w:jc w:val="center"/>
        </w:trPr>
        <w:tc>
          <w:tcPr>
            <w:tcW w:w="562" w:type="dxa"/>
            <w:shd w:val="clear" w:color="auto" w:fill="auto"/>
            <w:noWrap/>
            <w:vAlign w:val="bottom"/>
          </w:tcPr>
          <w:p w14:paraId="55412AA2" w14:textId="77777777" w:rsidR="006B1DF2" w:rsidRPr="00BB28A0" w:rsidRDefault="006B1DF2" w:rsidP="002C5EDB">
            <w:pPr>
              <w:rPr>
                <w:rFonts w:ascii="StobiSerif Regular" w:hAnsi="StobiSerif Regular"/>
                <w:b/>
                <w:lang w:val="en-GB"/>
              </w:rPr>
            </w:pPr>
          </w:p>
        </w:tc>
        <w:tc>
          <w:tcPr>
            <w:tcW w:w="2070" w:type="dxa"/>
            <w:shd w:val="clear" w:color="auto" w:fill="auto"/>
          </w:tcPr>
          <w:p w14:paraId="400D66D0" w14:textId="7A7877D2" w:rsidR="006B1DF2" w:rsidRPr="00BB28A0" w:rsidRDefault="004F0CE0" w:rsidP="004F0CE0">
            <w:pPr>
              <w:rPr>
                <w:rFonts w:ascii="StobiSerif Regular" w:hAnsi="StobiSerif Regular"/>
                <w:b/>
                <w:lang w:val="en-GB"/>
              </w:rPr>
            </w:pPr>
            <w:r w:rsidRPr="00BB28A0">
              <w:rPr>
                <w:rFonts w:ascii="StobiSerif Regular" w:hAnsi="StobiSerif Regular"/>
                <w:b/>
                <w:lang w:val="en-GB"/>
              </w:rPr>
              <w:t>Name of research equipment</w:t>
            </w:r>
            <w:r w:rsidR="006B1DF2" w:rsidRPr="00BB28A0">
              <w:rPr>
                <w:rFonts w:ascii="StobiSerif Regular" w:hAnsi="StobiSerif Regular"/>
                <w:b/>
                <w:lang w:val="en-GB"/>
              </w:rPr>
              <w:t xml:space="preserve"> </w:t>
            </w:r>
          </w:p>
        </w:tc>
        <w:tc>
          <w:tcPr>
            <w:tcW w:w="896" w:type="dxa"/>
          </w:tcPr>
          <w:p w14:paraId="5D2E0ADC" w14:textId="3BDA9163" w:rsidR="006B1DF2" w:rsidRPr="00BB28A0" w:rsidRDefault="004F0CE0" w:rsidP="004F0CE0">
            <w:pPr>
              <w:rPr>
                <w:rFonts w:ascii="StobiSerif Regular" w:hAnsi="StobiSerif Regular"/>
                <w:b/>
                <w:lang w:val="en-GB"/>
              </w:rPr>
            </w:pPr>
            <w:r w:rsidRPr="00BB28A0">
              <w:rPr>
                <w:rFonts w:ascii="StobiSerif Regular" w:hAnsi="StobiSerif Regular"/>
                <w:b/>
                <w:lang w:val="en-GB"/>
              </w:rPr>
              <w:t>Purchase price (</w:t>
            </w:r>
            <w:proofErr w:type="spellStart"/>
            <w:r w:rsidRPr="00BB28A0">
              <w:rPr>
                <w:rFonts w:ascii="StobiSerif Regular" w:hAnsi="StobiSerif Regular"/>
                <w:b/>
                <w:lang w:val="en-GB"/>
              </w:rPr>
              <w:t>denar</w:t>
            </w:r>
            <w:proofErr w:type="spellEnd"/>
            <w:r w:rsidRPr="00BB28A0">
              <w:rPr>
                <w:rFonts w:ascii="StobiSerif Regular" w:hAnsi="StobiSerif Regular"/>
                <w:b/>
                <w:lang w:val="en-GB"/>
              </w:rPr>
              <w:t xml:space="preserve"> and euro</w:t>
            </w:r>
            <w:r w:rsidR="006B1DF2" w:rsidRPr="00BB28A0">
              <w:rPr>
                <w:rFonts w:ascii="StobiSerif Regular" w:hAnsi="StobiSerif Regular"/>
                <w:b/>
                <w:lang w:val="en-GB"/>
              </w:rPr>
              <w:t>)</w:t>
            </w:r>
          </w:p>
        </w:tc>
        <w:tc>
          <w:tcPr>
            <w:tcW w:w="880" w:type="dxa"/>
            <w:shd w:val="clear" w:color="auto" w:fill="auto"/>
          </w:tcPr>
          <w:p w14:paraId="4A6376D5" w14:textId="667FA98D" w:rsidR="006B1DF2" w:rsidRPr="00BB28A0" w:rsidRDefault="004F0CE0" w:rsidP="004F0CE0">
            <w:pPr>
              <w:rPr>
                <w:rFonts w:ascii="StobiSerif Regular" w:hAnsi="StobiSerif Regular"/>
                <w:b/>
                <w:lang w:val="en-GB"/>
              </w:rPr>
            </w:pPr>
            <w:r w:rsidRPr="00BB28A0">
              <w:rPr>
                <w:rFonts w:ascii="StobiSerif Regular" w:hAnsi="StobiSerif Regular"/>
                <w:b/>
                <w:lang w:val="en-GB"/>
              </w:rPr>
              <w:t>Year of purchase</w:t>
            </w:r>
            <w:r w:rsidR="006B1DF2" w:rsidRPr="00BB28A0">
              <w:rPr>
                <w:rFonts w:ascii="StobiSerif Regular" w:hAnsi="StobiSerif Regular"/>
                <w:b/>
                <w:lang w:val="en-GB"/>
              </w:rPr>
              <w:t xml:space="preserve"> </w:t>
            </w:r>
          </w:p>
        </w:tc>
        <w:tc>
          <w:tcPr>
            <w:tcW w:w="1090" w:type="dxa"/>
            <w:shd w:val="clear" w:color="auto" w:fill="auto"/>
          </w:tcPr>
          <w:p w14:paraId="64D2AC35" w14:textId="1F423D2C" w:rsidR="006B1DF2" w:rsidRPr="00BB28A0" w:rsidRDefault="004F0CE0" w:rsidP="004F0CE0">
            <w:pPr>
              <w:rPr>
                <w:rFonts w:ascii="StobiSerif Regular" w:hAnsi="StobiSerif Regular"/>
                <w:b/>
                <w:lang w:val="en-GB"/>
              </w:rPr>
            </w:pPr>
            <w:r w:rsidRPr="00BB28A0">
              <w:rPr>
                <w:rFonts w:ascii="StobiSerif Regular" w:hAnsi="StobiSerif Regular"/>
                <w:b/>
                <w:lang w:val="en-GB"/>
              </w:rPr>
              <w:t>Source and amount of funds for the purchase of equipment</w:t>
            </w:r>
            <w:r w:rsidR="006B1DF2" w:rsidRPr="00BB28A0">
              <w:rPr>
                <w:rFonts w:ascii="StobiSerif Regular" w:hAnsi="StobiSerif Regular"/>
                <w:b/>
                <w:lang w:val="en-GB"/>
              </w:rPr>
              <w:t xml:space="preserve"> </w:t>
            </w:r>
          </w:p>
        </w:tc>
        <w:tc>
          <w:tcPr>
            <w:tcW w:w="1321" w:type="dxa"/>
          </w:tcPr>
          <w:p w14:paraId="01255D80" w14:textId="0BEF7CA1" w:rsidR="006B1DF2" w:rsidRPr="00BB28A0" w:rsidRDefault="004F0CE0" w:rsidP="004F0CE0">
            <w:pPr>
              <w:rPr>
                <w:rFonts w:ascii="StobiSerif Regular" w:hAnsi="StobiSerif Regular"/>
                <w:b/>
                <w:lang w:val="en-GB"/>
              </w:rPr>
            </w:pPr>
            <w:r w:rsidRPr="00BB28A0">
              <w:rPr>
                <w:rFonts w:ascii="StobiSerif Regular" w:hAnsi="StobiSerif Regular"/>
                <w:b/>
                <w:lang w:val="en-GB"/>
              </w:rPr>
              <w:t>Estimated duration of the equipment (years)</w:t>
            </w:r>
          </w:p>
        </w:tc>
        <w:tc>
          <w:tcPr>
            <w:tcW w:w="1044" w:type="dxa"/>
          </w:tcPr>
          <w:p w14:paraId="1180AEBA" w14:textId="6D637945" w:rsidR="006B1DF2" w:rsidRPr="00BB28A0" w:rsidRDefault="004F0CE0" w:rsidP="004F0CE0">
            <w:pPr>
              <w:rPr>
                <w:rFonts w:ascii="StobiSerif Regular" w:hAnsi="StobiSerif Regular"/>
                <w:b/>
                <w:lang w:val="en-GB"/>
              </w:rPr>
            </w:pPr>
            <w:r w:rsidRPr="00BB28A0">
              <w:rPr>
                <w:rFonts w:ascii="StobiSerif Regular" w:hAnsi="StobiSerif Regular"/>
                <w:b/>
                <w:lang w:val="en-GB"/>
              </w:rPr>
              <w:t>Number of users to date</w:t>
            </w:r>
          </w:p>
        </w:tc>
        <w:tc>
          <w:tcPr>
            <w:tcW w:w="1080" w:type="dxa"/>
          </w:tcPr>
          <w:p w14:paraId="10BBC408" w14:textId="4A5AED13" w:rsidR="006B1DF2" w:rsidRPr="00BB28A0" w:rsidRDefault="004F0CE0" w:rsidP="004F0CE0">
            <w:pPr>
              <w:rPr>
                <w:rFonts w:ascii="StobiSerif Regular" w:hAnsi="StobiSerif Regular"/>
                <w:b/>
                <w:lang w:val="en-GB"/>
              </w:rPr>
            </w:pPr>
            <w:r w:rsidRPr="00BB28A0">
              <w:rPr>
                <w:rFonts w:ascii="StobiSerif Regular" w:hAnsi="StobiSerif Regular"/>
                <w:b/>
                <w:lang w:val="en-GB"/>
              </w:rPr>
              <w:t>Price and description of services</w:t>
            </w:r>
          </w:p>
        </w:tc>
      </w:tr>
      <w:tr w:rsidR="006B1DF2" w:rsidRPr="00BB28A0" w14:paraId="266564C2" w14:textId="77777777" w:rsidTr="004F0CE0">
        <w:trPr>
          <w:jc w:val="center"/>
        </w:trPr>
        <w:tc>
          <w:tcPr>
            <w:tcW w:w="562" w:type="dxa"/>
            <w:shd w:val="clear" w:color="auto" w:fill="auto"/>
            <w:noWrap/>
            <w:vAlign w:val="bottom"/>
          </w:tcPr>
          <w:p w14:paraId="7DF2C8C4" w14:textId="77777777" w:rsidR="006B1DF2" w:rsidRPr="00BB28A0" w:rsidRDefault="006B1DF2" w:rsidP="002C5EDB">
            <w:pPr>
              <w:rPr>
                <w:rFonts w:ascii="StobiSerif Regular" w:hAnsi="StobiSerif Regular"/>
                <w:lang w:val="en-GB"/>
              </w:rPr>
            </w:pPr>
            <w:r w:rsidRPr="00BB28A0">
              <w:rPr>
                <w:rFonts w:ascii="StobiSerif Regular" w:hAnsi="StobiSerif Regular"/>
                <w:lang w:val="en-GB"/>
              </w:rPr>
              <w:t>1.</w:t>
            </w:r>
          </w:p>
        </w:tc>
        <w:tc>
          <w:tcPr>
            <w:tcW w:w="2070" w:type="dxa"/>
            <w:shd w:val="clear" w:color="auto" w:fill="auto"/>
            <w:vAlign w:val="bottom"/>
          </w:tcPr>
          <w:p w14:paraId="660D0977" w14:textId="77777777" w:rsidR="006B1DF2" w:rsidRPr="00BB28A0" w:rsidRDefault="006B1DF2" w:rsidP="002C5EDB">
            <w:pPr>
              <w:rPr>
                <w:rFonts w:ascii="StobiSerif Regular" w:hAnsi="StobiSerif Regular"/>
                <w:lang w:val="en-GB"/>
              </w:rPr>
            </w:pPr>
          </w:p>
        </w:tc>
        <w:tc>
          <w:tcPr>
            <w:tcW w:w="896" w:type="dxa"/>
            <w:vAlign w:val="bottom"/>
          </w:tcPr>
          <w:p w14:paraId="1D30FF03" w14:textId="77777777" w:rsidR="006B1DF2" w:rsidRPr="00BB28A0" w:rsidRDefault="006B1DF2" w:rsidP="002C5EDB">
            <w:pPr>
              <w:rPr>
                <w:rFonts w:ascii="StobiSerif Regular" w:hAnsi="StobiSerif Regular"/>
                <w:lang w:val="en-GB"/>
              </w:rPr>
            </w:pPr>
          </w:p>
        </w:tc>
        <w:tc>
          <w:tcPr>
            <w:tcW w:w="880" w:type="dxa"/>
            <w:shd w:val="clear" w:color="auto" w:fill="auto"/>
            <w:vAlign w:val="bottom"/>
          </w:tcPr>
          <w:p w14:paraId="7BB3D553" w14:textId="77777777" w:rsidR="006B1DF2" w:rsidRPr="00BB28A0" w:rsidRDefault="006B1DF2" w:rsidP="002C5EDB">
            <w:pPr>
              <w:rPr>
                <w:rFonts w:ascii="StobiSerif Regular" w:hAnsi="StobiSerif Regular"/>
                <w:lang w:val="en-GB"/>
              </w:rPr>
            </w:pPr>
          </w:p>
        </w:tc>
        <w:tc>
          <w:tcPr>
            <w:tcW w:w="1090" w:type="dxa"/>
            <w:shd w:val="clear" w:color="auto" w:fill="auto"/>
            <w:vAlign w:val="bottom"/>
          </w:tcPr>
          <w:p w14:paraId="3D0BDD0B" w14:textId="77777777" w:rsidR="006B1DF2" w:rsidRPr="00BB28A0" w:rsidRDefault="006B1DF2" w:rsidP="002C5EDB">
            <w:pPr>
              <w:rPr>
                <w:rFonts w:ascii="StobiSerif Regular" w:hAnsi="StobiSerif Regular"/>
                <w:lang w:val="en-GB"/>
              </w:rPr>
            </w:pPr>
          </w:p>
        </w:tc>
        <w:tc>
          <w:tcPr>
            <w:tcW w:w="1321" w:type="dxa"/>
          </w:tcPr>
          <w:p w14:paraId="0B2BCDA2" w14:textId="77777777" w:rsidR="006B1DF2" w:rsidRPr="00BB28A0" w:rsidRDefault="006B1DF2" w:rsidP="002C5EDB">
            <w:pPr>
              <w:rPr>
                <w:rFonts w:ascii="StobiSerif Regular" w:hAnsi="StobiSerif Regular"/>
                <w:lang w:val="en-GB"/>
              </w:rPr>
            </w:pPr>
          </w:p>
        </w:tc>
        <w:tc>
          <w:tcPr>
            <w:tcW w:w="1044" w:type="dxa"/>
          </w:tcPr>
          <w:p w14:paraId="2A7C8324" w14:textId="77777777" w:rsidR="006B1DF2" w:rsidRPr="00BB28A0" w:rsidRDefault="006B1DF2" w:rsidP="002C5EDB">
            <w:pPr>
              <w:rPr>
                <w:rFonts w:ascii="StobiSerif Regular" w:hAnsi="StobiSerif Regular"/>
                <w:lang w:val="en-GB"/>
              </w:rPr>
            </w:pPr>
          </w:p>
        </w:tc>
        <w:tc>
          <w:tcPr>
            <w:tcW w:w="1080" w:type="dxa"/>
          </w:tcPr>
          <w:p w14:paraId="05BFB3E7" w14:textId="77777777" w:rsidR="006B1DF2" w:rsidRPr="00BB28A0" w:rsidRDefault="006B1DF2" w:rsidP="002C5EDB">
            <w:pPr>
              <w:rPr>
                <w:rFonts w:ascii="StobiSerif Regular" w:hAnsi="StobiSerif Regular"/>
                <w:lang w:val="en-GB"/>
              </w:rPr>
            </w:pPr>
          </w:p>
        </w:tc>
      </w:tr>
      <w:tr w:rsidR="006B1DF2" w:rsidRPr="00BB28A0" w14:paraId="4BD84ED0" w14:textId="77777777" w:rsidTr="004F0CE0">
        <w:trPr>
          <w:jc w:val="center"/>
        </w:trPr>
        <w:tc>
          <w:tcPr>
            <w:tcW w:w="562" w:type="dxa"/>
            <w:shd w:val="clear" w:color="auto" w:fill="auto"/>
            <w:noWrap/>
            <w:vAlign w:val="bottom"/>
          </w:tcPr>
          <w:p w14:paraId="1AD73707" w14:textId="77777777" w:rsidR="006B1DF2" w:rsidRPr="00BB28A0" w:rsidRDefault="006B1DF2" w:rsidP="002C5EDB">
            <w:pPr>
              <w:rPr>
                <w:rFonts w:ascii="StobiSerif Regular" w:hAnsi="StobiSerif Regular"/>
                <w:lang w:val="en-GB"/>
              </w:rPr>
            </w:pPr>
            <w:r w:rsidRPr="00BB28A0">
              <w:rPr>
                <w:rFonts w:ascii="StobiSerif Regular" w:hAnsi="StobiSerif Regular"/>
                <w:lang w:val="en-GB"/>
              </w:rPr>
              <w:t>2.</w:t>
            </w:r>
          </w:p>
        </w:tc>
        <w:tc>
          <w:tcPr>
            <w:tcW w:w="2070" w:type="dxa"/>
            <w:shd w:val="clear" w:color="auto" w:fill="auto"/>
            <w:vAlign w:val="bottom"/>
          </w:tcPr>
          <w:p w14:paraId="4D66C522" w14:textId="77777777" w:rsidR="006B1DF2" w:rsidRPr="00BB28A0" w:rsidRDefault="006B1DF2" w:rsidP="002C5EDB">
            <w:pPr>
              <w:rPr>
                <w:rFonts w:ascii="StobiSerif Regular" w:hAnsi="StobiSerif Regular"/>
                <w:lang w:val="en-GB"/>
              </w:rPr>
            </w:pPr>
          </w:p>
        </w:tc>
        <w:tc>
          <w:tcPr>
            <w:tcW w:w="896" w:type="dxa"/>
            <w:vAlign w:val="bottom"/>
          </w:tcPr>
          <w:p w14:paraId="7AA58F07" w14:textId="77777777" w:rsidR="006B1DF2" w:rsidRPr="00BB28A0" w:rsidRDefault="006B1DF2" w:rsidP="002C5EDB">
            <w:pPr>
              <w:rPr>
                <w:rFonts w:ascii="StobiSerif Regular" w:hAnsi="StobiSerif Regular"/>
                <w:lang w:val="en-GB"/>
              </w:rPr>
            </w:pPr>
          </w:p>
        </w:tc>
        <w:tc>
          <w:tcPr>
            <w:tcW w:w="880" w:type="dxa"/>
            <w:shd w:val="clear" w:color="auto" w:fill="auto"/>
            <w:vAlign w:val="bottom"/>
          </w:tcPr>
          <w:p w14:paraId="3C6CEC0A" w14:textId="77777777" w:rsidR="006B1DF2" w:rsidRPr="00BB28A0" w:rsidRDefault="006B1DF2" w:rsidP="002C5EDB">
            <w:pPr>
              <w:rPr>
                <w:rFonts w:ascii="StobiSerif Regular" w:hAnsi="StobiSerif Regular"/>
                <w:lang w:val="en-GB"/>
              </w:rPr>
            </w:pPr>
          </w:p>
        </w:tc>
        <w:tc>
          <w:tcPr>
            <w:tcW w:w="1090" w:type="dxa"/>
            <w:shd w:val="clear" w:color="auto" w:fill="auto"/>
            <w:vAlign w:val="bottom"/>
          </w:tcPr>
          <w:p w14:paraId="39A81612" w14:textId="77777777" w:rsidR="006B1DF2" w:rsidRPr="00BB28A0" w:rsidRDefault="006B1DF2" w:rsidP="002C5EDB">
            <w:pPr>
              <w:rPr>
                <w:rFonts w:ascii="StobiSerif Regular" w:hAnsi="StobiSerif Regular"/>
                <w:lang w:val="en-GB"/>
              </w:rPr>
            </w:pPr>
          </w:p>
        </w:tc>
        <w:tc>
          <w:tcPr>
            <w:tcW w:w="1321" w:type="dxa"/>
          </w:tcPr>
          <w:p w14:paraId="00639399" w14:textId="77777777" w:rsidR="006B1DF2" w:rsidRPr="00BB28A0" w:rsidRDefault="006B1DF2" w:rsidP="002C5EDB">
            <w:pPr>
              <w:rPr>
                <w:rFonts w:ascii="StobiSerif Regular" w:hAnsi="StobiSerif Regular"/>
                <w:lang w:val="en-GB"/>
              </w:rPr>
            </w:pPr>
          </w:p>
        </w:tc>
        <w:tc>
          <w:tcPr>
            <w:tcW w:w="1044" w:type="dxa"/>
          </w:tcPr>
          <w:p w14:paraId="07220D02" w14:textId="77777777" w:rsidR="006B1DF2" w:rsidRPr="00BB28A0" w:rsidRDefault="006B1DF2" w:rsidP="002C5EDB">
            <w:pPr>
              <w:rPr>
                <w:rFonts w:ascii="StobiSerif Regular" w:hAnsi="StobiSerif Regular"/>
                <w:lang w:val="en-GB"/>
              </w:rPr>
            </w:pPr>
          </w:p>
        </w:tc>
        <w:tc>
          <w:tcPr>
            <w:tcW w:w="1080" w:type="dxa"/>
          </w:tcPr>
          <w:p w14:paraId="4059B096" w14:textId="77777777" w:rsidR="006B1DF2" w:rsidRPr="00BB28A0" w:rsidRDefault="006B1DF2" w:rsidP="002C5EDB">
            <w:pPr>
              <w:rPr>
                <w:rFonts w:ascii="StobiSerif Regular" w:hAnsi="StobiSerif Regular"/>
                <w:lang w:val="en-GB"/>
              </w:rPr>
            </w:pPr>
          </w:p>
        </w:tc>
      </w:tr>
      <w:tr w:rsidR="006B1DF2" w:rsidRPr="00BB28A0" w14:paraId="7A46AD00" w14:textId="77777777" w:rsidTr="004F0CE0">
        <w:trPr>
          <w:jc w:val="center"/>
        </w:trPr>
        <w:tc>
          <w:tcPr>
            <w:tcW w:w="562" w:type="dxa"/>
            <w:shd w:val="clear" w:color="auto" w:fill="auto"/>
            <w:noWrap/>
            <w:vAlign w:val="bottom"/>
          </w:tcPr>
          <w:p w14:paraId="4454546F" w14:textId="77777777" w:rsidR="006B1DF2" w:rsidRPr="00BB28A0" w:rsidRDefault="006B1DF2" w:rsidP="002C5EDB">
            <w:pPr>
              <w:rPr>
                <w:rFonts w:ascii="StobiSerif Regular" w:hAnsi="StobiSerif Regular"/>
                <w:lang w:val="en-GB"/>
              </w:rPr>
            </w:pPr>
            <w:r w:rsidRPr="00BB28A0">
              <w:rPr>
                <w:rFonts w:ascii="StobiSerif Regular" w:hAnsi="StobiSerif Regular"/>
                <w:lang w:val="en-GB"/>
              </w:rPr>
              <w:t>3.</w:t>
            </w:r>
          </w:p>
        </w:tc>
        <w:tc>
          <w:tcPr>
            <w:tcW w:w="2070" w:type="dxa"/>
            <w:shd w:val="clear" w:color="auto" w:fill="auto"/>
            <w:vAlign w:val="bottom"/>
          </w:tcPr>
          <w:p w14:paraId="7237FC1D" w14:textId="77777777" w:rsidR="006B1DF2" w:rsidRPr="00BB28A0" w:rsidRDefault="006B1DF2" w:rsidP="002C5EDB">
            <w:pPr>
              <w:rPr>
                <w:rFonts w:ascii="StobiSerif Regular" w:hAnsi="StobiSerif Regular"/>
                <w:lang w:val="en-GB"/>
              </w:rPr>
            </w:pPr>
          </w:p>
        </w:tc>
        <w:tc>
          <w:tcPr>
            <w:tcW w:w="896" w:type="dxa"/>
            <w:vAlign w:val="bottom"/>
          </w:tcPr>
          <w:p w14:paraId="68CFE3E9" w14:textId="77777777" w:rsidR="006B1DF2" w:rsidRPr="00BB28A0" w:rsidRDefault="006B1DF2" w:rsidP="002C5EDB">
            <w:pPr>
              <w:rPr>
                <w:rFonts w:ascii="StobiSerif Regular" w:hAnsi="StobiSerif Regular"/>
                <w:lang w:val="en-GB"/>
              </w:rPr>
            </w:pPr>
          </w:p>
        </w:tc>
        <w:tc>
          <w:tcPr>
            <w:tcW w:w="880" w:type="dxa"/>
            <w:shd w:val="clear" w:color="auto" w:fill="auto"/>
            <w:vAlign w:val="bottom"/>
          </w:tcPr>
          <w:p w14:paraId="0A6759C2" w14:textId="77777777" w:rsidR="006B1DF2" w:rsidRPr="00BB28A0" w:rsidRDefault="006B1DF2" w:rsidP="002C5EDB">
            <w:pPr>
              <w:rPr>
                <w:rFonts w:ascii="StobiSerif Regular" w:hAnsi="StobiSerif Regular"/>
                <w:lang w:val="en-GB"/>
              </w:rPr>
            </w:pPr>
          </w:p>
        </w:tc>
        <w:tc>
          <w:tcPr>
            <w:tcW w:w="1090" w:type="dxa"/>
            <w:shd w:val="clear" w:color="auto" w:fill="auto"/>
            <w:vAlign w:val="bottom"/>
          </w:tcPr>
          <w:p w14:paraId="39EB2179" w14:textId="77777777" w:rsidR="006B1DF2" w:rsidRPr="00BB28A0" w:rsidRDefault="006B1DF2" w:rsidP="002C5EDB">
            <w:pPr>
              <w:rPr>
                <w:rFonts w:ascii="StobiSerif Regular" w:hAnsi="StobiSerif Regular"/>
                <w:lang w:val="en-GB"/>
              </w:rPr>
            </w:pPr>
          </w:p>
        </w:tc>
        <w:tc>
          <w:tcPr>
            <w:tcW w:w="1321" w:type="dxa"/>
          </w:tcPr>
          <w:p w14:paraId="0C6FE911" w14:textId="77777777" w:rsidR="006B1DF2" w:rsidRPr="00BB28A0" w:rsidRDefault="006B1DF2" w:rsidP="002C5EDB">
            <w:pPr>
              <w:rPr>
                <w:rFonts w:ascii="StobiSerif Regular" w:hAnsi="StobiSerif Regular"/>
                <w:lang w:val="en-GB"/>
              </w:rPr>
            </w:pPr>
          </w:p>
        </w:tc>
        <w:tc>
          <w:tcPr>
            <w:tcW w:w="1044" w:type="dxa"/>
          </w:tcPr>
          <w:p w14:paraId="3C4CD6F1" w14:textId="77777777" w:rsidR="006B1DF2" w:rsidRPr="00BB28A0" w:rsidRDefault="006B1DF2" w:rsidP="002C5EDB">
            <w:pPr>
              <w:rPr>
                <w:rFonts w:ascii="StobiSerif Regular" w:hAnsi="StobiSerif Regular"/>
                <w:lang w:val="en-GB"/>
              </w:rPr>
            </w:pPr>
          </w:p>
        </w:tc>
        <w:tc>
          <w:tcPr>
            <w:tcW w:w="1080" w:type="dxa"/>
          </w:tcPr>
          <w:p w14:paraId="6ADEA401" w14:textId="77777777" w:rsidR="006B1DF2" w:rsidRPr="00BB28A0" w:rsidRDefault="006B1DF2" w:rsidP="002C5EDB">
            <w:pPr>
              <w:rPr>
                <w:rFonts w:ascii="StobiSerif Regular" w:hAnsi="StobiSerif Regular"/>
                <w:lang w:val="en-GB"/>
              </w:rPr>
            </w:pPr>
          </w:p>
        </w:tc>
      </w:tr>
      <w:tr w:rsidR="006B1DF2" w:rsidRPr="00BB28A0" w14:paraId="3E83A822" w14:textId="77777777" w:rsidTr="004F0CE0">
        <w:trPr>
          <w:jc w:val="center"/>
        </w:trPr>
        <w:tc>
          <w:tcPr>
            <w:tcW w:w="562" w:type="dxa"/>
            <w:shd w:val="clear" w:color="auto" w:fill="auto"/>
            <w:noWrap/>
            <w:vAlign w:val="bottom"/>
          </w:tcPr>
          <w:p w14:paraId="0467D5E9" w14:textId="77777777" w:rsidR="006B1DF2" w:rsidRPr="00BB28A0" w:rsidRDefault="006B1DF2" w:rsidP="002C5EDB">
            <w:pPr>
              <w:rPr>
                <w:rFonts w:ascii="StobiSerif Regular" w:hAnsi="StobiSerif Regular"/>
                <w:lang w:val="en-GB"/>
              </w:rPr>
            </w:pPr>
            <w:r w:rsidRPr="00BB28A0">
              <w:rPr>
                <w:rFonts w:ascii="StobiSerif Regular" w:hAnsi="StobiSerif Regular"/>
                <w:lang w:val="en-GB"/>
              </w:rPr>
              <w:t>4.</w:t>
            </w:r>
          </w:p>
        </w:tc>
        <w:tc>
          <w:tcPr>
            <w:tcW w:w="2070" w:type="dxa"/>
            <w:shd w:val="clear" w:color="auto" w:fill="auto"/>
            <w:vAlign w:val="bottom"/>
          </w:tcPr>
          <w:p w14:paraId="1E85F755" w14:textId="77777777" w:rsidR="006B1DF2" w:rsidRPr="00BB28A0" w:rsidRDefault="006B1DF2" w:rsidP="002C5EDB">
            <w:pPr>
              <w:rPr>
                <w:rFonts w:ascii="StobiSerif Regular" w:hAnsi="StobiSerif Regular"/>
                <w:lang w:val="en-GB"/>
              </w:rPr>
            </w:pPr>
          </w:p>
        </w:tc>
        <w:tc>
          <w:tcPr>
            <w:tcW w:w="896" w:type="dxa"/>
            <w:vAlign w:val="bottom"/>
          </w:tcPr>
          <w:p w14:paraId="146E2763" w14:textId="77777777" w:rsidR="006B1DF2" w:rsidRPr="00BB28A0" w:rsidRDefault="006B1DF2" w:rsidP="002C5EDB">
            <w:pPr>
              <w:rPr>
                <w:rFonts w:ascii="StobiSerif Regular" w:hAnsi="StobiSerif Regular"/>
                <w:lang w:val="en-GB"/>
              </w:rPr>
            </w:pPr>
          </w:p>
        </w:tc>
        <w:tc>
          <w:tcPr>
            <w:tcW w:w="880" w:type="dxa"/>
            <w:shd w:val="clear" w:color="auto" w:fill="auto"/>
            <w:vAlign w:val="bottom"/>
          </w:tcPr>
          <w:p w14:paraId="60E9BA95" w14:textId="77777777" w:rsidR="006B1DF2" w:rsidRPr="00BB28A0" w:rsidRDefault="006B1DF2" w:rsidP="002C5EDB">
            <w:pPr>
              <w:rPr>
                <w:rFonts w:ascii="StobiSerif Regular" w:hAnsi="StobiSerif Regular"/>
                <w:lang w:val="en-GB"/>
              </w:rPr>
            </w:pPr>
          </w:p>
        </w:tc>
        <w:tc>
          <w:tcPr>
            <w:tcW w:w="1090" w:type="dxa"/>
            <w:shd w:val="clear" w:color="auto" w:fill="auto"/>
            <w:vAlign w:val="bottom"/>
          </w:tcPr>
          <w:p w14:paraId="01A7DA1F" w14:textId="77777777" w:rsidR="006B1DF2" w:rsidRPr="00BB28A0" w:rsidRDefault="006B1DF2" w:rsidP="002C5EDB">
            <w:pPr>
              <w:rPr>
                <w:rFonts w:ascii="StobiSerif Regular" w:hAnsi="StobiSerif Regular"/>
                <w:lang w:val="en-GB"/>
              </w:rPr>
            </w:pPr>
          </w:p>
        </w:tc>
        <w:tc>
          <w:tcPr>
            <w:tcW w:w="1321" w:type="dxa"/>
          </w:tcPr>
          <w:p w14:paraId="1F6791A2" w14:textId="77777777" w:rsidR="006B1DF2" w:rsidRPr="00BB28A0" w:rsidRDefault="006B1DF2" w:rsidP="002C5EDB">
            <w:pPr>
              <w:rPr>
                <w:rFonts w:ascii="StobiSerif Regular" w:hAnsi="StobiSerif Regular"/>
                <w:lang w:val="en-GB"/>
              </w:rPr>
            </w:pPr>
          </w:p>
        </w:tc>
        <w:tc>
          <w:tcPr>
            <w:tcW w:w="1044" w:type="dxa"/>
          </w:tcPr>
          <w:p w14:paraId="634ABA6F" w14:textId="77777777" w:rsidR="006B1DF2" w:rsidRPr="00BB28A0" w:rsidRDefault="006B1DF2" w:rsidP="002C5EDB">
            <w:pPr>
              <w:rPr>
                <w:rFonts w:ascii="StobiSerif Regular" w:hAnsi="StobiSerif Regular"/>
                <w:lang w:val="en-GB"/>
              </w:rPr>
            </w:pPr>
          </w:p>
        </w:tc>
        <w:tc>
          <w:tcPr>
            <w:tcW w:w="1080" w:type="dxa"/>
          </w:tcPr>
          <w:p w14:paraId="44DF1DB6" w14:textId="77777777" w:rsidR="006B1DF2" w:rsidRPr="00BB28A0" w:rsidRDefault="006B1DF2" w:rsidP="002C5EDB">
            <w:pPr>
              <w:rPr>
                <w:rFonts w:ascii="StobiSerif Regular" w:hAnsi="StobiSerif Regular"/>
                <w:lang w:val="en-GB"/>
              </w:rPr>
            </w:pPr>
          </w:p>
        </w:tc>
      </w:tr>
      <w:tr w:rsidR="006B1DF2" w:rsidRPr="00BB28A0" w14:paraId="60E09305" w14:textId="77777777" w:rsidTr="004F0CE0">
        <w:trPr>
          <w:jc w:val="center"/>
        </w:trPr>
        <w:tc>
          <w:tcPr>
            <w:tcW w:w="562" w:type="dxa"/>
            <w:shd w:val="clear" w:color="auto" w:fill="auto"/>
            <w:noWrap/>
            <w:vAlign w:val="bottom"/>
          </w:tcPr>
          <w:p w14:paraId="5BD5F219" w14:textId="77777777" w:rsidR="006B1DF2" w:rsidRPr="00BB28A0" w:rsidRDefault="006B1DF2" w:rsidP="002C5EDB">
            <w:pPr>
              <w:rPr>
                <w:rFonts w:ascii="StobiSerif Regular" w:hAnsi="StobiSerif Regular"/>
                <w:lang w:val="en-GB"/>
              </w:rPr>
            </w:pPr>
            <w:r w:rsidRPr="00BB28A0">
              <w:rPr>
                <w:rFonts w:ascii="StobiSerif Regular" w:hAnsi="StobiSerif Regular"/>
                <w:lang w:val="en-GB"/>
              </w:rPr>
              <w:t>5.</w:t>
            </w:r>
          </w:p>
        </w:tc>
        <w:tc>
          <w:tcPr>
            <w:tcW w:w="2070" w:type="dxa"/>
            <w:shd w:val="clear" w:color="auto" w:fill="auto"/>
            <w:vAlign w:val="bottom"/>
          </w:tcPr>
          <w:p w14:paraId="39B58971" w14:textId="77777777" w:rsidR="006B1DF2" w:rsidRPr="00BB28A0" w:rsidRDefault="006B1DF2" w:rsidP="002C5EDB">
            <w:pPr>
              <w:rPr>
                <w:rFonts w:ascii="StobiSerif Regular" w:hAnsi="StobiSerif Regular"/>
                <w:lang w:val="en-GB"/>
              </w:rPr>
            </w:pPr>
          </w:p>
        </w:tc>
        <w:tc>
          <w:tcPr>
            <w:tcW w:w="896" w:type="dxa"/>
            <w:vAlign w:val="bottom"/>
          </w:tcPr>
          <w:p w14:paraId="04667E29" w14:textId="77777777" w:rsidR="006B1DF2" w:rsidRPr="00BB28A0" w:rsidRDefault="006B1DF2" w:rsidP="002C5EDB">
            <w:pPr>
              <w:rPr>
                <w:rFonts w:ascii="StobiSerif Regular" w:hAnsi="StobiSerif Regular"/>
                <w:lang w:val="en-GB"/>
              </w:rPr>
            </w:pPr>
          </w:p>
        </w:tc>
        <w:tc>
          <w:tcPr>
            <w:tcW w:w="880" w:type="dxa"/>
            <w:shd w:val="clear" w:color="auto" w:fill="auto"/>
            <w:vAlign w:val="bottom"/>
          </w:tcPr>
          <w:p w14:paraId="6B0290A8" w14:textId="77777777" w:rsidR="006B1DF2" w:rsidRPr="00BB28A0" w:rsidRDefault="006B1DF2" w:rsidP="002C5EDB">
            <w:pPr>
              <w:rPr>
                <w:rFonts w:ascii="StobiSerif Regular" w:hAnsi="StobiSerif Regular"/>
                <w:lang w:val="en-GB"/>
              </w:rPr>
            </w:pPr>
          </w:p>
        </w:tc>
        <w:tc>
          <w:tcPr>
            <w:tcW w:w="1090" w:type="dxa"/>
            <w:shd w:val="clear" w:color="auto" w:fill="auto"/>
            <w:vAlign w:val="bottom"/>
          </w:tcPr>
          <w:p w14:paraId="5C746BD9" w14:textId="77777777" w:rsidR="006B1DF2" w:rsidRPr="00BB28A0" w:rsidRDefault="006B1DF2" w:rsidP="002C5EDB">
            <w:pPr>
              <w:rPr>
                <w:rFonts w:ascii="StobiSerif Regular" w:hAnsi="StobiSerif Regular"/>
                <w:lang w:val="en-GB"/>
              </w:rPr>
            </w:pPr>
          </w:p>
        </w:tc>
        <w:tc>
          <w:tcPr>
            <w:tcW w:w="1321" w:type="dxa"/>
          </w:tcPr>
          <w:p w14:paraId="795A568B" w14:textId="77777777" w:rsidR="006B1DF2" w:rsidRPr="00BB28A0" w:rsidRDefault="006B1DF2" w:rsidP="002C5EDB">
            <w:pPr>
              <w:rPr>
                <w:rFonts w:ascii="StobiSerif Regular" w:hAnsi="StobiSerif Regular"/>
                <w:lang w:val="en-GB"/>
              </w:rPr>
            </w:pPr>
          </w:p>
        </w:tc>
        <w:tc>
          <w:tcPr>
            <w:tcW w:w="1044" w:type="dxa"/>
          </w:tcPr>
          <w:p w14:paraId="19B71639" w14:textId="77777777" w:rsidR="006B1DF2" w:rsidRPr="00BB28A0" w:rsidRDefault="006B1DF2" w:rsidP="002C5EDB">
            <w:pPr>
              <w:rPr>
                <w:rFonts w:ascii="StobiSerif Regular" w:hAnsi="StobiSerif Regular"/>
                <w:lang w:val="en-GB"/>
              </w:rPr>
            </w:pPr>
          </w:p>
        </w:tc>
        <w:tc>
          <w:tcPr>
            <w:tcW w:w="1080" w:type="dxa"/>
          </w:tcPr>
          <w:p w14:paraId="1FDC48C6" w14:textId="77777777" w:rsidR="006B1DF2" w:rsidRPr="00BB28A0" w:rsidRDefault="006B1DF2" w:rsidP="002C5EDB">
            <w:pPr>
              <w:rPr>
                <w:rFonts w:ascii="StobiSerif Regular" w:hAnsi="StobiSerif Regular"/>
                <w:lang w:val="en-GB"/>
              </w:rPr>
            </w:pPr>
          </w:p>
        </w:tc>
      </w:tr>
      <w:tr w:rsidR="006B1DF2" w:rsidRPr="00BB28A0" w14:paraId="58B1E375" w14:textId="77777777" w:rsidTr="004F0CE0">
        <w:trPr>
          <w:jc w:val="center"/>
        </w:trPr>
        <w:tc>
          <w:tcPr>
            <w:tcW w:w="562" w:type="dxa"/>
            <w:shd w:val="clear" w:color="auto" w:fill="auto"/>
            <w:noWrap/>
            <w:vAlign w:val="bottom"/>
          </w:tcPr>
          <w:p w14:paraId="2274FE69" w14:textId="77777777" w:rsidR="006B1DF2" w:rsidRPr="00BB28A0" w:rsidRDefault="006B1DF2" w:rsidP="002C5EDB">
            <w:pPr>
              <w:rPr>
                <w:rFonts w:ascii="StobiSerif Regular" w:hAnsi="StobiSerif Regular"/>
                <w:lang w:val="en-GB"/>
              </w:rPr>
            </w:pPr>
            <w:r w:rsidRPr="00BB28A0">
              <w:rPr>
                <w:rFonts w:ascii="StobiSerif Regular" w:hAnsi="StobiSerif Regular"/>
                <w:lang w:val="en-GB"/>
              </w:rPr>
              <w:t>6.</w:t>
            </w:r>
          </w:p>
        </w:tc>
        <w:tc>
          <w:tcPr>
            <w:tcW w:w="2070" w:type="dxa"/>
            <w:shd w:val="clear" w:color="auto" w:fill="auto"/>
            <w:vAlign w:val="bottom"/>
          </w:tcPr>
          <w:p w14:paraId="7D50C294" w14:textId="77777777" w:rsidR="006B1DF2" w:rsidRPr="00BB28A0" w:rsidRDefault="006B1DF2" w:rsidP="002C5EDB">
            <w:pPr>
              <w:rPr>
                <w:rFonts w:ascii="StobiSerif Regular" w:hAnsi="StobiSerif Regular"/>
                <w:lang w:val="en-GB"/>
              </w:rPr>
            </w:pPr>
          </w:p>
        </w:tc>
        <w:tc>
          <w:tcPr>
            <w:tcW w:w="896" w:type="dxa"/>
            <w:vAlign w:val="bottom"/>
          </w:tcPr>
          <w:p w14:paraId="1E45B010" w14:textId="77777777" w:rsidR="006B1DF2" w:rsidRPr="00BB28A0" w:rsidRDefault="006B1DF2" w:rsidP="002C5EDB">
            <w:pPr>
              <w:rPr>
                <w:rFonts w:ascii="StobiSerif Regular" w:hAnsi="StobiSerif Regular"/>
                <w:lang w:val="en-GB"/>
              </w:rPr>
            </w:pPr>
          </w:p>
        </w:tc>
        <w:tc>
          <w:tcPr>
            <w:tcW w:w="880" w:type="dxa"/>
            <w:shd w:val="clear" w:color="auto" w:fill="auto"/>
            <w:vAlign w:val="bottom"/>
          </w:tcPr>
          <w:p w14:paraId="728018DF" w14:textId="77777777" w:rsidR="006B1DF2" w:rsidRPr="00BB28A0" w:rsidRDefault="006B1DF2" w:rsidP="002C5EDB">
            <w:pPr>
              <w:rPr>
                <w:rFonts w:ascii="StobiSerif Regular" w:hAnsi="StobiSerif Regular"/>
                <w:lang w:val="en-GB"/>
              </w:rPr>
            </w:pPr>
          </w:p>
        </w:tc>
        <w:tc>
          <w:tcPr>
            <w:tcW w:w="1090" w:type="dxa"/>
            <w:shd w:val="clear" w:color="auto" w:fill="auto"/>
            <w:vAlign w:val="bottom"/>
          </w:tcPr>
          <w:p w14:paraId="374712A8" w14:textId="77777777" w:rsidR="006B1DF2" w:rsidRPr="00BB28A0" w:rsidRDefault="006B1DF2" w:rsidP="002C5EDB">
            <w:pPr>
              <w:rPr>
                <w:rFonts w:ascii="StobiSerif Regular" w:hAnsi="StobiSerif Regular"/>
                <w:lang w:val="en-GB"/>
              </w:rPr>
            </w:pPr>
          </w:p>
        </w:tc>
        <w:tc>
          <w:tcPr>
            <w:tcW w:w="1321" w:type="dxa"/>
          </w:tcPr>
          <w:p w14:paraId="3CA38362" w14:textId="77777777" w:rsidR="006B1DF2" w:rsidRPr="00BB28A0" w:rsidRDefault="006B1DF2" w:rsidP="002C5EDB">
            <w:pPr>
              <w:rPr>
                <w:rFonts w:ascii="StobiSerif Regular" w:hAnsi="StobiSerif Regular"/>
                <w:lang w:val="en-GB"/>
              </w:rPr>
            </w:pPr>
          </w:p>
        </w:tc>
        <w:tc>
          <w:tcPr>
            <w:tcW w:w="1044" w:type="dxa"/>
          </w:tcPr>
          <w:p w14:paraId="67F423F6" w14:textId="77777777" w:rsidR="006B1DF2" w:rsidRPr="00BB28A0" w:rsidRDefault="006B1DF2" w:rsidP="002C5EDB">
            <w:pPr>
              <w:rPr>
                <w:rFonts w:ascii="StobiSerif Regular" w:hAnsi="StobiSerif Regular"/>
                <w:lang w:val="en-GB"/>
              </w:rPr>
            </w:pPr>
          </w:p>
        </w:tc>
        <w:tc>
          <w:tcPr>
            <w:tcW w:w="1080" w:type="dxa"/>
          </w:tcPr>
          <w:p w14:paraId="1C147AA6" w14:textId="77777777" w:rsidR="006B1DF2" w:rsidRPr="00BB28A0" w:rsidRDefault="006B1DF2" w:rsidP="002C5EDB">
            <w:pPr>
              <w:rPr>
                <w:rFonts w:ascii="StobiSerif Regular" w:hAnsi="StobiSerif Regular"/>
                <w:lang w:val="en-GB"/>
              </w:rPr>
            </w:pPr>
          </w:p>
        </w:tc>
      </w:tr>
      <w:tr w:rsidR="006B1DF2" w:rsidRPr="00BB28A0" w14:paraId="03648499" w14:textId="77777777" w:rsidTr="004F0CE0">
        <w:trPr>
          <w:jc w:val="center"/>
        </w:trPr>
        <w:tc>
          <w:tcPr>
            <w:tcW w:w="562" w:type="dxa"/>
            <w:shd w:val="clear" w:color="auto" w:fill="auto"/>
            <w:noWrap/>
            <w:vAlign w:val="bottom"/>
          </w:tcPr>
          <w:p w14:paraId="3B6FDF56" w14:textId="77777777" w:rsidR="006B1DF2" w:rsidRPr="00BB28A0" w:rsidRDefault="006B1DF2" w:rsidP="002C5EDB">
            <w:pPr>
              <w:rPr>
                <w:rFonts w:ascii="StobiSerif Regular" w:hAnsi="StobiSerif Regular"/>
                <w:lang w:val="en-GB"/>
              </w:rPr>
            </w:pPr>
            <w:r w:rsidRPr="00BB28A0">
              <w:rPr>
                <w:rFonts w:ascii="StobiSerif Regular" w:hAnsi="StobiSerif Regular"/>
                <w:lang w:val="en-GB"/>
              </w:rPr>
              <w:t>7.</w:t>
            </w:r>
          </w:p>
        </w:tc>
        <w:tc>
          <w:tcPr>
            <w:tcW w:w="2070" w:type="dxa"/>
            <w:shd w:val="clear" w:color="auto" w:fill="auto"/>
            <w:vAlign w:val="bottom"/>
          </w:tcPr>
          <w:p w14:paraId="4DD7CC4B" w14:textId="77777777" w:rsidR="006B1DF2" w:rsidRPr="00BB28A0" w:rsidRDefault="006B1DF2" w:rsidP="002C5EDB">
            <w:pPr>
              <w:rPr>
                <w:rFonts w:ascii="StobiSerif Regular" w:hAnsi="StobiSerif Regular"/>
                <w:lang w:val="en-GB"/>
              </w:rPr>
            </w:pPr>
          </w:p>
        </w:tc>
        <w:tc>
          <w:tcPr>
            <w:tcW w:w="896" w:type="dxa"/>
            <w:vAlign w:val="bottom"/>
          </w:tcPr>
          <w:p w14:paraId="6AC54238" w14:textId="77777777" w:rsidR="006B1DF2" w:rsidRPr="00BB28A0" w:rsidRDefault="006B1DF2" w:rsidP="002C5EDB">
            <w:pPr>
              <w:rPr>
                <w:rFonts w:ascii="StobiSerif Regular" w:hAnsi="StobiSerif Regular"/>
                <w:lang w:val="en-GB"/>
              </w:rPr>
            </w:pPr>
          </w:p>
        </w:tc>
        <w:tc>
          <w:tcPr>
            <w:tcW w:w="880" w:type="dxa"/>
            <w:shd w:val="clear" w:color="auto" w:fill="auto"/>
            <w:vAlign w:val="bottom"/>
          </w:tcPr>
          <w:p w14:paraId="2C8A4A8B" w14:textId="77777777" w:rsidR="006B1DF2" w:rsidRPr="00BB28A0" w:rsidRDefault="006B1DF2" w:rsidP="002C5EDB">
            <w:pPr>
              <w:rPr>
                <w:rFonts w:ascii="StobiSerif Regular" w:hAnsi="StobiSerif Regular"/>
                <w:lang w:val="en-GB"/>
              </w:rPr>
            </w:pPr>
          </w:p>
        </w:tc>
        <w:tc>
          <w:tcPr>
            <w:tcW w:w="1090" w:type="dxa"/>
            <w:shd w:val="clear" w:color="auto" w:fill="auto"/>
            <w:vAlign w:val="bottom"/>
          </w:tcPr>
          <w:p w14:paraId="505A7510" w14:textId="77777777" w:rsidR="006B1DF2" w:rsidRPr="00BB28A0" w:rsidRDefault="006B1DF2" w:rsidP="002C5EDB">
            <w:pPr>
              <w:rPr>
                <w:rFonts w:ascii="StobiSerif Regular" w:hAnsi="StobiSerif Regular"/>
                <w:lang w:val="en-GB"/>
              </w:rPr>
            </w:pPr>
          </w:p>
        </w:tc>
        <w:tc>
          <w:tcPr>
            <w:tcW w:w="1321" w:type="dxa"/>
          </w:tcPr>
          <w:p w14:paraId="3949B3FD" w14:textId="77777777" w:rsidR="006B1DF2" w:rsidRPr="00BB28A0" w:rsidRDefault="006B1DF2" w:rsidP="002C5EDB">
            <w:pPr>
              <w:rPr>
                <w:rFonts w:ascii="StobiSerif Regular" w:hAnsi="StobiSerif Regular"/>
                <w:lang w:val="en-GB"/>
              </w:rPr>
            </w:pPr>
          </w:p>
        </w:tc>
        <w:tc>
          <w:tcPr>
            <w:tcW w:w="1044" w:type="dxa"/>
          </w:tcPr>
          <w:p w14:paraId="5B8ACE32" w14:textId="77777777" w:rsidR="006B1DF2" w:rsidRPr="00BB28A0" w:rsidRDefault="006B1DF2" w:rsidP="002C5EDB">
            <w:pPr>
              <w:rPr>
                <w:rFonts w:ascii="StobiSerif Regular" w:hAnsi="StobiSerif Regular"/>
                <w:lang w:val="en-GB"/>
              </w:rPr>
            </w:pPr>
          </w:p>
        </w:tc>
        <w:tc>
          <w:tcPr>
            <w:tcW w:w="1080" w:type="dxa"/>
          </w:tcPr>
          <w:p w14:paraId="77153378" w14:textId="77777777" w:rsidR="006B1DF2" w:rsidRPr="00BB28A0" w:rsidRDefault="006B1DF2" w:rsidP="002C5EDB">
            <w:pPr>
              <w:rPr>
                <w:rFonts w:ascii="StobiSerif Regular" w:hAnsi="StobiSerif Regular"/>
                <w:lang w:val="en-GB"/>
              </w:rPr>
            </w:pPr>
          </w:p>
        </w:tc>
      </w:tr>
      <w:tr w:rsidR="006B1DF2" w:rsidRPr="00BB28A0" w14:paraId="1C976EF6" w14:textId="77777777" w:rsidTr="004F0CE0">
        <w:trPr>
          <w:jc w:val="center"/>
        </w:trPr>
        <w:tc>
          <w:tcPr>
            <w:tcW w:w="562" w:type="dxa"/>
            <w:shd w:val="clear" w:color="auto" w:fill="auto"/>
            <w:noWrap/>
            <w:vAlign w:val="bottom"/>
          </w:tcPr>
          <w:p w14:paraId="423F9AC1" w14:textId="77777777" w:rsidR="006B1DF2" w:rsidRPr="00BB28A0" w:rsidRDefault="006B1DF2" w:rsidP="002C5EDB">
            <w:pPr>
              <w:rPr>
                <w:rFonts w:ascii="StobiSerif Regular" w:hAnsi="StobiSerif Regular"/>
                <w:lang w:val="en-GB"/>
              </w:rPr>
            </w:pPr>
            <w:r w:rsidRPr="00BB28A0">
              <w:rPr>
                <w:rFonts w:ascii="StobiSerif Regular" w:hAnsi="StobiSerif Regular"/>
                <w:lang w:val="en-GB"/>
              </w:rPr>
              <w:t>8.</w:t>
            </w:r>
          </w:p>
        </w:tc>
        <w:tc>
          <w:tcPr>
            <w:tcW w:w="2070" w:type="dxa"/>
            <w:shd w:val="clear" w:color="auto" w:fill="auto"/>
            <w:vAlign w:val="bottom"/>
          </w:tcPr>
          <w:p w14:paraId="1D20A84B" w14:textId="77777777" w:rsidR="006B1DF2" w:rsidRPr="00BB28A0" w:rsidRDefault="006B1DF2" w:rsidP="002C5EDB">
            <w:pPr>
              <w:rPr>
                <w:rFonts w:ascii="StobiSerif Regular" w:hAnsi="StobiSerif Regular"/>
                <w:lang w:val="en-GB"/>
              </w:rPr>
            </w:pPr>
          </w:p>
        </w:tc>
        <w:tc>
          <w:tcPr>
            <w:tcW w:w="896" w:type="dxa"/>
            <w:vAlign w:val="bottom"/>
          </w:tcPr>
          <w:p w14:paraId="08E51858" w14:textId="77777777" w:rsidR="006B1DF2" w:rsidRPr="00BB28A0" w:rsidRDefault="006B1DF2" w:rsidP="002C5EDB">
            <w:pPr>
              <w:rPr>
                <w:rFonts w:ascii="StobiSerif Regular" w:hAnsi="StobiSerif Regular"/>
                <w:lang w:val="en-GB"/>
              </w:rPr>
            </w:pPr>
          </w:p>
        </w:tc>
        <w:tc>
          <w:tcPr>
            <w:tcW w:w="880" w:type="dxa"/>
            <w:shd w:val="clear" w:color="auto" w:fill="auto"/>
            <w:vAlign w:val="bottom"/>
          </w:tcPr>
          <w:p w14:paraId="57E3AC4D" w14:textId="77777777" w:rsidR="006B1DF2" w:rsidRPr="00BB28A0" w:rsidRDefault="006B1DF2" w:rsidP="002C5EDB">
            <w:pPr>
              <w:rPr>
                <w:rFonts w:ascii="StobiSerif Regular" w:hAnsi="StobiSerif Regular"/>
                <w:lang w:val="en-GB"/>
              </w:rPr>
            </w:pPr>
          </w:p>
        </w:tc>
        <w:tc>
          <w:tcPr>
            <w:tcW w:w="1090" w:type="dxa"/>
            <w:shd w:val="clear" w:color="auto" w:fill="auto"/>
            <w:vAlign w:val="bottom"/>
          </w:tcPr>
          <w:p w14:paraId="5455F8FD" w14:textId="77777777" w:rsidR="006B1DF2" w:rsidRPr="00BB28A0" w:rsidRDefault="006B1DF2" w:rsidP="002C5EDB">
            <w:pPr>
              <w:rPr>
                <w:rFonts w:ascii="StobiSerif Regular" w:hAnsi="StobiSerif Regular"/>
                <w:lang w:val="en-GB"/>
              </w:rPr>
            </w:pPr>
          </w:p>
        </w:tc>
        <w:tc>
          <w:tcPr>
            <w:tcW w:w="1321" w:type="dxa"/>
          </w:tcPr>
          <w:p w14:paraId="013DD4C9" w14:textId="77777777" w:rsidR="006B1DF2" w:rsidRPr="00BB28A0" w:rsidRDefault="006B1DF2" w:rsidP="002C5EDB">
            <w:pPr>
              <w:rPr>
                <w:rFonts w:ascii="StobiSerif Regular" w:hAnsi="StobiSerif Regular"/>
                <w:lang w:val="en-GB"/>
              </w:rPr>
            </w:pPr>
          </w:p>
        </w:tc>
        <w:tc>
          <w:tcPr>
            <w:tcW w:w="1044" w:type="dxa"/>
          </w:tcPr>
          <w:p w14:paraId="3C18D273" w14:textId="77777777" w:rsidR="006B1DF2" w:rsidRPr="00BB28A0" w:rsidRDefault="006B1DF2" w:rsidP="002C5EDB">
            <w:pPr>
              <w:rPr>
                <w:rFonts w:ascii="StobiSerif Regular" w:hAnsi="StobiSerif Regular"/>
                <w:lang w:val="en-GB"/>
              </w:rPr>
            </w:pPr>
          </w:p>
        </w:tc>
        <w:tc>
          <w:tcPr>
            <w:tcW w:w="1080" w:type="dxa"/>
          </w:tcPr>
          <w:p w14:paraId="1F4E5ECC" w14:textId="77777777" w:rsidR="006B1DF2" w:rsidRPr="00BB28A0" w:rsidRDefault="006B1DF2" w:rsidP="002C5EDB">
            <w:pPr>
              <w:rPr>
                <w:rFonts w:ascii="StobiSerif Regular" w:hAnsi="StobiSerif Regular"/>
                <w:lang w:val="en-GB"/>
              </w:rPr>
            </w:pPr>
          </w:p>
        </w:tc>
      </w:tr>
      <w:tr w:rsidR="006B1DF2" w:rsidRPr="00BB28A0" w14:paraId="12EF0D5D" w14:textId="77777777" w:rsidTr="004F0CE0">
        <w:trPr>
          <w:jc w:val="center"/>
        </w:trPr>
        <w:tc>
          <w:tcPr>
            <w:tcW w:w="562" w:type="dxa"/>
            <w:shd w:val="clear" w:color="auto" w:fill="auto"/>
            <w:noWrap/>
            <w:vAlign w:val="bottom"/>
          </w:tcPr>
          <w:p w14:paraId="78888557" w14:textId="77777777" w:rsidR="006B1DF2" w:rsidRPr="00BB28A0" w:rsidRDefault="006B1DF2" w:rsidP="002C5EDB">
            <w:pPr>
              <w:rPr>
                <w:rFonts w:ascii="StobiSerif Regular" w:hAnsi="StobiSerif Regular"/>
                <w:lang w:val="en-GB"/>
              </w:rPr>
            </w:pPr>
            <w:r w:rsidRPr="00BB28A0">
              <w:rPr>
                <w:rFonts w:ascii="StobiSerif Regular" w:hAnsi="StobiSerif Regular"/>
                <w:lang w:val="en-GB"/>
              </w:rPr>
              <w:t>9.</w:t>
            </w:r>
          </w:p>
        </w:tc>
        <w:tc>
          <w:tcPr>
            <w:tcW w:w="2070" w:type="dxa"/>
            <w:shd w:val="clear" w:color="auto" w:fill="auto"/>
            <w:vAlign w:val="bottom"/>
          </w:tcPr>
          <w:p w14:paraId="287060BB" w14:textId="77777777" w:rsidR="006B1DF2" w:rsidRPr="00BB28A0" w:rsidRDefault="006B1DF2" w:rsidP="002C5EDB">
            <w:pPr>
              <w:rPr>
                <w:rFonts w:ascii="StobiSerif Regular" w:hAnsi="StobiSerif Regular"/>
                <w:lang w:val="en-GB"/>
              </w:rPr>
            </w:pPr>
          </w:p>
        </w:tc>
        <w:tc>
          <w:tcPr>
            <w:tcW w:w="896" w:type="dxa"/>
            <w:vAlign w:val="bottom"/>
          </w:tcPr>
          <w:p w14:paraId="7A3B9ECD" w14:textId="77777777" w:rsidR="006B1DF2" w:rsidRPr="00BB28A0" w:rsidRDefault="006B1DF2" w:rsidP="002C5EDB">
            <w:pPr>
              <w:rPr>
                <w:rFonts w:ascii="StobiSerif Regular" w:hAnsi="StobiSerif Regular"/>
                <w:lang w:val="en-GB"/>
              </w:rPr>
            </w:pPr>
          </w:p>
        </w:tc>
        <w:tc>
          <w:tcPr>
            <w:tcW w:w="880" w:type="dxa"/>
            <w:shd w:val="clear" w:color="auto" w:fill="auto"/>
            <w:vAlign w:val="bottom"/>
          </w:tcPr>
          <w:p w14:paraId="5C481981" w14:textId="77777777" w:rsidR="006B1DF2" w:rsidRPr="00BB28A0" w:rsidRDefault="006B1DF2" w:rsidP="002C5EDB">
            <w:pPr>
              <w:rPr>
                <w:rFonts w:ascii="StobiSerif Regular" w:hAnsi="StobiSerif Regular"/>
                <w:lang w:val="en-GB"/>
              </w:rPr>
            </w:pPr>
          </w:p>
        </w:tc>
        <w:tc>
          <w:tcPr>
            <w:tcW w:w="1090" w:type="dxa"/>
            <w:shd w:val="clear" w:color="auto" w:fill="auto"/>
            <w:vAlign w:val="bottom"/>
          </w:tcPr>
          <w:p w14:paraId="55074D98" w14:textId="77777777" w:rsidR="006B1DF2" w:rsidRPr="00BB28A0" w:rsidRDefault="006B1DF2" w:rsidP="002C5EDB">
            <w:pPr>
              <w:rPr>
                <w:rFonts w:ascii="StobiSerif Regular" w:hAnsi="StobiSerif Regular"/>
                <w:lang w:val="en-GB"/>
              </w:rPr>
            </w:pPr>
          </w:p>
        </w:tc>
        <w:tc>
          <w:tcPr>
            <w:tcW w:w="1321" w:type="dxa"/>
          </w:tcPr>
          <w:p w14:paraId="143890FF" w14:textId="77777777" w:rsidR="006B1DF2" w:rsidRPr="00BB28A0" w:rsidRDefault="006B1DF2" w:rsidP="002C5EDB">
            <w:pPr>
              <w:rPr>
                <w:rFonts w:ascii="StobiSerif Regular" w:hAnsi="StobiSerif Regular"/>
                <w:lang w:val="en-GB"/>
              </w:rPr>
            </w:pPr>
          </w:p>
        </w:tc>
        <w:tc>
          <w:tcPr>
            <w:tcW w:w="1044" w:type="dxa"/>
          </w:tcPr>
          <w:p w14:paraId="591F32C5" w14:textId="77777777" w:rsidR="006B1DF2" w:rsidRPr="00BB28A0" w:rsidRDefault="006B1DF2" w:rsidP="002C5EDB">
            <w:pPr>
              <w:rPr>
                <w:rFonts w:ascii="StobiSerif Regular" w:hAnsi="StobiSerif Regular"/>
                <w:lang w:val="en-GB"/>
              </w:rPr>
            </w:pPr>
          </w:p>
        </w:tc>
        <w:tc>
          <w:tcPr>
            <w:tcW w:w="1080" w:type="dxa"/>
          </w:tcPr>
          <w:p w14:paraId="1CEB88E2" w14:textId="77777777" w:rsidR="006B1DF2" w:rsidRPr="00BB28A0" w:rsidRDefault="006B1DF2" w:rsidP="002C5EDB">
            <w:pPr>
              <w:rPr>
                <w:rFonts w:ascii="StobiSerif Regular" w:hAnsi="StobiSerif Regular"/>
                <w:lang w:val="en-GB"/>
              </w:rPr>
            </w:pPr>
          </w:p>
        </w:tc>
      </w:tr>
      <w:tr w:rsidR="006B1DF2" w:rsidRPr="00BB28A0" w14:paraId="756D1A14" w14:textId="77777777" w:rsidTr="004F0CE0">
        <w:trPr>
          <w:jc w:val="center"/>
        </w:trPr>
        <w:tc>
          <w:tcPr>
            <w:tcW w:w="562" w:type="dxa"/>
            <w:shd w:val="clear" w:color="auto" w:fill="auto"/>
            <w:noWrap/>
            <w:vAlign w:val="bottom"/>
          </w:tcPr>
          <w:p w14:paraId="77E0524B" w14:textId="77777777" w:rsidR="006B1DF2" w:rsidRPr="00BB28A0" w:rsidRDefault="006B1DF2" w:rsidP="002C5EDB">
            <w:pPr>
              <w:rPr>
                <w:rFonts w:ascii="StobiSerif Regular" w:hAnsi="StobiSerif Regular"/>
                <w:lang w:val="en-GB"/>
              </w:rPr>
            </w:pPr>
            <w:r w:rsidRPr="00BB28A0">
              <w:rPr>
                <w:rFonts w:ascii="StobiSerif Regular" w:hAnsi="StobiSerif Regular"/>
                <w:lang w:val="en-GB"/>
              </w:rPr>
              <w:t>10.</w:t>
            </w:r>
          </w:p>
        </w:tc>
        <w:tc>
          <w:tcPr>
            <w:tcW w:w="2070" w:type="dxa"/>
            <w:shd w:val="clear" w:color="auto" w:fill="auto"/>
            <w:vAlign w:val="bottom"/>
          </w:tcPr>
          <w:p w14:paraId="73C1F936" w14:textId="77777777" w:rsidR="006B1DF2" w:rsidRPr="00BB28A0" w:rsidRDefault="006B1DF2" w:rsidP="002C5EDB">
            <w:pPr>
              <w:rPr>
                <w:rFonts w:ascii="StobiSerif Regular" w:hAnsi="StobiSerif Regular"/>
                <w:lang w:val="en-GB"/>
              </w:rPr>
            </w:pPr>
          </w:p>
        </w:tc>
        <w:tc>
          <w:tcPr>
            <w:tcW w:w="896" w:type="dxa"/>
            <w:vAlign w:val="bottom"/>
          </w:tcPr>
          <w:p w14:paraId="73827118" w14:textId="77777777" w:rsidR="006B1DF2" w:rsidRPr="00BB28A0" w:rsidRDefault="006B1DF2" w:rsidP="002C5EDB">
            <w:pPr>
              <w:rPr>
                <w:rFonts w:ascii="StobiSerif Regular" w:hAnsi="StobiSerif Regular"/>
                <w:lang w:val="en-GB"/>
              </w:rPr>
            </w:pPr>
          </w:p>
        </w:tc>
        <w:tc>
          <w:tcPr>
            <w:tcW w:w="880" w:type="dxa"/>
            <w:shd w:val="clear" w:color="auto" w:fill="auto"/>
            <w:vAlign w:val="bottom"/>
          </w:tcPr>
          <w:p w14:paraId="6E3995E2" w14:textId="77777777" w:rsidR="006B1DF2" w:rsidRPr="00BB28A0" w:rsidRDefault="006B1DF2" w:rsidP="002C5EDB">
            <w:pPr>
              <w:rPr>
                <w:rFonts w:ascii="StobiSerif Regular" w:hAnsi="StobiSerif Regular"/>
                <w:lang w:val="en-GB"/>
              </w:rPr>
            </w:pPr>
          </w:p>
        </w:tc>
        <w:tc>
          <w:tcPr>
            <w:tcW w:w="1090" w:type="dxa"/>
            <w:shd w:val="clear" w:color="auto" w:fill="auto"/>
            <w:vAlign w:val="bottom"/>
          </w:tcPr>
          <w:p w14:paraId="3237FC28" w14:textId="77777777" w:rsidR="006B1DF2" w:rsidRPr="00BB28A0" w:rsidRDefault="006B1DF2" w:rsidP="002C5EDB">
            <w:pPr>
              <w:rPr>
                <w:rFonts w:ascii="StobiSerif Regular" w:hAnsi="StobiSerif Regular"/>
                <w:lang w:val="en-GB"/>
              </w:rPr>
            </w:pPr>
          </w:p>
        </w:tc>
        <w:tc>
          <w:tcPr>
            <w:tcW w:w="1321" w:type="dxa"/>
          </w:tcPr>
          <w:p w14:paraId="28D16A84" w14:textId="77777777" w:rsidR="006B1DF2" w:rsidRPr="00BB28A0" w:rsidRDefault="006B1DF2" w:rsidP="002C5EDB">
            <w:pPr>
              <w:rPr>
                <w:rFonts w:ascii="StobiSerif Regular" w:hAnsi="StobiSerif Regular"/>
                <w:lang w:val="en-GB"/>
              </w:rPr>
            </w:pPr>
          </w:p>
        </w:tc>
        <w:tc>
          <w:tcPr>
            <w:tcW w:w="1044" w:type="dxa"/>
          </w:tcPr>
          <w:p w14:paraId="04F01795" w14:textId="77777777" w:rsidR="006B1DF2" w:rsidRPr="00BB28A0" w:rsidRDefault="006B1DF2" w:rsidP="002C5EDB">
            <w:pPr>
              <w:rPr>
                <w:rFonts w:ascii="StobiSerif Regular" w:hAnsi="StobiSerif Regular"/>
                <w:lang w:val="en-GB"/>
              </w:rPr>
            </w:pPr>
          </w:p>
        </w:tc>
        <w:tc>
          <w:tcPr>
            <w:tcW w:w="1080" w:type="dxa"/>
          </w:tcPr>
          <w:p w14:paraId="09C56980" w14:textId="77777777" w:rsidR="006B1DF2" w:rsidRPr="00BB28A0" w:rsidRDefault="006B1DF2" w:rsidP="002C5EDB">
            <w:pPr>
              <w:rPr>
                <w:rFonts w:ascii="StobiSerif Regular" w:hAnsi="StobiSerif Regular"/>
                <w:lang w:val="en-GB"/>
              </w:rPr>
            </w:pPr>
          </w:p>
        </w:tc>
      </w:tr>
      <w:tr w:rsidR="006B1DF2" w:rsidRPr="00BB28A0" w14:paraId="277EF3DA" w14:textId="77777777" w:rsidTr="004F0CE0">
        <w:trPr>
          <w:jc w:val="center"/>
        </w:trPr>
        <w:tc>
          <w:tcPr>
            <w:tcW w:w="562" w:type="dxa"/>
            <w:shd w:val="clear" w:color="auto" w:fill="auto"/>
            <w:noWrap/>
            <w:vAlign w:val="bottom"/>
          </w:tcPr>
          <w:p w14:paraId="758E7583" w14:textId="77777777" w:rsidR="006B1DF2" w:rsidRPr="00BB28A0" w:rsidRDefault="006B1DF2" w:rsidP="002C5EDB">
            <w:pPr>
              <w:rPr>
                <w:rFonts w:ascii="StobiSerif Regular" w:hAnsi="StobiSerif Regular"/>
                <w:lang w:val="en-GB"/>
              </w:rPr>
            </w:pPr>
            <w:r w:rsidRPr="00BB28A0">
              <w:rPr>
                <w:rFonts w:ascii="StobiSerif Regular" w:hAnsi="StobiSerif Regular"/>
                <w:lang w:val="en-GB"/>
              </w:rPr>
              <w:t>…</w:t>
            </w:r>
          </w:p>
        </w:tc>
        <w:tc>
          <w:tcPr>
            <w:tcW w:w="2070" w:type="dxa"/>
            <w:shd w:val="clear" w:color="auto" w:fill="auto"/>
            <w:vAlign w:val="bottom"/>
          </w:tcPr>
          <w:p w14:paraId="753F135B" w14:textId="77777777" w:rsidR="006B1DF2" w:rsidRPr="00BB28A0" w:rsidRDefault="006B1DF2" w:rsidP="002C5EDB">
            <w:pPr>
              <w:rPr>
                <w:rFonts w:ascii="StobiSerif Regular" w:hAnsi="StobiSerif Regular"/>
                <w:lang w:val="en-GB"/>
              </w:rPr>
            </w:pPr>
          </w:p>
        </w:tc>
        <w:tc>
          <w:tcPr>
            <w:tcW w:w="896" w:type="dxa"/>
            <w:vAlign w:val="bottom"/>
          </w:tcPr>
          <w:p w14:paraId="0FD67223" w14:textId="77777777" w:rsidR="006B1DF2" w:rsidRPr="00BB28A0" w:rsidRDefault="006B1DF2" w:rsidP="002C5EDB">
            <w:pPr>
              <w:rPr>
                <w:rFonts w:ascii="StobiSerif Regular" w:hAnsi="StobiSerif Regular"/>
                <w:lang w:val="en-GB"/>
              </w:rPr>
            </w:pPr>
          </w:p>
        </w:tc>
        <w:tc>
          <w:tcPr>
            <w:tcW w:w="880" w:type="dxa"/>
            <w:shd w:val="clear" w:color="auto" w:fill="auto"/>
            <w:vAlign w:val="bottom"/>
          </w:tcPr>
          <w:p w14:paraId="30E567BB" w14:textId="77777777" w:rsidR="006B1DF2" w:rsidRPr="00BB28A0" w:rsidRDefault="006B1DF2" w:rsidP="002C5EDB">
            <w:pPr>
              <w:rPr>
                <w:rFonts w:ascii="StobiSerif Regular" w:hAnsi="StobiSerif Regular"/>
                <w:lang w:val="en-GB"/>
              </w:rPr>
            </w:pPr>
          </w:p>
        </w:tc>
        <w:tc>
          <w:tcPr>
            <w:tcW w:w="1090" w:type="dxa"/>
            <w:shd w:val="clear" w:color="auto" w:fill="auto"/>
            <w:vAlign w:val="bottom"/>
          </w:tcPr>
          <w:p w14:paraId="6BC9418E" w14:textId="77777777" w:rsidR="006B1DF2" w:rsidRPr="00BB28A0" w:rsidRDefault="006B1DF2" w:rsidP="002C5EDB">
            <w:pPr>
              <w:rPr>
                <w:rFonts w:ascii="StobiSerif Regular" w:hAnsi="StobiSerif Regular"/>
                <w:lang w:val="en-GB"/>
              </w:rPr>
            </w:pPr>
          </w:p>
        </w:tc>
        <w:tc>
          <w:tcPr>
            <w:tcW w:w="1321" w:type="dxa"/>
          </w:tcPr>
          <w:p w14:paraId="22E4CF83" w14:textId="77777777" w:rsidR="006B1DF2" w:rsidRPr="00BB28A0" w:rsidRDefault="006B1DF2" w:rsidP="002C5EDB">
            <w:pPr>
              <w:rPr>
                <w:rFonts w:ascii="StobiSerif Regular" w:hAnsi="StobiSerif Regular"/>
                <w:lang w:val="en-GB"/>
              </w:rPr>
            </w:pPr>
          </w:p>
        </w:tc>
        <w:tc>
          <w:tcPr>
            <w:tcW w:w="1044" w:type="dxa"/>
          </w:tcPr>
          <w:p w14:paraId="3EF98FDC" w14:textId="77777777" w:rsidR="006B1DF2" w:rsidRPr="00BB28A0" w:rsidRDefault="006B1DF2" w:rsidP="002C5EDB">
            <w:pPr>
              <w:rPr>
                <w:rFonts w:ascii="StobiSerif Regular" w:hAnsi="StobiSerif Regular"/>
                <w:lang w:val="en-GB"/>
              </w:rPr>
            </w:pPr>
          </w:p>
        </w:tc>
        <w:tc>
          <w:tcPr>
            <w:tcW w:w="1080" w:type="dxa"/>
          </w:tcPr>
          <w:p w14:paraId="0710B867" w14:textId="77777777" w:rsidR="006B1DF2" w:rsidRPr="00BB28A0" w:rsidRDefault="006B1DF2" w:rsidP="002C5EDB">
            <w:pPr>
              <w:rPr>
                <w:rFonts w:ascii="StobiSerif Regular" w:hAnsi="StobiSerif Regular"/>
                <w:lang w:val="en-GB"/>
              </w:rPr>
            </w:pPr>
          </w:p>
        </w:tc>
      </w:tr>
      <w:tr w:rsidR="006B1DF2" w:rsidRPr="00BB28A0" w14:paraId="21F8B9CE" w14:textId="77777777" w:rsidTr="004F0CE0">
        <w:trPr>
          <w:jc w:val="center"/>
        </w:trPr>
        <w:tc>
          <w:tcPr>
            <w:tcW w:w="562" w:type="dxa"/>
            <w:shd w:val="clear" w:color="auto" w:fill="auto"/>
            <w:noWrap/>
            <w:vAlign w:val="bottom"/>
          </w:tcPr>
          <w:p w14:paraId="4C5DC105" w14:textId="77777777" w:rsidR="006B1DF2" w:rsidRPr="00BB28A0" w:rsidRDefault="006B1DF2" w:rsidP="002C5EDB">
            <w:pPr>
              <w:rPr>
                <w:rFonts w:ascii="StobiSerif Regular" w:hAnsi="StobiSerif Regular"/>
                <w:lang w:val="en-GB"/>
              </w:rPr>
            </w:pPr>
            <w:r w:rsidRPr="00BB28A0">
              <w:rPr>
                <w:rFonts w:ascii="StobiSerif Regular" w:hAnsi="StobiSerif Regular"/>
                <w:lang w:val="en-GB"/>
              </w:rPr>
              <w:t>…</w:t>
            </w:r>
          </w:p>
        </w:tc>
        <w:tc>
          <w:tcPr>
            <w:tcW w:w="2070" w:type="dxa"/>
            <w:shd w:val="clear" w:color="auto" w:fill="auto"/>
            <w:vAlign w:val="bottom"/>
          </w:tcPr>
          <w:p w14:paraId="43C2B9F4" w14:textId="77777777" w:rsidR="006B1DF2" w:rsidRPr="00BB28A0" w:rsidRDefault="006B1DF2" w:rsidP="002C5EDB">
            <w:pPr>
              <w:rPr>
                <w:rFonts w:ascii="StobiSerif Regular" w:hAnsi="StobiSerif Regular"/>
                <w:lang w:val="en-GB"/>
              </w:rPr>
            </w:pPr>
          </w:p>
        </w:tc>
        <w:tc>
          <w:tcPr>
            <w:tcW w:w="896" w:type="dxa"/>
            <w:vAlign w:val="bottom"/>
          </w:tcPr>
          <w:p w14:paraId="20649704" w14:textId="77777777" w:rsidR="006B1DF2" w:rsidRPr="00BB28A0" w:rsidRDefault="006B1DF2" w:rsidP="002C5EDB">
            <w:pPr>
              <w:rPr>
                <w:rFonts w:ascii="StobiSerif Regular" w:hAnsi="StobiSerif Regular"/>
                <w:lang w:val="en-GB"/>
              </w:rPr>
            </w:pPr>
          </w:p>
        </w:tc>
        <w:tc>
          <w:tcPr>
            <w:tcW w:w="880" w:type="dxa"/>
            <w:shd w:val="clear" w:color="auto" w:fill="auto"/>
            <w:vAlign w:val="bottom"/>
          </w:tcPr>
          <w:p w14:paraId="4E0231F8" w14:textId="77777777" w:rsidR="006B1DF2" w:rsidRPr="00BB28A0" w:rsidRDefault="006B1DF2" w:rsidP="002C5EDB">
            <w:pPr>
              <w:rPr>
                <w:rFonts w:ascii="StobiSerif Regular" w:hAnsi="StobiSerif Regular"/>
                <w:lang w:val="en-GB"/>
              </w:rPr>
            </w:pPr>
          </w:p>
        </w:tc>
        <w:tc>
          <w:tcPr>
            <w:tcW w:w="1090" w:type="dxa"/>
            <w:shd w:val="clear" w:color="auto" w:fill="auto"/>
            <w:vAlign w:val="bottom"/>
          </w:tcPr>
          <w:p w14:paraId="4543D5CE" w14:textId="77777777" w:rsidR="006B1DF2" w:rsidRPr="00BB28A0" w:rsidRDefault="006B1DF2" w:rsidP="002C5EDB">
            <w:pPr>
              <w:rPr>
                <w:rFonts w:ascii="StobiSerif Regular" w:hAnsi="StobiSerif Regular"/>
                <w:lang w:val="en-GB"/>
              </w:rPr>
            </w:pPr>
          </w:p>
        </w:tc>
        <w:tc>
          <w:tcPr>
            <w:tcW w:w="1321" w:type="dxa"/>
          </w:tcPr>
          <w:p w14:paraId="566E0A17" w14:textId="77777777" w:rsidR="006B1DF2" w:rsidRPr="00BB28A0" w:rsidRDefault="006B1DF2" w:rsidP="002C5EDB">
            <w:pPr>
              <w:rPr>
                <w:rFonts w:ascii="StobiSerif Regular" w:hAnsi="StobiSerif Regular"/>
                <w:lang w:val="en-GB"/>
              </w:rPr>
            </w:pPr>
          </w:p>
        </w:tc>
        <w:tc>
          <w:tcPr>
            <w:tcW w:w="1044" w:type="dxa"/>
          </w:tcPr>
          <w:p w14:paraId="5685EE6B" w14:textId="77777777" w:rsidR="006B1DF2" w:rsidRPr="00BB28A0" w:rsidRDefault="006B1DF2" w:rsidP="002C5EDB">
            <w:pPr>
              <w:rPr>
                <w:rFonts w:ascii="StobiSerif Regular" w:hAnsi="StobiSerif Regular"/>
                <w:lang w:val="en-GB"/>
              </w:rPr>
            </w:pPr>
          </w:p>
        </w:tc>
        <w:tc>
          <w:tcPr>
            <w:tcW w:w="1080" w:type="dxa"/>
          </w:tcPr>
          <w:p w14:paraId="6B186572" w14:textId="77777777" w:rsidR="006B1DF2" w:rsidRPr="00BB28A0" w:rsidRDefault="006B1DF2" w:rsidP="002C5EDB">
            <w:pPr>
              <w:rPr>
                <w:rFonts w:ascii="StobiSerif Regular" w:hAnsi="StobiSerif Regular"/>
                <w:lang w:val="en-GB"/>
              </w:rPr>
            </w:pPr>
          </w:p>
        </w:tc>
      </w:tr>
      <w:tr w:rsidR="006B1DF2" w:rsidRPr="00BB28A0" w14:paraId="374F9A79" w14:textId="77777777" w:rsidTr="004F0CE0">
        <w:trPr>
          <w:jc w:val="center"/>
        </w:trPr>
        <w:tc>
          <w:tcPr>
            <w:tcW w:w="562" w:type="dxa"/>
            <w:shd w:val="clear" w:color="auto" w:fill="auto"/>
            <w:noWrap/>
            <w:vAlign w:val="bottom"/>
          </w:tcPr>
          <w:p w14:paraId="5DFCE32F" w14:textId="77777777" w:rsidR="006B1DF2" w:rsidRPr="00BB28A0" w:rsidRDefault="006B1DF2" w:rsidP="002C5EDB">
            <w:pPr>
              <w:rPr>
                <w:rFonts w:ascii="StobiSerif Regular" w:hAnsi="StobiSerif Regular"/>
                <w:lang w:val="en-GB"/>
              </w:rPr>
            </w:pPr>
            <w:r w:rsidRPr="00BB28A0">
              <w:rPr>
                <w:rFonts w:ascii="StobiSerif Regular" w:hAnsi="StobiSerif Regular"/>
                <w:lang w:val="en-GB"/>
              </w:rPr>
              <w:t>...</w:t>
            </w:r>
          </w:p>
        </w:tc>
        <w:tc>
          <w:tcPr>
            <w:tcW w:w="2070" w:type="dxa"/>
            <w:shd w:val="clear" w:color="auto" w:fill="auto"/>
            <w:vAlign w:val="bottom"/>
          </w:tcPr>
          <w:p w14:paraId="49A469A0" w14:textId="77777777" w:rsidR="006B1DF2" w:rsidRPr="00BB28A0" w:rsidRDefault="006B1DF2" w:rsidP="002C5EDB">
            <w:pPr>
              <w:rPr>
                <w:rFonts w:ascii="StobiSerif Regular" w:hAnsi="StobiSerif Regular"/>
                <w:lang w:val="en-GB"/>
              </w:rPr>
            </w:pPr>
          </w:p>
        </w:tc>
        <w:tc>
          <w:tcPr>
            <w:tcW w:w="896" w:type="dxa"/>
            <w:vAlign w:val="bottom"/>
          </w:tcPr>
          <w:p w14:paraId="4374FA03" w14:textId="77777777" w:rsidR="006B1DF2" w:rsidRPr="00BB28A0" w:rsidRDefault="006B1DF2" w:rsidP="002C5EDB">
            <w:pPr>
              <w:rPr>
                <w:rFonts w:ascii="StobiSerif Regular" w:hAnsi="StobiSerif Regular"/>
                <w:lang w:val="en-GB"/>
              </w:rPr>
            </w:pPr>
          </w:p>
        </w:tc>
        <w:tc>
          <w:tcPr>
            <w:tcW w:w="880" w:type="dxa"/>
            <w:shd w:val="clear" w:color="auto" w:fill="auto"/>
            <w:vAlign w:val="bottom"/>
          </w:tcPr>
          <w:p w14:paraId="79A82B97" w14:textId="77777777" w:rsidR="006B1DF2" w:rsidRPr="00BB28A0" w:rsidRDefault="006B1DF2" w:rsidP="002C5EDB">
            <w:pPr>
              <w:rPr>
                <w:rFonts w:ascii="StobiSerif Regular" w:hAnsi="StobiSerif Regular"/>
                <w:lang w:val="en-GB"/>
              </w:rPr>
            </w:pPr>
          </w:p>
        </w:tc>
        <w:tc>
          <w:tcPr>
            <w:tcW w:w="1090" w:type="dxa"/>
            <w:shd w:val="clear" w:color="auto" w:fill="auto"/>
            <w:vAlign w:val="bottom"/>
          </w:tcPr>
          <w:p w14:paraId="439D2C47" w14:textId="77777777" w:rsidR="006B1DF2" w:rsidRPr="00BB28A0" w:rsidRDefault="006B1DF2" w:rsidP="002C5EDB">
            <w:pPr>
              <w:rPr>
                <w:rFonts w:ascii="StobiSerif Regular" w:hAnsi="StobiSerif Regular"/>
                <w:lang w:val="en-GB"/>
              </w:rPr>
            </w:pPr>
          </w:p>
        </w:tc>
        <w:tc>
          <w:tcPr>
            <w:tcW w:w="1321" w:type="dxa"/>
          </w:tcPr>
          <w:p w14:paraId="7FB87356" w14:textId="77777777" w:rsidR="006B1DF2" w:rsidRPr="00BB28A0" w:rsidRDefault="006B1DF2" w:rsidP="002C5EDB">
            <w:pPr>
              <w:rPr>
                <w:rFonts w:ascii="StobiSerif Regular" w:hAnsi="StobiSerif Regular"/>
                <w:lang w:val="en-GB"/>
              </w:rPr>
            </w:pPr>
          </w:p>
        </w:tc>
        <w:tc>
          <w:tcPr>
            <w:tcW w:w="1044" w:type="dxa"/>
          </w:tcPr>
          <w:p w14:paraId="622D9863" w14:textId="77777777" w:rsidR="006B1DF2" w:rsidRPr="00BB28A0" w:rsidRDefault="006B1DF2" w:rsidP="002C5EDB">
            <w:pPr>
              <w:rPr>
                <w:rFonts w:ascii="StobiSerif Regular" w:hAnsi="StobiSerif Regular"/>
                <w:lang w:val="en-GB"/>
              </w:rPr>
            </w:pPr>
          </w:p>
        </w:tc>
        <w:tc>
          <w:tcPr>
            <w:tcW w:w="1080" w:type="dxa"/>
          </w:tcPr>
          <w:p w14:paraId="0A3BE868" w14:textId="77777777" w:rsidR="006B1DF2" w:rsidRPr="00BB28A0" w:rsidRDefault="006B1DF2" w:rsidP="002C5EDB">
            <w:pPr>
              <w:rPr>
                <w:rFonts w:ascii="StobiSerif Regular" w:hAnsi="StobiSerif Regular"/>
                <w:lang w:val="en-GB"/>
              </w:rPr>
            </w:pPr>
          </w:p>
        </w:tc>
      </w:tr>
    </w:tbl>
    <w:p w14:paraId="77D4D45C" w14:textId="58E85B33" w:rsidR="004F0CE0" w:rsidRPr="00BB28A0" w:rsidRDefault="004F0CE0" w:rsidP="004F0CE0">
      <w:pPr>
        <w:spacing w:after="0" w:line="252" w:lineRule="auto"/>
        <w:jc w:val="both"/>
        <w:rPr>
          <w:rFonts w:ascii="Times New Roman" w:eastAsia="Calibri" w:hAnsi="Times New Roman" w:cs="Times New Roman"/>
          <w:b/>
          <w:lang w:val="en-GB"/>
        </w:rPr>
      </w:pPr>
      <w:r w:rsidRPr="00BB28A0">
        <w:rPr>
          <w:rFonts w:ascii="Times New Roman" w:eastAsia="Calibri" w:hAnsi="Times New Roman" w:cs="Times New Roman"/>
          <w:b/>
          <w:lang w:val="en-GB"/>
        </w:rPr>
        <w:t>Instructions for completing Table 2.3:</w:t>
      </w:r>
    </w:p>
    <w:p w14:paraId="4D4947D8" w14:textId="2D373A4B" w:rsidR="004F0CE0" w:rsidRPr="00BB28A0" w:rsidRDefault="004F0CE0" w:rsidP="004F0CE0">
      <w:pPr>
        <w:spacing w:after="0" w:line="252" w:lineRule="auto"/>
        <w:jc w:val="both"/>
        <w:rPr>
          <w:rFonts w:ascii="Times New Roman" w:eastAsia="Calibri" w:hAnsi="Times New Roman" w:cs="Times New Roman"/>
          <w:lang w:val="en-GB"/>
        </w:rPr>
      </w:pPr>
      <w:r w:rsidRPr="00BB28A0">
        <w:rPr>
          <w:rFonts w:ascii="Times New Roman" w:eastAsia="Calibri" w:hAnsi="Times New Roman" w:cs="Times New Roman"/>
          <w:lang w:val="en-GB"/>
        </w:rPr>
        <w:t>In the column “</w:t>
      </w:r>
      <w:r w:rsidR="00885F8E" w:rsidRPr="00BB28A0">
        <w:rPr>
          <w:rFonts w:ascii="Times New Roman" w:eastAsia="Calibri" w:hAnsi="Times New Roman" w:cs="Times New Roman"/>
          <w:lang w:val="en-GB"/>
        </w:rPr>
        <w:t>S</w:t>
      </w:r>
      <w:r w:rsidRPr="00BB28A0">
        <w:rPr>
          <w:rFonts w:ascii="Times New Roman" w:eastAsia="Calibri" w:hAnsi="Times New Roman" w:cs="Times New Roman"/>
          <w:lang w:val="en-GB"/>
        </w:rPr>
        <w:t xml:space="preserve">ource </w:t>
      </w:r>
      <w:r w:rsidR="00885F8E" w:rsidRPr="00BB28A0">
        <w:rPr>
          <w:rFonts w:ascii="Times New Roman" w:eastAsia="Calibri" w:hAnsi="Times New Roman" w:cs="Times New Roman"/>
          <w:lang w:val="en-GB"/>
        </w:rPr>
        <w:t xml:space="preserve">and amount </w:t>
      </w:r>
      <w:r w:rsidRPr="00BB28A0">
        <w:rPr>
          <w:rFonts w:ascii="Times New Roman" w:eastAsia="Calibri" w:hAnsi="Times New Roman" w:cs="Times New Roman"/>
          <w:lang w:val="en-GB"/>
        </w:rPr>
        <w:t>of funds for the purchase of equipment” please enter the funding source</w:t>
      </w:r>
      <w:r w:rsidR="00FD14F2" w:rsidRPr="00BB28A0">
        <w:rPr>
          <w:rFonts w:ascii="Times New Roman" w:eastAsia="Calibri" w:hAnsi="Times New Roman" w:cs="Times New Roman"/>
          <w:lang w:val="en-GB"/>
        </w:rPr>
        <w:t xml:space="preserve">, enter the funds provided by the Ministry of Education and Science as the full amount and percentage. If there are two or more sources, please indicate each one with the amount and the </w:t>
      </w:r>
      <w:r w:rsidRPr="00BB28A0">
        <w:rPr>
          <w:rFonts w:ascii="Times New Roman" w:eastAsia="Calibri" w:hAnsi="Times New Roman" w:cs="Times New Roman"/>
          <w:lang w:val="en-GB"/>
        </w:rPr>
        <w:t>participation share:</w:t>
      </w:r>
    </w:p>
    <w:p w14:paraId="0F560722" w14:textId="77777777" w:rsidR="004F0CE0" w:rsidRPr="00BB28A0" w:rsidRDefault="004F0CE0" w:rsidP="004F0CE0">
      <w:pPr>
        <w:spacing w:after="0" w:line="252" w:lineRule="auto"/>
        <w:jc w:val="both"/>
        <w:rPr>
          <w:rFonts w:ascii="Times New Roman" w:eastAsia="Calibri" w:hAnsi="Times New Roman" w:cs="Times New Roman"/>
          <w:lang w:val="en-GB"/>
        </w:rPr>
      </w:pPr>
      <w:r w:rsidRPr="00BB28A0">
        <w:rPr>
          <w:rFonts w:ascii="Times New Roman" w:eastAsia="Calibri" w:hAnsi="Times New Roman" w:cs="Times New Roman"/>
          <w:lang w:val="en-GB"/>
        </w:rPr>
        <w:t>a. Own funds</w:t>
      </w:r>
    </w:p>
    <w:p w14:paraId="1C122867" w14:textId="77777777" w:rsidR="00FD14F2" w:rsidRPr="00BB28A0" w:rsidRDefault="004F0CE0" w:rsidP="004F0CE0">
      <w:pPr>
        <w:spacing w:after="0" w:line="252" w:lineRule="auto"/>
        <w:jc w:val="both"/>
        <w:rPr>
          <w:rFonts w:ascii="Times New Roman" w:eastAsia="Calibri" w:hAnsi="Times New Roman" w:cs="Times New Roman"/>
          <w:lang w:val="en-GB"/>
        </w:rPr>
      </w:pPr>
      <w:r w:rsidRPr="00BB28A0">
        <w:rPr>
          <w:rFonts w:ascii="Times New Roman" w:eastAsia="Calibri" w:hAnsi="Times New Roman" w:cs="Times New Roman"/>
          <w:lang w:val="en-GB"/>
        </w:rPr>
        <w:t>b. Resources of the Ministry of Education and Science</w:t>
      </w:r>
    </w:p>
    <w:p w14:paraId="46301AE5" w14:textId="7ABB903C" w:rsidR="004F0CE0" w:rsidRPr="00BB28A0" w:rsidRDefault="00FD14F2" w:rsidP="004F0CE0">
      <w:pPr>
        <w:spacing w:after="0" w:line="252" w:lineRule="auto"/>
        <w:jc w:val="both"/>
        <w:rPr>
          <w:rFonts w:ascii="Times New Roman" w:eastAsia="Calibri" w:hAnsi="Times New Roman" w:cs="Times New Roman"/>
          <w:lang w:val="en-GB"/>
        </w:rPr>
      </w:pPr>
      <w:r w:rsidRPr="00BB28A0">
        <w:rPr>
          <w:rFonts w:ascii="Times New Roman" w:eastAsia="Calibri" w:hAnsi="Times New Roman" w:cs="Times New Roman"/>
          <w:lang w:val="en-GB"/>
        </w:rPr>
        <w:t>c</w:t>
      </w:r>
      <w:r w:rsidR="004F0CE0" w:rsidRPr="00BB28A0">
        <w:rPr>
          <w:rFonts w:ascii="Times New Roman" w:eastAsia="Calibri" w:hAnsi="Times New Roman" w:cs="Times New Roman"/>
          <w:lang w:val="en-GB"/>
        </w:rPr>
        <w:t>. Other sources - specify which!</w:t>
      </w:r>
    </w:p>
    <w:p w14:paraId="76663D98" w14:textId="77777777" w:rsidR="00885F8E" w:rsidRPr="00BB28A0" w:rsidRDefault="00885F8E" w:rsidP="006B1DF2">
      <w:pPr>
        <w:rPr>
          <w:rFonts w:ascii="StobiSerif Regular" w:hAnsi="StobiSerif Regular"/>
          <w:b/>
          <w:bCs/>
          <w:lang w:val="en-GB"/>
        </w:rPr>
      </w:pPr>
    </w:p>
    <w:p w14:paraId="73B2C28A" w14:textId="77777777" w:rsidR="00461053" w:rsidRPr="00BB28A0" w:rsidRDefault="00461053" w:rsidP="006B1DF2">
      <w:pPr>
        <w:rPr>
          <w:rFonts w:ascii="StobiSerif Regular" w:hAnsi="StobiSerif Regular"/>
          <w:lang w:val="en-GB"/>
        </w:rPr>
      </w:pPr>
      <w:r w:rsidRPr="00BB28A0">
        <w:rPr>
          <w:rFonts w:ascii="StobiSerif Regular" w:hAnsi="StobiSerif Regular"/>
          <w:lang w:val="en-GB"/>
        </w:rPr>
        <w:lastRenderedPageBreak/>
        <w:t xml:space="preserve">In the column "Price and description of services" please enter the price and a brief description of the services for research and development purposes (applies to both accredited and non-accredited laboratories). If more elements of the listed equipment are required to provide the service (for example, rows 1 to 6), then please enter the integrated price of the service in the last row of the group (in this case, row number 6). </w:t>
      </w:r>
    </w:p>
    <w:p w14:paraId="11623F04" w14:textId="76AE88C1" w:rsidR="006B1DF2" w:rsidRPr="00BB28A0" w:rsidRDefault="006B1DF2" w:rsidP="006B1DF2">
      <w:pPr>
        <w:rPr>
          <w:rFonts w:ascii="StobiSerif Regular" w:hAnsi="StobiSerif Regular"/>
          <w:b/>
          <w:bCs/>
          <w:lang w:val="en-GB"/>
        </w:rPr>
      </w:pPr>
      <w:r w:rsidRPr="00BB28A0">
        <w:rPr>
          <w:rFonts w:ascii="StobiSerif Regular" w:hAnsi="StobiSerif Regular"/>
          <w:b/>
          <w:bCs/>
          <w:lang w:val="en-GB"/>
        </w:rPr>
        <w:t xml:space="preserve">2.3.1. </w:t>
      </w:r>
      <w:r w:rsidR="00FD14F2" w:rsidRPr="00BB28A0">
        <w:rPr>
          <w:rFonts w:ascii="StobiSerif Regular" w:hAnsi="StobiSerif Regular"/>
          <w:b/>
          <w:bCs/>
          <w:lang w:val="en-GB"/>
        </w:rPr>
        <w:t xml:space="preserve">Access policies to research infrastructures </w:t>
      </w:r>
    </w:p>
    <w:tbl>
      <w:tblPr>
        <w:tblStyle w:val="TableGrid"/>
        <w:tblW w:w="5000" w:type="pct"/>
        <w:tblLook w:val="04A0" w:firstRow="1" w:lastRow="0" w:firstColumn="1" w:lastColumn="0" w:noHBand="0" w:noVBand="1"/>
      </w:tblPr>
      <w:tblGrid>
        <w:gridCol w:w="9011"/>
      </w:tblGrid>
      <w:tr w:rsidR="006B1DF2" w:rsidRPr="00BB28A0" w14:paraId="49FD79A0" w14:textId="77777777" w:rsidTr="002C5EDB">
        <w:tc>
          <w:tcPr>
            <w:tcW w:w="5000" w:type="pct"/>
          </w:tcPr>
          <w:p w14:paraId="01184284" w14:textId="77777777" w:rsidR="006B1DF2" w:rsidRPr="00BB28A0" w:rsidRDefault="006B1DF2" w:rsidP="002C5EDB">
            <w:pPr>
              <w:spacing w:after="160" w:line="259" w:lineRule="auto"/>
              <w:rPr>
                <w:rFonts w:ascii="StobiSerif Regular" w:hAnsi="StobiSerif Regular"/>
                <w:b/>
                <w:lang w:val="en-GB"/>
              </w:rPr>
            </w:pPr>
          </w:p>
          <w:p w14:paraId="1ABC6F10" w14:textId="77777777" w:rsidR="006B1DF2" w:rsidRPr="00BB28A0" w:rsidRDefault="006B1DF2" w:rsidP="002C5EDB">
            <w:pPr>
              <w:spacing w:after="160" w:line="259" w:lineRule="auto"/>
              <w:rPr>
                <w:rFonts w:ascii="StobiSerif Regular" w:hAnsi="StobiSerif Regular"/>
                <w:b/>
                <w:lang w:val="en-GB"/>
              </w:rPr>
            </w:pPr>
          </w:p>
        </w:tc>
      </w:tr>
    </w:tbl>
    <w:p w14:paraId="1C2FD90A" w14:textId="5246196D" w:rsidR="006B1DF2" w:rsidRPr="00BB28A0" w:rsidRDefault="00461053" w:rsidP="00EE05A9">
      <w:pPr>
        <w:spacing w:after="0"/>
        <w:rPr>
          <w:rFonts w:ascii="StobiSerif Regular" w:hAnsi="StobiSerif Regular"/>
          <w:lang w:val="en-GB"/>
        </w:rPr>
      </w:pPr>
      <w:r w:rsidRPr="00BB28A0">
        <w:rPr>
          <w:rFonts w:ascii="Times New Roman" w:eastAsia="Calibri" w:hAnsi="Times New Roman" w:cs="Times New Roman"/>
          <w:b/>
          <w:lang w:val="en-GB"/>
        </w:rPr>
        <w:t xml:space="preserve">Instructions for completing Table </w:t>
      </w:r>
      <w:r w:rsidR="00EE05A9" w:rsidRPr="00BB28A0">
        <w:rPr>
          <w:rFonts w:ascii="StobiSerif Regular" w:hAnsi="StobiSerif Regular"/>
          <w:b/>
          <w:lang w:val="en-GB"/>
        </w:rPr>
        <w:t>2.3.1:</w:t>
      </w:r>
    </w:p>
    <w:p w14:paraId="42E2DF6C" w14:textId="77777777" w:rsidR="00461053" w:rsidRPr="00BB28A0" w:rsidRDefault="00461053" w:rsidP="006B1DF2">
      <w:pPr>
        <w:rPr>
          <w:rFonts w:ascii="StobiSerif Regular" w:hAnsi="StobiSerif Regular"/>
          <w:lang w:val="en-GB"/>
        </w:rPr>
      </w:pPr>
      <w:r w:rsidRPr="00BB28A0">
        <w:rPr>
          <w:rFonts w:ascii="StobiSerif Regular" w:hAnsi="StobiSerif Regular"/>
          <w:lang w:val="en-GB"/>
        </w:rPr>
        <w:t>Regarding the research infrastructures purchased based on the Competition for the allocation of funds for funding scientific and research projects of special and public interest for 2021 (support for laboratory resources) by the Ministry of Education and Science, please explain the access policies to the laboratory resources in place. The access policy in the form of an adopted document can be attached as a separate attachment.</w:t>
      </w:r>
    </w:p>
    <w:p w14:paraId="62A87C1C" w14:textId="77777777" w:rsidR="00EE05A9" w:rsidRPr="00BB28A0" w:rsidRDefault="00EE05A9" w:rsidP="006B1DF2">
      <w:pPr>
        <w:rPr>
          <w:rFonts w:ascii="Times New Roman" w:hAnsi="Times New Roman" w:cs="Times New Roman"/>
          <w:b/>
          <w:lang w:val="en-GB"/>
        </w:rPr>
      </w:pPr>
    </w:p>
    <w:p w14:paraId="67FEFB6B" w14:textId="2B11BDBB" w:rsidR="006B1DF2" w:rsidRPr="00BB28A0" w:rsidRDefault="006B1DF2" w:rsidP="006B1DF2">
      <w:pPr>
        <w:rPr>
          <w:rFonts w:ascii="Times New Roman" w:hAnsi="Times New Roman" w:cs="Times New Roman"/>
          <w:b/>
          <w:lang w:val="en-GB"/>
        </w:rPr>
      </w:pPr>
      <w:r w:rsidRPr="00BB28A0">
        <w:rPr>
          <w:rFonts w:ascii="Times New Roman" w:hAnsi="Times New Roman" w:cs="Times New Roman"/>
          <w:b/>
          <w:lang w:val="en-GB"/>
        </w:rPr>
        <w:t xml:space="preserve">3. </w:t>
      </w:r>
      <w:r w:rsidR="00FD14F2" w:rsidRPr="00BB28A0">
        <w:rPr>
          <w:rFonts w:ascii="Times New Roman" w:hAnsi="Times New Roman" w:cs="Times New Roman"/>
          <w:b/>
          <w:lang w:val="en-GB"/>
        </w:rPr>
        <w:t xml:space="preserve">Information on access, collaboration and impact </w:t>
      </w:r>
    </w:p>
    <w:p w14:paraId="3C001F0C" w14:textId="531F9347" w:rsidR="006B1DF2" w:rsidRPr="00BB28A0" w:rsidRDefault="006B1DF2" w:rsidP="006B1DF2">
      <w:pPr>
        <w:rPr>
          <w:rFonts w:ascii="Times New Roman" w:hAnsi="Times New Roman" w:cs="Times New Roman"/>
          <w:b/>
          <w:lang w:val="en-GB"/>
        </w:rPr>
      </w:pPr>
      <w:r w:rsidRPr="00BB28A0">
        <w:rPr>
          <w:rFonts w:ascii="Times New Roman" w:hAnsi="Times New Roman" w:cs="Times New Roman"/>
          <w:b/>
          <w:lang w:val="en-GB"/>
        </w:rPr>
        <w:t xml:space="preserve">3.1. </w:t>
      </w:r>
      <w:r w:rsidR="00FD14F2" w:rsidRPr="00BB28A0">
        <w:rPr>
          <w:rFonts w:ascii="Times New Roman" w:hAnsi="Times New Roman" w:cs="Times New Roman"/>
          <w:b/>
          <w:lang w:val="en-GB"/>
        </w:rPr>
        <w:t xml:space="preserve">Information on access </w:t>
      </w:r>
    </w:p>
    <w:p w14:paraId="5E40D5E3" w14:textId="30830056" w:rsidR="00461053" w:rsidRPr="00BB28A0" w:rsidRDefault="00461053" w:rsidP="006B1DF2">
      <w:pPr>
        <w:rPr>
          <w:rFonts w:ascii="Times New Roman" w:hAnsi="Times New Roman" w:cs="Times New Roman"/>
          <w:lang w:val="en-GB"/>
        </w:rPr>
      </w:pPr>
      <w:r w:rsidRPr="00BB28A0">
        <w:rPr>
          <w:rFonts w:ascii="Times New Roman" w:hAnsi="Times New Roman" w:cs="Times New Roman"/>
          <w:lang w:val="en-GB"/>
        </w:rPr>
        <w:t>A brief description of the policy and procedures for user access to this research infrastructure. The access policies and procedures in the form of an adopted document can be attached as a separate attachment.</w:t>
      </w:r>
    </w:p>
    <w:tbl>
      <w:tblPr>
        <w:tblStyle w:val="TableGrid"/>
        <w:tblW w:w="5000" w:type="pct"/>
        <w:tblLook w:val="04A0" w:firstRow="1" w:lastRow="0" w:firstColumn="1" w:lastColumn="0" w:noHBand="0" w:noVBand="1"/>
      </w:tblPr>
      <w:tblGrid>
        <w:gridCol w:w="9011"/>
      </w:tblGrid>
      <w:tr w:rsidR="006B1DF2" w:rsidRPr="00BB28A0" w14:paraId="611B9DE9" w14:textId="77777777" w:rsidTr="002C5EDB">
        <w:tc>
          <w:tcPr>
            <w:tcW w:w="5000" w:type="pct"/>
          </w:tcPr>
          <w:p w14:paraId="70B5734F" w14:textId="77777777" w:rsidR="006B1DF2" w:rsidRPr="00BB28A0" w:rsidRDefault="006B1DF2" w:rsidP="002C5EDB">
            <w:pPr>
              <w:spacing w:after="160" w:line="259" w:lineRule="auto"/>
              <w:rPr>
                <w:rFonts w:ascii="Times New Roman" w:hAnsi="Times New Roman" w:cs="Times New Roman"/>
                <w:b/>
                <w:lang w:val="en-GB"/>
              </w:rPr>
            </w:pPr>
            <w:bookmarkStart w:id="9" w:name="_Hlk177988348"/>
          </w:p>
          <w:p w14:paraId="7C158852" w14:textId="77777777" w:rsidR="006B1DF2" w:rsidRPr="00BB28A0" w:rsidRDefault="006B1DF2" w:rsidP="002C5EDB">
            <w:pPr>
              <w:spacing w:after="160" w:line="259" w:lineRule="auto"/>
              <w:rPr>
                <w:rFonts w:ascii="Times New Roman" w:hAnsi="Times New Roman" w:cs="Times New Roman"/>
                <w:b/>
                <w:lang w:val="en-GB"/>
              </w:rPr>
            </w:pPr>
          </w:p>
        </w:tc>
      </w:tr>
      <w:bookmarkEnd w:id="9"/>
    </w:tbl>
    <w:p w14:paraId="7B85D1AD" w14:textId="77777777" w:rsidR="006B1DF2" w:rsidRPr="00BB28A0" w:rsidRDefault="006B1DF2" w:rsidP="006B1DF2">
      <w:pPr>
        <w:rPr>
          <w:rFonts w:ascii="Times New Roman" w:hAnsi="Times New Roman" w:cs="Times New Roman"/>
          <w:b/>
          <w:lang w:val="en-GB"/>
        </w:rPr>
      </w:pPr>
    </w:p>
    <w:p w14:paraId="57C9D87A" w14:textId="41C2C44B" w:rsidR="006B1DF2" w:rsidRPr="00BB28A0" w:rsidRDefault="006B1DF2" w:rsidP="006B1DF2">
      <w:pPr>
        <w:rPr>
          <w:rFonts w:ascii="Times New Roman" w:hAnsi="Times New Roman" w:cs="Times New Roman"/>
          <w:b/>
          <w:lang w:val="en-GB"/>
        </w:rPr>
      </w:pPr>
      <w:r w:rsidRPr="00BB28A0">
        <w:rPr>
          <w:rFonts w:ascii="Times New Roman" w:hAnsi="Times New Roman" w:cs="Times New Roman"/>
          <w:b/>
          <w:lang w:val="en-GB"/>
        </w:rPr>
        <w:t xml:space="preserve">3.1.1. </w:t>
      </w:r>
      <w:r w:rsidR="00135748" w:rsidRPr="00BB28A0">
        <w:rPr>
          <w:rFonts w:ascii="Times New Roman" w:hAnsi="Times New Roman" w:cs="Times New Roman"/>
          <w:b/>
          <w:lang w:val="en-GB"/>
        </w:rPr>
        <w:t xml:space="preserve">Information on external users </w:t>
      </w:r>
    </w:p>
    <w:tbl>
      <w:tblPr>
        <w:tblStyle w:val="TableGrid"/>
        <w:tblW w:w="9011" w:type="dxa"/>
        <w:tblLook w:val="04A0" w:firstRow="1" w:lastRow="0" w:firstColumn="1" w:lastColumn="0" w:noHBand="0" w:noVBand="1"/>
      </w:tblPr>
      <w:tblGrid>
        <w:gridCol w:w="4494"/>
        <w:gridCol w:w="4517"/>
      </w:tblGrid>
      <w:tr w:rsidR="00135748" w:rsidRPr="00BB28A0" w14:paraId="2B79E587" w14:textId="77777777" w:rsidTr="00135748">
        <w:tc>
          <w:tcPr>
            <w:tcW w:w="4494" w:type="dxa"/>
          </w:tcPr>
          <w:p w14:paraId="31DAD53A" w14:textId="3309E7D7" w:rsidR="00135748" w:rsidRPr="00BB28A0" w:rsidRDefault="00135748" w:rsidP="00135748">
            <w:pPr>
              <w:rPr>
                <w:rFonts w:ascii="Times New Roman" w:hAnsi="Times New Roman" w:cs="Times New Roman"/>
                <w:b/>
                <w:lang w:val="en-GB"/>
              </w:rPr>
            </w:pPr>
            <w:r w:rsidRPr="00BB28A0">
              <w:rPr>
                <w:rFonts w:ascii="Times New Roman" w:eastAsia="Calibri" w:hAnsi="Times New Roman" w:cs="Times New Roman"/>
                <w:b/>
                <w:lang w:val="en-GB"/>
              </w:rPr>
              <w:t>Users of RI</w:t>
            </w:r>
          </w:p>
        </w:tc>
        <w:tc>
          <w:tcPr>
            <w:tcW w:w="4517" w:type="dxa"/>
          </w:tcPr>
          <w:p w14:paraId="2E3E6A1F" w14:textId="30204F3F" w:rsidR="00135748" w:rsidRPr="00BB28A0" w:rsidRDefault="00135748" w:rsidP="00135748">
            <w:pPr>
              <w:spacing w:after="160" w:line="259" w:lineRule="auto"/>
              <w:rPr>
                <w:rFonts w:ascii="Times New Roman" w:hAnsi="Times New Roman" w:cs="Times New Roman"/>
                <w:b/>
                <w:lang w:val="en-GB"/>
              </w:rPr>
            </w:pPr>
            <w:r w:rsidRPr="00BB28A0">
              <w:rPr>
                <w:rFonts w:ascii="Times New Roman" w:eastAsia="Calibri" w:hAnsi="Times New Roman" w:cs="Times New Roman"/>
                <w:b/>
                <w:lang w:val="en-GB"/>
              </w:rPr>
              <w:t>Please specify the name of Institution, department</w:t>
            </w:r>
            <w:r w:rsidRPr="00BB28A0">
              <w:rPr>
                <w:rFonts w:ascii="Times New Roman" w:hAnsi="Times New Roman" w:cs="Times New Roman"/>
                <w:b/>
                <w:lang w:val="en-GB"/>
              </w:rPr>
              <w:t xml:space="preserve"> </w:t>
            </w:r>
          </w:p>
        </w:tc>
      </w:tr>
      <w:tr w:rsidR="00135748" w:rsidRPr="00BB28A0" w14:paraId="4E6DF301" w14:textId="77777777" w:rsidTr="00135748">
        <w:tc>
          <w:tcPr>
            <w:tcW w:w="4494" w:type="dxa"/>
          </w:tcPr>
          <w:p w14:paraId="445D3222" w14:textId="1E0FF48E" w:rsidR="00135748" w:rsidRPr="00BB28A0" w:rsidRDefault="00135748" w:rsidP="00135748">
            <w:pPr>
              <w:rPr>
                <w:rFonts w:ascii="Times New Roman" w:hAnsi="Times New Roman" w:cs="Times New Roman"/>
                <w:lang w:val="en-GB"/>
              </w:rPr>
            </w:pPr>
            <w:r w:rsidRPr="00BB28A0">
              <w:rPr>
                <w:rFonts w:ascii="Times New Roman" w:eastAsia="Calibri" w:hAnsi="Times New Roman" w:cs="Times New Roman"/>
                <w:lang w:val="en-GB"/>
              </w:rPr>
              <w:t>Research groups from your economy</w:t>
            </w:r>
          </w:p>
        </w:tc>
        <w:tc>
          <w:tcPr>
            <w:tcW w:w="4517" w:type="dxa"/>
          </w:tcPr>
          <w:p w14:paraId="5A9D6486" w14:textId="77777777" w:rsidR="00135748" w:rsidRPr="00BB28A0" w:rsidRDefault="00135748" w:rsidP="00135748">
            <w:pPr>
              <w:spacing w:after="160" w:line="259" w:lineRule="auto"/>
              <w:rPr>
                <w:rFonts w:ascii="Times New Roman" w:hAnsi="Times New Roman" w:cs="Times New Roman"/>
                <w:b/>
                <w:lang w:val="en-GB"/>
              </w:rPr>
            </w:pPr>
          </w:p>
          <w:p w14:paraId="63264690" w14:textId="77777777" w:rsidR="00135748" w:rsidRPr="00BB28A0" w:rsidRDefault="00135748" w:rsidP="00135748">
            <w:pPr>
              <w:spacing w:after="160" w:line="259" w:lineRule="auto"/>
              <w:rPr>
                <w:rFonts w:ascii="Times New Roman" w:hAnsi="Times New Roman" w:cs="Times New Roman"/>
                <w:b/>
                <w:lang w:val="en-GB"/>
              </w:rPr>
            </w:pPr>
          </w:p>
        </w:tc>
      </w:tr>
      <w:tr w:rsidR="00135748" w:rsidRPr="00BB28A0" w14:paraId="019F12E7" w14:textId="77777777" w:rsidTr="00135748">
        <w:tc>
          <w:tcPr>
            <w:tcW w:w="4494" w:type="dxa"/>
          </w:tcPr>
          <w:p w14:paraId="65AF1D8C" w14:textId="6525B012" w:rsidR="00135748" w:rsidRPr="00BB28A0" w:rsidRDefault="00135748" w:rsidP="00135748">
            <w:pPr>
              <w:rPr>
                <w:rFonts w:ascii="Times New Roman" w:hAnsi="Times New Roman" w:cs="Times New Roman"/>
                <w:lang w:val="en-GB"/>
              </w:rPr>
            </w:pPr>
            <w:r w:rsidRPr="00BB28A0">
              <w:rPr>
                <w:rFonts w:ascii="Times New Roman" w:eastAsia="Calibri" w:hAnsi="Times New Roman" w:cs="Times New Roman"/>
                <w:lang w:val="en-GB"/>
              </w:rPr>
              <w:t xml:space="preserve">Research groups from Western Balkan economies </w:t>
            </w:r>
          </w:p>
        </w:tc>
        <w:tc>
          <w:tcPr>
            <w:tcW w:w="4517" w:type="dxa"/>
          </w:tcPr>
          <w:p w14:paraId="6B9C5B25" w14:textId="77777777" w:rsidR="00135748" w:rsidRPr="00BB28A0" w:rsidRDefault="00135748" w:rsidP="00135748">
            <w:pPr>
              <w:spacing w:after="160" w:line="259" w:lineRule="auto"/>
              <w:rPr>
                <w:rFonts w:ascii="Times New Roman" w:hAnsi="Times New Roman" w:cs="Times New Roman"/>
                <w:b/>
                <w:lang w:val="en-GB"/>
              </w:rPr>
            </w:pPr>
          </w:p>
          <w:p w14:paraId="68618E5A" w14:textId="77777777" w:rsidR="00135748" w:rsidRPr="00BB28A0" w:rsidRDefault="00135748" w:rsidP="00135748">
            <w:pPr>
              <w:spacing w:after="160" w:line="259" w:lineRule="auto"/>
              <w:rPr>
                <w:rFonts w:ascii="Times New Roman" w:hAnsi="Times New Roman" w:cs="Times New Roman"/>
                <w:b/>
                <w:lang w:val="en-GB"/>
              </w:rPr>
            </w:pPr>
          </w:p>
        </w:tc>
      </w:tr>
      <w:tr w:rsidR="00135748" w:rsidRPr="00BB28A0" w14:paraId="554512AF" w14:textId="77777777" w:rsidTr="00135748">
        <w:tc>
          <w:tcPr>
            <w:tcW w:w="4494" w:type="dxa"/>
          </w:tcPr>
          <w:p w14:paraId="3E7A0612" w14:textId="71E07D20" w:rsidR="00135748" w:rsidRPr="00BB28A0" w:rsidRDefault="00135748" w:rsidP="00135748">
            <w:pPr>
              <w:rPr>
                <w:rFonts w:ascii="Times New Roman" w:hAnsi="Times New Roman" w:cs="Times New Roman"/>
                <w:lang w:val="en-GB"/>
              </w:rPr>
            </w:pPr>
            <w:r w:rsidRPr="00BB28A0">
              <w:rPr>
                <w:rFonts w:ascii="Times New Roman" w:eastAsia="Calibri" w:hAnsi="Times New Roman" w:cs="Times New Roman"/>
                <w:lang w:val="en-GB"/>
              </w:rPr>
              <w:t>Research groups from EU and other countries</w:t>
            </w:r>
          </w:p>
        </w:tc>
        <w:tc>
          <w:tcPr>
            <w:tcW w:w="4517" w:type="dxa"/>
          </w:tcPr>
          <w:p w14:paraId="24483177" w14:textId="77777777" w:rsidR="00135748" w:rsidRPr="00BB28A0" w:rsidRDefault="00135748" w:rsidP="00135748">
            <w:pPr>
              <w:spacing w:after="160" w:line="259" w:lineRule="auto"/>
              <w:rPr>
                <w:rFonts w:ascii="Times New Roman" w:hAnsi="Times New Roman" w:cs="Times New Roman"/>
                <w:b/>
                <w:lang w:val="en-GB"/>
              </w:rPr>
            </w:pPr>
          </w:p>
          <w:p w14:paraId="009E5590" w14:textId="77777777" w:rsidR="00135748" w:rsidRPr="00BB28A0" w:rsidRDefault="00135748" w:rsidP="00135748">
            <w:pPr>
              <w:spacing w:after="160" w:line="259" w:lineRule="auto"/>
              <w:rPr>
                <w:rFonts w:ascii="Times New Roman" w:hAnsi="Times New Roman" w:cs="Times New Roman"/>
                <w:b/>
                <w:lang w:val="en-GB"/>
              </w:rPr>
            </w:pPr>
          </w:p>
        </w:tc>
      </w:tr>
    </w:tbl>
    <w:p w14:paraId="55EAA535" w14:textId="4DC72DBF" w:rsidR="006B1DF2" w:rsidRPr="00BB28A0" w:rsidRDefault="006B1DF2" w:rsidP="006B1DF2">
      <w:pPr>
        <w:rPr>
          <w:rFonts w:ascii="Times New Roman" w:hAnsi="Times New Roman" w:cs="Times New Roman"/>
          <w:b/>
          <w:lang w:val="en-GB"/>
        </w:rPr>
      </w:pPr>
    </w:p>
    <w:p w14:paraId="25D0BB32" w14:textId="21E909F8" w:rsidR="006B1DF2" w:rsidRPr="00BB28A0" w:rsidRDefault="006B1DF2" w:rsidP="006B1DF2">
      <w:pPr>
        <w:rPr>
          <w:rFonts w:ascii="Times New Roman" w:hAnsi="Times New Roman" w:cs="Times New Roman"/>
          <w:b/>
          <w:lang w:val="en-GB"/>
        </w:rPr>
      </w:pPr>
      <w:r w:rsidRPr="00BB28A0">
        <w:rPr>
          <w:rFonts w:ascii="Times New Roman" w:hAnsi="Times New Roman" w:cs="Times New Roman"/>
          <w:b/>
          <w:lang w:val="en-GB"/>
        </w:rPr>
        <w:t xml:space="preserve">3.2. </w:t>
      </w:r>
      <w:r w:rsidR="00135748" w:rsidRPr="00BB28A0">
        <w:rPr>
          <w:rFonts w:ascii="Times New Roman" w:hAnsi="Times New Roman" w:cs="Times New Roman"/>
          <w:b/>
          <w:lang w:val="en-GB"/>
        </w:rPr>
        <w:t xml:space="preserve">Information on cooperation </w:t>
      </w:r>
    </w:p>
    <w:p w14:paraId="77FA8206" w14:textId="77777777" w:rsidR="00135748" w:rsidRPr="00BB28A0" w:rsidRDefault="00135748" w:rsidP="00135748">
      <w:pPr>
        <w:spacing w:after="0"/>
        <w:rPr>
          <w:rFonts w:ascii="Times New Roman" w:eastAsia="Calibri" w:hAnsi="Times New Roman" w:cs="Times New Roman"/>
          <w:lang w:val="en-GB"/>
        </w:rPr>
      </w:pPr>
      <w:r w:rsidRPr="00BB28A0">
        <w:rPr>
          <w:rFonts w:ascii="Times New Roman" w:eastAsia="Calibri" w:hAnsi="Times New Roman" w:cs="Times New Roman"/>
          <w:lang w:val="en-GB"/>
        </w:rPr>
        <w:t>Please list the international co-operation agreements and partnerships in which this RI has been involved.</w:t>
      </w:r>
    </w:p>
    <w:tbl>
      <w:tblPr>
        <w:tblStyle w:val="TableGrid"/>
        <w:tblW w:w="0" w:type="auto"/>
        <w:tblLook w:val="04A0" w:firstRow="1" w:lastRow="0" w:firstColumn="1" w:lastColumn="0" w:noHBand="0" w:noVBand="1"/>
      </w:tblPr>
      <w:tblGrid>
        <w:gridCol w:w="9011"/>
      </w:tblGrid>
      <w:tr w:rsidR="006B1DF2" w:rsidRPr="00BB28A0" w14:paraId="7AE16DDC" w14:textId="77777777" w:rsidTr="00135748">
        <w:tc>
          <w:tcPr>
            <w:tcW w:w="9011" w:type="dxa"/>
          </w:tcPr>
          <w:p w14:paraId="4430FD08" w14:textId="77777777" w:rsidR="006B1DF2" w:rsidRPr="00BB28A0" w:rsidRDefault="006B1DF2" w:rsidP="002C5EDB">
            <w:pPr>
              <w:spacing w:after="160" w:line="259" w:lineRule="auto"/>
              <w:rPr>
                <w:rFonts w:ascii="Times New Roman" w:hAnsi="Times New Roman" w:cs="Times New Roman"/>
                <w:lang w:val="en-GB"/>
              </w:rPr>
            </w:pPr>
          </w:p>
          <w:p w14:paraId="2667E5A3" w14:textId="77777777" w:rsidR="006B1DF2" w:rsidRPr="00BB28A0" w:rsidRDefault="006B1DF2" w:rsidP="002C5EDB">
            <w:pPr>
              <w:spacing w:after="160" w:line="259" w:lineRule="auto"/>
              <w:rPr>
                <w:rFonts w:ascii="Times New Roman" w:hAnsi="Times New Roman" w:cs="Times New Roman"/>
                <w:lang w:val="en-GB"/>
              </w:rPr>
            </w:pPr>
          </w:p>
        </w:tc>
      </w:tr>
    </w:tbl>
    <w:p w14:paraId="35409459" w14:textId="77777777" w:rsidR="006B1DF2" w:rsidRPr="00BB28A0" w:rsidRDefault="006B1DF2" w:rsidP="006B1DF2">
      <w:pPr>
        <w:rPr>
          <w:rFonts w:ascii="Times New Roman" w:hAnsi="Times New Roman" w:cs="Times New Roman"/>
          <w:b/>
          <w:lang w:val="en-GB"/>
        </w:rPr>
      </w:pPr>
    </w:p>
    <w:p w14:paraId="16E35BC4" w14:textId="77777777" w:rsidR="00135748" w:rsidRPr="00BB28A0" w:rsidRDefault="00135748" w:rsidP="00135748">
      <w:pPr>
        <w:rPr>
          <w:rFonts w:ascii="Times New Roman" w:hAnsi="Times New Roman" w:cs="Times New Roman"/>
          <w:b/>
          <w:lang w:val="en-GB"/>
        </w:rPr>
      </w:pPr>
      <w:r w:rsidRPr="00BB28A0">
        <w:rPr>
          <w:rFonts w:ascii="Times New Roman" w:hAnsi="Times New Roman" w:cs="Times New Roman"/>
          <w:b/>
          <w:lang w:val="en-GB"/>
        </w:rPr>
        <w:t>3.2.1. Integration into larger RIs</w:t>
      </w:r>
    </w:p>
    <w:p w14:paraId="2B442940" w14:textId="77777777" w:rsidR="00135748" w:rsidRPr="00BB28A0" w:rsidRDefault="00135748" w:rsidP="00135748">
      <w:pPr>
        <w:jc w:val="both"/>
        <w:rPr>
          <w:rFonts w:ascii="Times New Roman" w:hAnsi="Times New Roman" w:cs="Times New Roman"/>
          <w:lang w:val="en-GB"/>
        </w:rPr>
      </w:pPr>
      <w:r w:rsidRPr="00BB28A0">
        <w:rPr>
          <w:rFonts w:ascii="Times New Roman" w:hAnsi="Times New Roman" w:cs="Times New Roman"/>
          <w:lang w:val="en-GB"/>
        </w:rPr>
        <w:t xml:space="preserve">Is RI connected or integrated into larger RIs (international) or is it a member of any European RI?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665"/>
      </w:tblGrid>
      <w:tr w:rsidR="00135748" w:rsidRPr="00BB28A0" w14:paraId="205778A1" w14:textId="77777777" w:rsidTr="001F5A4D">
        <w:sdt>
          <w:sdtPr>
            <w:rPr>
              <w:rFonts w:ascii="Times New Roman" w:hAnsi="Times New Roman" w:cs="Times New Roman"/>
              <w:lang w:val="en-GB"/>
            </w:rPr>
            <w:id w:val="-629710112"/>
            <w14:checkbox>
              <w14:checked w14:val="0"/>
              <w14:checkedState w14:val="2612" w14:font="MS Gothic"/>
              <w14:uncheckedState w14:val="2610" w14:font="MS Gothic"/>
            </w14:checkbox>
          </w:sdtPr>
          <w:sdtEndPr/>
          <w:sdtContent>
            <w:tc>
              <w:tcPr>
                <w:tcW w:w="436" w:type="dxa"/>
              </w:tcPr>
              <w:p w14:paraId="70EF34D1" w14:textId="77777777" w:rsidR="00135748" w:rsidRPr="00BB28A0" w:rsidRDefault="00135748" w:rsidP="001F5A4D">
                <w:pPr>
                  <w:jc w:val="both"/>
                  <w:rPr>
                    <w:rFonts w:ascii="Times New Roman" w:hAnsi="Times New Roman" w:cs="Times New Roman"/>
                    <w:lang w:val="en-GB"/>
                  </w:rPr>
                </w:pPr>
                <w:r w:rsidRPr="00BB28A0">
                  <w:rPr>
                    <w:rFonts w:ascii="Segoe UI Symbol" w:eastAsia="MS Gothic" w:hAnsi="Segoe UI Symbol" w:cs="Segoe UI Symbol"/>
                    <w:lang w:val="en-GB"/>
                  </w:rPr>
                  <w:t>☐</w:t>
                </w:r>
              </w:p>
            </w:tc>
          </w:sdtContent>
        </w:sdt>
        <w:tc>
          <w:tcPr>
            <w:tcW w:w="665" w:type="dxa"/>
          </w:tcPr>
          <w:p w14:paraId="23CA3B73" w14:textId="77777777" w:rsidR="00135748" w:rsidRPr="00BB28A0" w:rsidRDefault="00135748" w:rsidP="001F5A4D">
            <w:pPr>
              <w:jc w:val="both"/>
              <w:rPr>
                <w:rFonts w:ascii="Times New Roman" w:hAnsi="Times New Roman" w:cs="Times New Roman"/>
                <w:lang w:val="en-GB"/>
              </w:rPr>
            </w:pPr>
            <w:r w:rsidRPr="00BB28A0">
              <w:rPr>
                <w:rFonts w:ascii="Times New Roman" w:hAnsi="Times New Roman" w:cs="Times New Roman"/>
                <w:lang w:val="en-GB"/>
              </w:rPr>
              <w:t>Yes</w:t>
            </w:r>
          </w:p>
        </w:tc>
      </w:tr>
      <w:tr w:rsidR="00135748" w:rsidRPr="00BB28A0" w14:paraId="7E06223D" w14:textId="77777777" w:rsidTr="001F5A4D">
        <w:sdt>
          <w:sdtPr>
            <w:rPr>
              <w:rFonts w:ascii="Times New Roman" w:hAnsi="Times New Roman" w:cs="Times New Roman"/>
              <w:lang w:val="en-GB"/>
            </w:rPr>
            <w:id w:val="2009780383"/>
            <w14:checkbox>
              <w14:checked w14:val="0"/>
              <w14:checkedState w14:val="2612" w14:font="MS Gothic"/>
              <w14:uncheckedState w14:val="2610" w14:font="MS Gothic"/>
            </w14:checkbox>
          </w:sdtPr>
          <w:sdtEndPr/>
          <w:sdtContent>
            <w:tc>
              <w:tcPr>
                <w:tcW w:w="436" w:type="dxa"/>
              </w:tcPr>
              <w:p w14:paraId="56BB87C3" w14:textId="77777777" w:rsidR="00135748" w:rsidRPr="00BB28A0" w:rsidRDefault="00135748" w:rsidP="001F5A4D">
                <w:pPr>
                  <w:jc w:val="both"/>
                  <w:rPr>
                    <w:rFonts w:ascii="Times New Roman" w:hAnsi="Times New Roman" w:cs="Times New Roman"/>
                    <w:lang w:val="en-GB"/>
                  </w:rPr>
                </w:pPr>
                <w:r w:rsidRPr="00BB28A0">
                  <w:rPr>
                    <w:rFonts w:ascii="Segoe UI Symbol" w:eastAsia="MS Gothic" w:hAnsi="Segoe UI Symbol" w:cs="Segoe UI Symbol"/>
                    <w:lang w:val="en-GB"/>
                  </w:rPr>
                  <w:t>☐</w:t>
                </w:r>
              </w:p>
            </w:tc>
          </w:sdtContent>
        </w:sdt>
        <w:tc>
          <w:tcPr>
            <w:tcW w:w="665" w:type="dxa"/>
          </w:tcPr>
          <w:p w14:paraId="7354246B" w14:textId="77777777" w:rsidR="00135748" w:rsidRPr="00BB28A0" w:rsidRDefault="00135748" w:rsidP="001F5A4D">
            <w:pPr>
              <w:jc w:val="both"/>
              <w:rPr>
                <w:rFonts w:ascii="Times New Roman" w:hAnsi="Times New Roman" w:cs="Times New Roman"/>
                <w:lang w:val="en-GB"/>
              </w:rPr>
            </w:pPr>
            <w:r w:rsidRPr="00BB28A0">
              <w:rPr>
                <w:rFonts w:ascii="Times New Roman" w:hAnsi="Times New Roman" w:cs="Times New Roman"/>
                <w:lang w:val="en-GB"/>
              </w:rPr>
              <w:t>No</w:t>
            </w:r>
          </w:p>
        </w:tc>
      </w:tr>
    </w:tbl>
    <w:p w14:paraId="4C5C8AA6" w14:textId="77777777" w:rsidR="00135748" w:rsidRPr="00BB28A0" w:rsidRDefault="00135748" w:rsidP="00135748">
      <w:pPr>
        <w:jc w:val="both"/>
        <w:rPr>
          <w:rFonts w:ascii="Times New Roman" w:hAnsi="Times New Roman" w:cs="Times New Roman"/>
          <w:lang w:val="en-GB"/>
        </w:rPr>
      </w:pPr>
      <w:r w:rsidRPr="00BB28A0">
        <w:rPr>
          <w:rFonts w:ascii="Times New Roman" w:hAnsi="Times New Roman" w:cs="Times New Roman"/>
          <w:lang w:val="en-GB"/>
        </w:rPr>
        <w:t xml:space="preserve">If yes, please specify the details: </w:t>
      </w:r>
    </w:p>
    <w:tbl>
      <w:tblPr>
        <w:tblStyle w:val="TableGrid"/>
        <w:tblW w:w="0" w:type="auto"/>
        <w:tblLook w:val="04A0" w:firstRow="1" w:lastRow="0" w:firstColumn="1" w:lastColumn="0" w:noHBand="0" w:noVBand="1"/>
      </w:tblPr>
      <w:tblGrid>
        <w:gridCol w:w="3599"/>
        <w:gridCol w:w="3135"/>
        <w:gridCol w:w="2277"/>
      </w:tblGrid>
      <w:tr w:rsidR="00135748" w:rsidRPr="00BB28A0" w14:paraId="24852690" w14:textId="77777777" w:rsidTr="00135748">
        <w:tc>
          <w:tcPr>
            <w:tcW w:w="3599" w:type="dxa"/>
          </w:tcPr>
          <w:p w14:paraId="5119C092" w14:textId="77777777" w:rsidR="00135748" w:rsidRPr="00BB28A0" w:rsidRDefault="00135748" w:rsidP="001F5A4D">
            <w:pPr>
              <w:jc w:val="both"/>
              <w:rPr>
                <w:rFonts w:ascii="Times New Roman" w:hAnsi="Times New Roman" w:cs="Times New Roman"/>
                <w:lang w:val="en-GB"/>
              </w:rPr>
            </w:pPr>
            <w:r w:rsidRPr="00BB28A0">
              <w:rPr>
                <w:rFonts w:ascii="Times New Roman" w:hAnsi="Times New Roman" w:cs="Times New Roman"/>
                <w:lang w:val="en-GB"/>
              </w:rPr>
              <w:t>The name of larger RI:</w:t>
            </w:r>
          </w:p>
          <w:p w14:paraId="153FF253" w14:textId="392810D0" w:rsidR="00EE05A9" w:rsidRPr="00BB28A0" w:rsidRDefault="00EE05A9" w:rsidP="001F5A4D">
            <w:pPr>
              <w:jc w:val="both"/>
              <w:rPr>
                <w:rFonts w:ascii="Times New Roman" w:hAnsi="Times New Roman" w:cs="Times New Roman"/>
                <w:lang w:val="en-GB"/>
              </w:rPr>
            </w:pPr>
          </w:p>
        </w:tc>
        <w:tc>
          <w:tcPr>
            <w:tcW w:w="5412" w:type="dxa"/>
            <w:gridSpan w:val="2"/>
          </w:tcPr>
          <w:p w14:paraId="514022D5" w14:textId="77777777" w:rsidR="00135748" w:rsidRPr="00BB28A0" w:rsidRDefault="00135748" w:rsidP="001F5A4D">
            <w:pPr>
              <w:jc w:val="both"/>
              <w:rPr>
                <w:rFonts w:ascii="Times New Roman" w:hAnsi="Times New Roman" w:cs="Times New Roman"/>
                <w:lang w:val="en-GB"/>
              </w:rPr>
            </w:pPr>
          </w:p>
        </w:tc>
      </w:tr>
      <w:tr w:rsidR="00135748" w:rsidRPr="00BB28A0" w14:paraId="4D24C594" w14:textId="77777777" w:rsidTr="00135748">
        <w:tc>
          <w:tcPr>
            <w:tcW w:w="3599" w:type="dxa"/>
          </w:tcPr>
          <w:p w14:paraId="5D46880D" w14:textId="77777777" w:rsidR="00135748" w:rsidRPr="00BB28A0" w:rsidRDefault="00135748" w:rsidP="001F5A4D">
            <w:pPr>
              <w:jc w:val="both"/>
              <w:rPr>
                <w:rFonts w:ascii="Times New Roman" w:hAnsi="Times New Roman" w:cs="Times New Roman"/>
                <w:lang w:val="en-GB"/>
              </w:rPr>
            </w:pPr>
            <w:r w:rsidRPr="00BB28A0">
              <w:rPr>
                <w:rFonts w:ascii="Times New Roman" w:hAnsi="Times New Roman" w:cs="Times New Roman"/>
                <w:lang w:val="en-GB"/>
              </w:rPr>
              <w:t>Membership conditions:</w:t>
            </w:r>
          </w:p>
          <w:p w14:paraId="23252C58" w14:textId="64D1BCD8" w:rsidR="00EE05A9" w:rsidRPr="00BB28A0" w:rsidRDefault="00EE05A9" w:rsidP="001F5A4D">
            <w:pPr>
              <w:jc w:val="both"/>
              <w:rPr>
                <w:rFonts w:ascii="Times New Roman" w:hAnsi="Times New Roman" w:cs="Times New Roman"/>
                <w:lang w:val="en-GB"/>
              </w:rPr>
            </w:pPr>
          </w:p>
        </w:tc>
        <w:tc>
          <w:tcPr>
            <w:tcW w:w="3135" w:type="dxa"/>
          </w:tcPr>
          <w:p w14:paraId="6422F120" w14:textId="77777777" w:rsidR="00135748" w:rsidRPr="00BB28A0" w:rsidRDefault="0007039C" w:rsidP="001F5A4D">
            <w:pPr>
              <w:jc w:val="both"/>
              <w:rPr>
                <w:rFonts w:ascii="Times New Roman" w:hAnsi="Times New Roman" w:cs="Times New Roman"/>
                <w:lang w:val="en-GB"/>
              </w:rPr>
            </w:pPr>
            <w:sdt>
              <w:sdtPr>
                <w:rPr>
                  <w:rFonts w:ascii="Times New Roman" w:hAnsi="Times New Roman" w:cs="Times New Roman"/>
                  <w:lang w:val="en-GB"/>
                </w:rPr>
                <w:id w:val="-964123291"/>
                <w14:checkbox>
                  <w14:checked w14:val="0"/>
                  <w14:checkedState w14:val="2612" w14:font="MS Gothic"/>
                  <w14:uncheckedState w14:val="2610" w14:font="MS Gothic"/>
                </w14:checkbox>
              </w:sdtPr>
              <w:sdtEndPr/>
              <w:sdtContent>
                <w:r w:rsidR="00135748" w:rsidRPr="00BB28A0">
                  <w:rPr>
                    <w:rFonts w:ascii="Segoe UI Symbol" w:eastAsia="MS Gothic" w:hAnsi="Segoe UI Symbol" w:cs="Segoe UI Symbol"/>
                    <w:lang w:val="en-GB"/>
                  </w:rPr>
                  <w:t>☐</w:t>
                </w:r>
              </w:sdtContent>
            </w:sdt>
            <w:r w:rsidR="00135748" w:rsidRPr="00BB28A0">
              <w:rPr>
                <w:rFonts w:ascii="Times New Roman" w:hAnsi="Times New Roman" w:cs="Times New Roman"/>
                <w:lang w:val="en-GB"/>
              </w:rPr>
              <w:t>Active</w:t>
            </w:r>
          </w:p>
        </w:tc>
        <w:tc>
          <w:tcPr>
            <w:tcW w:w="2277" w:type="dxa"/>
          </w:tcPr>
          <w:p w14:paraId="2B894B91" w14:textId="77777777" w:rsidR="00135748" w:rsidRPr="00BB28A0" w:rsidRDefault="0007039C" w:rsidP="001F5A4D">
            <w:pPr>
              <w:jc w:val="both"/>
              <w:rPr>
                <w:rFonts w:ascii="Times New Roman" w:hAnsi="Times New Roman" w:cs="Times New Roman"/>
                <w:lang w:val="en-GB"/>
              </w:rPr>
            </w:pPr>
            <w:sdt>
              <w:sdtPr>
                <w:rPr>
                  <w:rFonts w:ascii="Times New Roman" w:hAnsi="Times New Roman" w:cs="Times New Roman"/>
                  <w:lang w:val="en-GB"/>
                </w:rPr>
                <w:id w:val="-2069332340"/>
                <w14:checkbox>
                  <w14:checked w14:val="0"/>
                  <w14:checkedState w14:val="2612" w14:font="MS Gothic"/>
                  <w14:uncheckedState w14:val="2610" w14:font="MS Gothic"/>
                </w14:checkbox>
              </w:sdtPr>
              <w:sdtEndPr/>
              <w:sdtContent>
                <w:r w:rsidR="00135748" w:rsidRPr="00BB28A0">
                  <w:rPr>
                    <w:rFonts w:ascii="Segoe UI Symbol" w:eastAsia="MS Gothic" w:hAnsi="Segoe UI Symbol" w:cs="Segoe UI Symbol"/>
                    <w:lang w:val="en-GB"/>
                  </w:rPr>
                  <w:t>☐</w:t>
                </w:r>
              </w:sdtContent>
            </w:sdt>
            <w:r w:rsidR="00135748" w:rsidRPr="00BB28A0">
              <w:rPr>
                <w:rFonts w:ascii="Times New Roman" w:hAnsi="Times New Roman" w:cs="Times New Roman"/>
                <w:lang w:val="en-GB"/>
              </w:rPr>
              <w:t>Joined</w:t>
            </w:r>
          </w:p>
        </w:tc>
      </w:tr>
      <w:tr w:rsidR="00135748" w:rsidRPr="00BB28A0" w14:paraId="3D7E3777" w14:textId="77777777" w:rsidTr="00135748">
        <w:tc>
          <w:tcPr>
            <w:tcW w:w="3599" w:type="dxa"/>
          </w:tcPr>
          <w:p w14:paraId="794FF084" w14:textId="77777777" w:rsidR="00135748" w:rsidRPr="00BB28A0" w:rsidRDefault="00135748" w:rsidP="00EE05A9">
            <w:pPr>
              <w:jc w:val="both"/>
              <w:rPr>
                <w:rFonts w:ascii="Times New Roman" w:hAnsi="Times New Roman" w:cs="Times New Roman"/>
                <w:lang w:val="en-GB"/>
              </w:rPr>
            </w:pPr>
            <w:r w:rsidRPr="00BB28A0">
              <w:rPr>
                <w:rFonts w:ascii="Times New Roman" w:hAnsi="Times New Roman" w:cs="Times New Roman"/>
                <w:lang w:val="en-GB"/>
              </w:rPr>
              <w:t>Membership fee, who finances it</w:t>
            </w:r>
            <w:r w:rsidR="00EE05A9" w:rsidRPr="00BB28A0">
              <w:rPr>
                <w:rFonts w:ascii="Times New Roman" w:hAnsi="Times New Roman" w:cs="Times New Roman"/>
                <w:lang w:val="en-GB"/>
              </w:rPr>
              <w:t>:</w:t>
            </w:r>
          </w:p>
          <w:p w14:paraId="16BC98AF" w14:textId="45A580ED" w:rsidR="00EE05A9" w:rsidRPr="00BB28A0" w:rsidRDefault="00EE05A9" w:rsidP="00EE05A9">
            <w:pPr>
              <w:jc w:val="both"/>
              <w:rPr>
                <w:rFonts w:ascii="Times New Roman" w:hAnsi="Times New Roman" w:cs="Times New Roman"/>
                <w:lang w:val="en-GB"/>
              </w:rPr>
            </w:pPr>
          </w:p>
        </w:tc>
        <w:tc>
          <w:tcPr>
            <w:tcW w:w="5412" w:type="dxa"/>
            <w:gridSpan w:val="2"/>
          </w:tcPr>
          <w:p w14:paraId="5C3A23DA" w14:textId="77777777" w:rsidR="00135748" w:rsidRPr="00BB28A0" w:rsidRDefault="00135748" w:rsidP="001F5A4D">
            <w:pPr>
              <w:jc w:val="both"/>
              <w:rPr>
                <w:rFonts w:ascii="Times New Roman" w:hAnsi="Times New Roman" w:cs="Times New Roman"/>
                <w:lang w:val="en-GB"/>
              </w:rPr>
            </w:pPr>
          </w:p>
        </w:tc>
      </w:tr>
      <w:tr w:rsidR="00135748" w:rsidRPr="00BB28A0" w14:paraId="46C75368" w14:textId="77777777" w:rsidTr="00135748">
        <w:tc>
          <w:tcPr>
            <w:tcW w:w="3599" w:type="dxa"/>
          </w:tcPr>
          <w:p w14:paraId="41F775D3" w14:textId="77777777" w:rsidR="00135748" w:rsidRPr="00BB28A0" w:rsidRDefault="00135748" w:rsidP="001F5A4D">
            <w:pPr>
              <w:jc w:val="both"/>
              <w:rPr>
                <w:rFonts w:ascii="Times New Roman" w:hAnsi="Times New Roman" w:cs="Times New Roman"/>
                <w:lang w:val="en-GB"/>
              </w:rPr>
            </w:pPr>
            <w:r w:rsidRPr="00BB28A0">
              <w:rPr>
                <w:rFonts w:ascii="Times New Roman" w:hAnsi="Times New Roman" w:cs="Times New Roman"/>
                <w:lang w:val="en-GB"/>
              </w:rPr>
              <w:t>Additional information:</w:t>
            </w:r>
          </w:p>
          <w:p w14:paraId="2E229ED5" w14:textId="7E6D4B87" w:rsidR="00EE05A9" w:rsidRPr="00BB28A0" w:rsidRDefault="00EE05A9" w:rsidP="001F5A4D">
            <w:pPr>
              <w:jc w:val="both"/>
              <w:rPr>
                <w:rFonts w:ascii="Times New Roman" w:hAnsi="Times New Roman" w:cs="Times New Roman"/>
                <w:lang w:val="en-GB"/>
              </w:rPr>
            </w:pPr>
          </w:p>
        </w:tc>
        <w:tc>
          <w:tcPr>
            <w:tcW w:w="5412" w:type="dxa"/>
            <w:gridSpan w:val="2"/>
          </w:tcPr>
          <w:p w14:paraId="0134199D" w14:textId="77777777" w:rsidR="00135748" w:rsidRPr="00BB28A0" w:rsidRDefault="00135748" w:rsidP="001F5A4D">
            <w:pPr>
              <w:jc w:val="both"/>
              <w:rPr>
                <w:rFonts w:ascii="Times New Roman" w:hAnsi="Times New Roman" w:cs="Times New Roman"/>
                <w:lang w:val="en-GB"/>
              </w:rPr>
            </w:pPr>
          </w:p>
        </w:tc>
      </w:tr>
    </w:tbl>
    <w:p w14:paraId="71B8D9B3" w14:textId="77777777" w:rsidR="00135748" w:rsidRPr="00BB28A0" w:rsidRDefault="00135748" w:rsidP="00135748">
      <w:pPr>
        <w:rPr>
          <w:rFonts w:ascii="Times New Roman" w:eastAsia="Calibri" w:hAnsi="Times New Roman" w:cs="Times New Roman"/>
          <w:lang w:val="en-GB"/>
        </w:rPr>
      </w:pPr>
      <w:r w:rsidRPr="00BB28A0">
        <w:rPr>
          <w:rFonts w:ascii="Times New Roman" w:eastAsia="Calibri" w:hAnsi="Times New Roman" w:cs="Times New Roman"/>
          <w:lang w:val="en-GB"/>
        </w:rPr>
        <w:t>Please add new rows if necessary.</w:t>
      </w:r>
    </w:p>
    <w:p w14:paraId="013128E8" w14:textId="77777777" w:rsidR="00EE05A9" w:rsidRPr="00BB28A0" w:rsidRDefault="00EE05A9" w:rsidP="00135748">
      <w:pPr>
        <w:rPr>
          <w:rFonts w:ascii="Times New Roman" w:hAnsi="Times New Roman" w:cs="Times New Roman"/>
          <w:b/>
          <w:lang w:val="en-GB"/>
        </w:rPr>
      </w:pPr>
    </w:p>
    <w:p w14:paraId="56103F82" w14:textId="64CC0037" w:rsidR="00135748" w:rsidRPr="00BB28A0" w:rsidRDefault="00135748" w:rsidP="00135748">
      <w:pPr>
        <w:rPr>
          <w:rFonts w:ascii="Times New Roman" w:hAnsi="Times New Roman" w:cs="Times New Roman"/>
          <w:b/>
          <w:lang w:val="en-GB"/>
        </w:rPr>
      </w:pPr>
      <w:r w:rsidRPr="00BB28A0">
        <w:rPr>
          <w:rFonts w:ascii="Times New Roman" w:hAnsi="Times New Roman" w:cs="Times New Roman"/>
          <w:b/>
          <w:lang w:val="en-GB"/>
        </w:rPr>
        <w:t>3.3. Engagement in projects related to research infrastructure development</w:t>
      </w:r>
    </w:p>
    <w:p w14:paraId="2282A71B" w14:textId="77777777" w:rsidR="00135748" w:rsidRPr="00BB28A0" w:rsidRDefault="00135748" w:rsidP="00135748">
      <w:pPr>
        <w:rPr>
          <w:rFonts w:ascii="Times New Roman" w:hAnsi="Times New Roman" w:cs="Times New Roman"/>
          <w:lang w:val="en-GB"/>
        </w:rPr>
      </w:pPr>
      <w:r w:rsidRPr="00BB28A0">
        <w:rPr>
          <w:rFonts w:ascii="Times New Roman" w:hAnsi="Times New Roman" w:cs="Times New Roman"/>
          <w:lang w:val="en-GB"/>
        </w:rPr>
        <w:t xml:space="preserve">Have you been engaged in a project aiming at the development of research infrastructure?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665"/>
      </w:tblGrid>
      <w:tr w:rsidR="00135748" w:rsidRPr="00BB28A0" w14:paraId="691C8355" w14:textId="77777777" w:rsidTr="001F5A4D">
        <w:sdt>
          <w:sdtPr>
            <w:rPr>
              <w:rFonts w:ascii="Times New Roman" w:hAnsi="Times New Roman" w:cs="Times New Roman"/>
              <w:lang w:val="en-GB"/>
            </w:rPr>
            <w:id w:val="-293145558"/>
            <w14:checkbox>
              <w14:checked w14:val="0"/>
              <w14:checkedState w14:val="2612" w14:font="MS Gothic"/>
              <w14:uncheckedState w14:val="2610" w14:font="MS Gothic"/>
            </w14:checkbox>
          </w:sdtPr>
          <w:sdtEndPr/>
          <w:sdtContent>
            <w:tc>
              <w:tcPr>
                <w:tcW w:w="436" w:type="dxa"/>
              </w:tcPr>
              <w:p w14:paraId="09518C75" w14:textId="77777777" w:rsidR="00135748" w:rsidRPr="00BB28A0" w:rsidRDefault="00135748" w:rsidP="001F5A4D">
                <w:pPr>
                  <w:jc w:val="both"/>
                  <w:rPr>
                    <w:rFonts w:ascii="Times New Roman" w:hAnsi="Times New Roman" w:cs="Times New Roman"/>
                    <w:lang w:val="en-GB"/>
                  </w:rPr>
                </w:pPr>
                <w:r w:rsidRPr="00BB28A0">
                  <w:rPr>
                    <w:rFonts w:ascii="Segoe UI Symbol" w:eastAsia="MS Gothic" w:hAnsi="Segoe UI Symbol" w:cs="Segoe UI Symbol"/>
                    <w:lang w:val="en-GB"/>
                  </w:rPr>
                  <w:t>☐</w:t>
                </w:r>
              </w:p>
            </w:tc>
          </w:sdtContent>
        </w:sdt>
        <w:tc>
          <w:tcPr>
            <w:tcW w:w="665" w:type="dxa"/>
          </w:tcPr>
          <w:p w14:paraId="18860939" w14:textId="77777777" w:rsidR="00135748" w:rsidRPr="00BB28A0" w:rsidRDefault="00135748" w:rsidP="001F5A4D">
            <w:pPr>
              <w:jc w:val="both"/>
              <w:rPr>
                <w:rFonts w:ascii="Times New Roman" w:hAnsi="Times New Roman" w:cs="Times New Roman"/>
                <w:lang w:val="en-GB"/>
              </w:rPr>
            </w:pPr>
            <w:r w:rsidRPr="00BB28A0">
              <w:rPr>
                <w:rFonts w:ascii="Times New Roman" w:hAnsi="Times New Roman" w:cs="Times New Roman"/>
                <w:lang w:val="en-GB"/>
              </w:rPr>
              <w:t>Yes</w:t>
            </w:r>
          </w:p>
        </w:tc>
      </w:tr>
      <w:tr w:rsidR="00135748" w:rsidRPr="00BB28A0" w14:paraId="048E23ED" w14:textId="77777777" w:rsidTr="001F5A4D">
        <w:sdt>
          <w:sdtPr>
            <w:rPr>
              <w:rFonts w:ascii="Times New Roman" w:hAnsi="Times New Roman" w:cs="Times New Roman"/>
              <w:lang w:val="en-GB"/>
            </w:rPr>
            <w:id w:val="1743529159"/>
            <w14:checkbox>
              <w14:checked w14:val="0"/>
              <w14:checkedState w14:val="2612" w14:font="MS Gothic"/>
              <w14:uncheckedState w14:val="2610" w14:font="MS Gothic"/>
            </w14:checkbox>
          </w:sdtPr>
          <w:sdtEndPr/>
          <w:sdtContent>
            <w:tc>
              <w:tcPr>
                <w:tcW w:w="436" w:type="dxa"/>
              </w:tcPr>
              <w:p w14:paraId="05E7337E" w14:textId="77777777" w:rsidR="00135748" w:rsidRPr="00BB28A0" w:rsidRDefault="00135748" w:rsidP="001F5A4D">
                <w:pPr>
                  <w:jc w:val="both"/>
                  <w:rPr>
                    <w:rFonts w:ascii="Times New Roman" w:hAnsi="Times New Roman" w:cs="Times New Roman"/>
                    <w:lang w:val="en-GB"/>
                  </w:rPr>
                </w:pPr>
                <w:r w:rsidRPr="00BB28A0">
                  <w:rPr>
                    <w:rFonts w:ascii="Segoe UI Symbol" w:eastAsia="MS Gothic" w:hAnsi="Segoe UI Symbol" w:cs="Segoe UI Symbol"/>
                    <w:lang w:val="en-GB"/>
                  </w:rPr>
                  <w:t>☐</w:t>
                </w:r>
              </w:p>
            </w:tc>
          </w:sdtContent>
        </w:sdt>
        <w:tc>
          <w:tcPr>
            <w:tcW w:w="665" w:type="dxa"/>
          </w:tcPr>
          <w:p w14:paraId="11AF1390" w14:textId="77777777" w:rsidR="00135748" w:rsidRPr="00BB28A0" w:rsidRDefault="00135748" w:rsidP="001F5A4D">
            <w:pPr>
              <w:jc w:val="both"/>
              <w:rPr>
                <w:rFonts w:ascii="Times New Roman" w:hAnsi="Times New Roman" w:cs="Times New Roman"/>
                <w:lang w:val="en-GB"/>
              </w:rPr>
            </w:pPr>
            <w:r w:rsidRPr="00BB28A0">
              <w:rPr>
                <w:rFonts w:ascii="Times New Roman" w:hAnsi="Times New Roman" w:cs="Times New Roman"/>
                <w:lang w:val="en-GB"/>
              </w:rPr>
              <w:t>No</w:t>
            </w:r>
          </w:p>
        </w:tc>
      </w:tr>
    </w:tbl>
    <w:p w14:paraId="5C04FFCE" w14:textId="77777777" w:rsidR="00135748" w:rsidRPr="00BB28A0" w:rsidRDefault="00135748" w:rsidP="00135748">
      <w:pPr>
        <w:rPr>
          <w:rFonts w:ascii="Times New Roman" w:hAnsi="Times New Roman" w:cs="Times New Roman"/>
          <w:lang w:val="en-GB"/>
        </w:rPr>
      </w:pPr>
      <w:r w:rsidRPr="00BB28A0">
        <w:rPr>
          <w:rFonts w:ascii="Times New Roman" w:hAnsi="Times New Roman" w:cs="Times New Roman"/>
          <w:lang w:val="en-GB"/>
        </w:rPr>
        <w:t xml:space="preserve">If yes, please specify the details: </w:t>
      </w:r>
    </w:p>
    <w:tbl>
      <w:tblPr>
        <w:tblStyle w:val="TableGrid"/>
        <w:tblW w:w="0" w:type="auto"/>
        <w:tblLook w:val="04A0" w:firstRow="1" w:lastRow="0" w:firstColumn="1" w:lastColumn="0" w:noHBand="0" w:noVBand="1"/>
      </w:tblPr>
      <w:tblGrid>
        <w:gridCol w:w="3908"/>
        <w:gridCol w:w="5103"/>
      </w:tblGrid>
      <w:tr w:rsidR="00135748" w:rsidRPr="00BB28A0" w14:paraId="7A61CB1B" w14:textId="77777777" w:rsidTr="001F5A4D">
        <w:tc>
          <w:tcPr>
            <w:tcW w:w="4219" w:type="dxa"/>
          </w:tcPr>
          <w:p w14:paraId="6CC935D3" w14:textId="77777777" w:rsidR="00135748" w:rsidRPr="00BB28A0" w:rsidRDefault="00135748" w:rsidP="001F5A4D">
            <w:pPr>
              <w:rPr>
                <w:rFonts w:ascii="Times New Roman" w:hAnsi="Times New Roman" w:cs="Times New Roman"/>
                <w:lang w:val="en-GB"/>
              </w:rPr>
            </w:pPr>
            <w:r w:rsidRPr="00BB28A0">
              <w:rPr>
                <w:rFonts w:ascii="Times New Roman" w:hAnsi="Times New Roman" w:cs="Times New Roman"/>
                <w:lang w:val="en-GB"/>
              </w:rPr>
              <w:t>Title of the project:</w:t>
            </w:r>
          </w:p>
          <w:p w14:paraId="46D67154" w14:textId="136A36E9" w:rsidR="00EE05A9" w:rsidRPr="00BB28A0" w:rsidRDefault="00EE05A9" w:rsidP="001F5A4D">
            <w:pPr>
              <w:rPr>
                <w:rFonts w:ascii="Times New Roman" w:hAnsi="Times New Roman" w:cs="Times New Roman"/>
                <w:lang w:val="en-GB"/>
              </w:rPr>
            </w:pPr>
          </w:p>
        </w:tc>
        <w:tc>
          <w:tcPr>
            <w:tcW w:w="5635" w:type="dxa"/>
          </w:tcPr>
          <w:p w14:paraId="2BC68825" w14:textId="77777777" w:rsidR="00135748" w:rsidRPr="00BB28A0" w:rsidRDefault="00135748" w:rsidP="001F5A4D">
            <w:pPr>
              <w:rPr>
                <w:rFonts w:ascii="Times New Roman" w:hAnsi="Times New Roman" w:cs="Times New Roman"/>
                <w:lang w:val="en-GB"/>
              </w:rPr>
            </w:pPr>
          </w:p>
        </w:tc>
      </w:tr>
      <w:tr w:rsidR="00135748" w:rsidRPr="00BB28A0" w14:paraId="552C47FF" w14:textId="77777777" w:rsidTr="001F5A4D">
        <w:tc>
          <w:tcPr>
            <w:tcW w:w="4219" w:type="dxa"/>
          </w:tcPr>
          <w:p w14:paraId="1FDF02E3" w14:textId="77777777" w:rsidR="00135748" w:rsidRPr="00BB28A0" w:rsidRDefault="00135748" w:rsidP="001F5A4D">
            <w:pPr>
              <w:rPr>
                <w:rFonts w:ascii="Times New Roman" w:hAnsi="Times New Roman" w:cs="Times New Roman"/>
                <w:lang w:val="en-GB"/>
              </w:rPr>
            </w:pPr>
            <w:r w:rsidRPr="00BB28A0">
              <w:rPr>
                <w:rFonts w:ascii="Times New Roman" w:hAnsi="Times New Roman" w:cs="Times New Roman"/>
                <w:lang w:val="en-GB"/>
              </w:rPr>
              <w:t>Time duration:</w:t>
            </w:r>
          </w:p>
          <w:p w14:paraId="14B9B895" w14:textId="2B3EB629" w:rsidR="00EE05A9" w:rsidRPr="00BB28A0" w:rsidRDefault="00EE05A9" w:rsidP="001F5A4D">
            <w:pPr>
              <w:rPr>
                <w:rFonts w:ascii="Times New Roman" w:hAnsi="Times New Roman" w:cs="Times New Roman"/>
                <w:lang w:val="en-GB"/>
              </w:rPr>
            </w:pPr>
          </w:p>
        </w:tc>
        <w:tc>
          <w:tcPr>
            <w:tcW w:w="5635" w:type="dxa"/>
          </w:tcPr>
          <w:p w14:paraId="33EAE3A7" w14:textId="77777777" w:rsidR="00135748" w:rsidRPr="00BB28A0" w:rsidRDefault="00135748" w:rsidP="001F5A4D">
            <w:pPr>
              <w:rPr>
                <w:rFonts w:ascii="Times New Roman" w:hAnsi="Times New Roman" w:cs="Times New Roman"/>
                <w:lang w:val="en-GB"/>
              </w:rPr>
            </w:pPr>
          </w:p>
        </w:tc>
      </w:tr>
      <w:tr w:rsidR="00135748" w:rsidRPr="00BB28A0" w14:paraId="31D9A72B" w14:textId="77777777" w:rsidTr="001F5A4D">
        <w:tc>
          <w:tcPr>
            <w:tcW w:w="4219" w:type="dxa"/>
          </w:tcPr>
          <w:p w14:paraId="78B9FA55" w14:textId="77777777" w:rsidR="00135748" w:rsidRPr="00BB28A0" w:rsidRDefault="00135748" w:rsidP="001F5A4D">
            <w:pPr>
              <w:rPr>
                <w:rFonts w:ascii="Times New Roman" w:hAnsi="Times New Roman" w:cs="Times New Roman"/>
                <w:lang w:val="en-GB"/>
              </w:rPr>
            </w:pPr>
            <w:r w:rsidRPr="00BB28A0">
              <w:rPr>
                <w:rFonts w:ascii="Times New Roman" w:hAnsi="Times New Roman" w:cs="Times New Roman"/>
                <w:lang w:val="en-GB"/>
              </w:rPr>
              <w:t>Link to web address:</w:t>
            </w:r>
          </w:p>
          <w:p w14:paraId="1ED2E2AC" w14:textId="056116F2" w:rsidR="00EE05A9" w:rsidRPr="00BB28A0" w:rsidRDefault="00EE05A9" w:rsidP="001F5A4D">
            <w:pPr>
              <w:rPr>
                <w:rFonts w:ascii="Times New Roman" w:hAnsi="Times New Roman" w:cs="Times New Roman"/>
                <w:lang w:val="en-GB"/>
              </w:rPr>
            </w:pPr>
          </w:p>
        </w:tc>
        <w:tc>
          <w:tcPr>
            <w:tcW w:w="5635" w:type="dxa"/>
          </w:tcPr>
          <w:p w14:paraId="1B4E9C94" w14:textId="77777777" w:rsidR="00135748" w:rsidRPr="00BB28A0" w:rsidRDefault="00135748" w:rsidP="001F5A4D">
            <w:pPr>
              <w:rPr>
                <w:rFonts w:ascii="Times New Roman" w:hAnsi="Times New Roman" w:cs="Times New Roman"/>
                <w:lang w:val="en-GB"/>
              </w:rPr>
            </w:pPr>
          </w:p>
        </w:tc>
      </w:tr>
      <w:tr w:rsidR="00135748" w:rsidRPr="00BB28A0" w14:paraId="0D3A40E0" w14:textId="77777777" w:rsidTr="001F5A4D">
        <w:tc>
          <w:tcPr>
            <w:tcW w:w="4219" w:type="dxa"/>
          </w:tcPr>
          <w:p w14:paraId="429F7CE5" w14:textId="2B331921" w:rsidR="00135748" w:rsidRPr="00BB28A0" w:rsidRDefault="00135748" w:rsidP="001F5A4D">
            <w:pPr>
              <w:rPr>
                <w:rFonts w:ascii="Times New Roman" w:hAnsi="Times New Roman" w:cs="Times New Roman"/>
                <w:lang w:val="en-GB"/>
              </w:rPr>
            </w:pPr>
            <w:r w:rsidRPr="00BB28A0">
              <w:rPr>
                <w:rFonts w:ascii="Times New Roman" w:hAnsi="Times New Roman" w:cs="Times New Roman"/>
                <w:lang w:val="en-GB"/>
              </w:rPr>
              <w:t>Provider of financial resources for the project:</w:t>
            </w:r>
          </w:p>
        </w:tc>
        <w:tc>
          <w:tcPr>
            <w:tcW w:w="5635" w:type="dxa"/>
          </w:tcPr>
          <w:p w14:paraId="7B873647" w14:textId="77777777" w:rsidR="00135748" w:rsidRPr="00BB28A0" w:rsidRDefault="00135748" w:rsidP="001F5A4D">
            <w:pPr>
              <w:rPr>
                <w:rFonts w:ascii="Times New Roman" w:hAnsi="Times New Roman" w:cs="Times New Roman"/>
                <w:lang w:val="en-GB"/>
              </w:rPr>
            </w:pPr>
          </w:p>
        </w:tc>
      </w:tr>
    </w:tbl>
    <w:p w14:paraId="05EEE874" w14:textId="77777777" w:rsidR="00135748" w:rsidRPr="00BB28A0" w:rsidRDefault="00135748" w:rsidP="00135748">
      <w:pPr>
        <w:rPr>
          <w:rFonts w:ascii="Times New Roman" w:eastAsia="Calibri" w:hAnsi="Times New Roman" w:cs="Times New Roman"/>
          <w:lang w:val="en-GB"/>
        </w:rPr>
      </w:pPr>
      <w:r w:rsidRPr="00BB28A0">
        <w:rPr>
          <w:rFonts w:ascii="Times New Roman" w:eastAsia="Calibri" w:hAnsi="Times New Roman" w:cs="Times New Roman"/>
          <w:lang w:val="en-GB"/>
        </w:rPr>
        <w:t>Please add new rows if necessary.</w:t>
      </w:r>
    </w:p>
    <w:p w14:paraId="37658C82" w14:textId="77777777" w:rsidR="00EE05A9" w:rsidRPr="00BB28A0" w:rsidRDefault="00EE05A9" w:rsidP="006B1DF2">
      <w:pPr>
        <w:rPr>
          <w:rFonts w:ascii="Times New Roman" w:hAnsi="Times New Roman" w:cs="Times New Roman"/>
          <w:b/>
          <w:lang w:val="en-GB"/>
        </w:rPr>
      </w:pPr>
    </w:p>
    <w:p w14:paraId="2423011E" w14:textId="7B103245" w:rsidR="006B1DF2" w:rsidRPr="00BB28A0" w:rsidRDefault="006B1DF2" w:rsidP="006B1DF2">
      <w:pPr>
        <w:rPr>
          <w:rFonts w:ascii="Times New Roman" w:hAnsi="Times New Roman" w:cs="Times New Roman"/>
          <w:b/>
          <w:lang w:val="en-GB"/>
        </w:rPr>
      </w:pPr>
      <w:r w:rsidRPr="00BB28A0">
        <w:rPr>
          <w:rFonts w:ascii="Times New Roman" w:hAnsi="Times New Roman" w:cs="Times New Roman"/>
          <w:b/>
          <w:lang w:val="en-GB"/>
        </w:rPr>
        <w:t xml:space="preserve">3.4. </w:t>
      </w:r>
      <w:r w:rsidR="00135748" w:rsidRPr="00BB28A0">
        <w:rPr>
          <w:rFonts w:ascii="Times New Roman" w:hAnsi="Times New Roman" w:cs="Times New Roman"/>
          <w:b/>
          <w:lang w:val="en-GB"/>
        </w:rPr>
        <w:t xml:space="preserve">Plan for the Future </w:t>
      </w:r>
    </w:p>
    <w:p w14:paraId="110CCE66" w14:textId="77777777" w:rsidR="00135748" w:rsidRPr="00BB28A0" w:rsidRDefault="00135748" w:rsidP="00135748">
      <w:pPr>
        <w:spacing w:after="0"/>
        <w:rPr>
          <w:rFonts w:ascii="Times New Roman" w:eastAsia="Calibri" w:hAnsi="Times New Roman" w:cs="Times New Roman"/>
          <w:lang w:val="en-GB"/>
        </w:rPr>
      </w:pPr>
      <w:r w:rsidRPr="00BB28A0">
        <w:rPr>
          <w:rFonts w:ascii="Times New Roman" w:eastAsia="Calibri" w:hAnsi="Times New Roman" w:cs="Times New Roman"/>
          <w:lang w:val="en-GB"/>
        </w:rPr>
        <w:t xml:space="preserve">Please describe in detail the plan for the next period, at least for 2-5 years: </w:t>
      </w:r>
    </w:p>
    <w:tbl>
      <w:tblPr>
        <w:tblStyle w:val="TableGrid"/>
        <w:tblW w:w="0" w:type="auto"/>
        <w:tblLook w:val="04A0" w:firstRow="1" w:lastRow="0" w:firstColumn="1" w:lastColumn="0" w:noHBand="0" w:noVBand="1"/>
      </w:tblPr>
      <w:tblGrid>
        <w:gridCol w:w="4571"/>
        <w:gridCol w:w="4440"/>
      </w:tblGrid>
      <w:tr w:rsidR="00135748" w:rsidRPr="00BB28A0" w14:paraId="1BCB881D" w14:textId="77777777" w:rsidTr="001F5A4D">
        <w:tc>
          <w:tcPr>
            <w:tcW w:w="4927" w:type="dxa"/>
          </w:tcPr>
          <w:p w14:paraId="3356E437" w14:textId="77777777" w:rsidR="00135748" w:rsidRPr="00BB28A0" w:rsidRDefault="00135748" w:rsidP="001F5A4D">
            <w:pPr>
              <w:rPr>
                <w:rFonts w:ascii="Times New Roman" w:eastAsia="Calibri" w:hAnsi="Times New Roman" w:cs="Times New Roman"/>
                <w:lang w:val="en-GB"/>
              </w:rPr>
            </w:pPr>
            <w:r w:rsidRPr="00BB28A0">
              <w:rPr>
                <w:rFonts w:ascii="Times New Roman" w:eastAsia="Calibri" w:hAnsi="Times New Roman" w:cs="Times New Roman"/>
                <w:lang w:val="en-GB"/>
              </w:rPr>
              <w:t>Future investments in research equipment:</w:t>
            </w:r>
          </w:p>
        </w:tc>
        <w:tc>
          <w:tcPr>
            <w:tcW w:w="4927" w:type="dxa"/>
          </w:tcPr>
          <w:p w14:paraId="277DDE8F" w14:textId="77777777" w:rsidR="00135748" w:rsidRPr="00BB28A0" w:rsidRDefault="00135748" w:rsidP="001F5A4D">
            <w:pPr>
              <w:rPr>
                <w:rFonts w:ascii="Times New Roman" w:eastAsia="Calibri" w:hAnsi="Times New Roman" w:cs="Times New Roman"/>
                <w:lang w:val="en-GB"/>
              </w:rPr>
            </w:pPr>
          </w:p>
          <w:p w14:paraId="22CFDFDB" w14:textId="77777777" w:rsidR="00135748" w:rsidRPr="00BB28A0" w:rsidRDefault="00135748" w:rsidP="001F5A4D">
            <w:pPr>
              <w:rPr>
                <w:rFonts w:ascii="Times New Roman" w:eastAsia="Calibri" w:hAnsi="Times New Roman" w:cs="Times New Roman"/>
                <w:lang w:val="en-GB"/>
              </w:rPr>
            </w:pPr>
          </w:p>
        </w:tc>
      </w:tr>
      <w:tr w:rsidR="00135748" w:rsidRPr="00BB28A0" w14:paraId="197AD46B" w14:textId="77777777" w:rsidTr="001F5A4D">
        <w:tc>
          <w:tcPr>
            <w:tcW w:w="4927" w:type="dxa"/>
          </w:tcPr>
          <w:p w14:paraId="6A3172CF" w14:textId="77777777" w:rsidR="00135748" w:rsidRPr="00BB28A0" w:rsidRDefault="00135748" w:rsidP="001F5A4D">
            <w:pPr>
              <w:rPr>
                <w:rFonts w:ascii="Times New Roman" w:eastAsia="Calibri" w:hAnsi="Times New Roman" w:cs="Times New Roman"/>
                <w:lang w:val="en-GB"/>
              </w:rPr>
            </w:pPr>
            <w:r w:rsidRPr="00BB28A0">
              <w:rPr>
                <w:rFonts w:ascii="Times New Roman" w:eastAsia="Calibri" w:hAnsi="Times New Roman" w:cs="Times New Roman"/>
                <w:lang w:val="en-GB"/>
              </w:rPr>
              <w:t>Is integration into larger research infrastructures considered:</w:t>
            </w:r>
          </w:p>
        </w:tc>
        <w:tc>
          <w:tcPr>
            <w:tcW w:w="4927" w:type="dxa"/>
          </w:tcPr>
          <w:p w14:paraId="060E6AD6" w14:textId="77777777" w:rsidR="00135748" w:rsidRPr="00BB28A0" w:rsidRDefault="00135748" w:rsidP="001F5A4D">
            <w:pPr>
              <w:rPr>
                <w:rFonts w:ascii="Times New Roman" w:eastAsia="Calibri" w:hAnsi="Times New Roman" w:cs="Times New Roman"/>
                <w:lang w:val="en-GB"/>
              </w:rPr>
            </w:pPr>
          </w:p>
          <w:p w14:paraId="72253BFA" w14:textId="77777777" w:rsidR="00135748" w:rsidRPr="00BB28A0" w:rsidRDefault="00135748" w:rsidP="001F5A4D">
            <w:pPr>
              <w:rPr>
                <w:rFonts w:ascii="Times New Roman" w:eastAsia="Calibri" w:hAnsi="Times New Roman" w:cs="Times New Roman"/>
                <w:lang w:val="en-GB"/>
              </w:rPr>
            </w:pPr>
          </w:p>
        </w:tc>
      </w:tr>
      <w:tr w:rsidR="00135748" w:rsidRPr="00BB28A0" w14:paraId="1E50CFE2" w14:textId="77777777" w:rsidTr="001F5A4D">
        <w:tc>
          <w:tcPr>
            <w:tcW w:w="4927" w:type="dxa"/>
          </w:tcPr>
          <w:p w14:paraId="1833C43F" w14:textId="77777777" w:rsidR="00135748" w:rsidRPr="00BB28A0" w:rsidRDefault="00135748" w:rsidP="001F5A4D">
            <w:pPr>
              <w:rPr>
                <w:rFonts w:ascii="Times New Roman" w:eastAsia="Calibri" w:hAnsi="Times New Roman" w:cs="Times New Roman"/>
                <w:lang w:val="en-GB"/>
              </w:rPr>
            </w:pPr>
            <w:r w:rsidRPr="00BB28A0">
              <w:rPr>
                <w:rFonts w:ascii="Times New Roman" w:eastAsia="Calibri" w:hAnsi="Times New Roman" w:cs="Times New Roman"/>
                <w:lang w:val="en-GB"/>
              </w:rPr>
              <w:t>Other relevant information:</w:t>
            </w:r>
          </w:p>
        </w:tc>
        <w:tc>
          <w:tcPr>
            <w:tcW w:w="4927" w:type="dxa"/>
          </w:tcPr>
          <w:p w14:paraId="14FC6148" w14:textId="77777777" w:rsidR="00135748" w:rsidRPr="00BB28A0" w:rsidRDefault="00135748" w:rsidP="001F5A4D">
            <w:pPr>
              <w:rPr>
                <w:rFonts w:ascii="Times New Roman" w:eastAsia="Calibri" w:hAnsi="Times New Roman" w:cs="Times New Roman"/>
                <w:lang w:val="en-GB"/>
              </w:rPr>
            </w:pPr>
          </w:p>
          <w:p w14:paraId="312CCA12" w14:textId="77777777" w:rsidR="00135748" w:rsidRPr="00BB28A0" w:rsidRDefault="00135748" w:rsidP="001F5A4D">
            <w:pPr>
              <w:rPr>
                <w:rFonts w:ascii="Times New Roman" w:eastAsia="Calibri" w:hAnsi="Times New Roman" w:cs="Times New Roman"/>
                <w:lang w:val="en-GB"/>
              </w:rPr>
            </w:pPr>
          </w:p>
        </w:tc>
      </w:tr>
      <w:bookmarkEnd w:id="7"/>
    </w:tbl>
    <w:p w14:paraId="44CF094F" w14:textId="77777777" w:rsidR="006B1DF2" w:rsidRPr="00BB28A0" w:rsidRDefault="006B1DF2" w:rsidP="000C6BB8">
      <w:pPr>
        <w:rPr>
          <w:rFonts w:ascii="Times New Roman" w:hAnsi="Times New Roman" w:cs="Times New Roman"/>
          <w:lang w:val="en-GB"/>
        </w:rPr>
      </w:pPr>
    </w:p>
    <w:sectPr w:rsidR="006B1DF2" w:rsidRPr="00BB28A0" w:rsidSect="00F535D9">
      <w:headerReference w:type="even" r:id="rId14"/>
      <w:headerReference w:type="default" r:id="rId15"/>
      <w:footerReference w:type="even" r:id="rId16"/>
      <w:footerReference w:type="default" r:id="rId17"/>
      <w:pgSz w:w="11901" w:h="16817"/>
      <w:pgMar w:top="851"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6159E5" w14:textId="77777777" w:rsidR="0007039C" w:rsidRDefault="0007039C" w:rsidP="00A7554A">
      <w:pPr>
        <w:spacing w:after="0" w:line="240" w:lineRule="auto"/>
      </w:pPr>
      <w:r>
        <w:separator/>
      </w:r>
    </w:p>
    <w:p w14:paraId="2AC29456" w14:textId="77777777" w:rsidR="0007039C" w:rsidRDefault="0007039C"/>
  </w:endnote>
  <w:endnote w:type="continuationSeparator" w:id="0">
    <w:p w14:paraId="6B931386" w14:textId="77777777" w:rsidR="0007039C" w:rsidRDefault="0007039C" w:rsidP="00A7554A">
      <w:pPr>
        <w:spacing w:after="0" w:line="240" w:lineRule="auto"/>
      </w:pPr>
      <w:r>
        <w:continuationSeparator/>
      </w:r>
    </w:p>
    <w:p w14:paraId="0460E2B6" w14:textId="77777777" w:rsidR="0007039C" w:rsidRDefault="000703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tobiSerif Regular">
    <w:altName w:val="Times New Roman"/>
    <w:panose1 w:val="00000000000000000000"/>
    <w:charset w:val="00"/>
    <w:family w:val="modern"/>
    <w:notTrueType/>
    <w:pitch w:val="variable"/>
    <w:sig w:usb0="A00002AF" w:usb1="5000204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269A1" w14:textId="77777777" w:rsidR="006C2DCA" w:rsidRDefault="006C2DCA">
    <w:pPr>
      <w:pStyle w:val="Footer"/>
    </w:pPr>
  </w:p>
  <w:p w14:paraId="4D985108" w14:textId="77777777" w:rsidR="006C2DCA" w:rsidRDefault="006C2DC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79713" w14:textId="69EF659D" w:rsidR="006C2DCA" w:rsidRDefault="006C2DCA">
    <w:pPr>
      <w:pStyle w:val="Footer"/>
      <w:rPr>
        <w:rFonts w:asciiTheme="majorHAnsi" w:eastAsiaTheme="majorEastAsia" w:hAnsiTheme="majorHAnsi" w:cstheme="majorBidi"/>
        <w:noProof/>
        <w:color w:val="4A66AC" w:themeColor="accent1"/>
        <w:sz w:val="20"/>
        <w:szCs w:val="20"/>
        <w:lang w:val="mk-MK"/>
      </w:rPr>
    </w:pPr>
    <w:r>
      <w:rPr>
        <w:noProof/>
        <w:color w:val="4A66AC" w:themeColor="accent1"/>
      </w:rPr>
      <mc:AlternateContent>
        <mc:Choice Requires="wps">
          <w:drawing>
            <wp:anchor distT="0" distB="0" distL="114300" distR="114300" simplePos="0" relativeHeight="251659264" behindDoc="0" locked="0" layoutInCell="1" allowOverlap="1" wp14:anchorId="076E03BD" wp14:editId="2292295A">
              <wp:simplePos x="0" y="0"/>
              <wp:positionH relativeFrom="page">
                <wp:align>center</wp:align>
              </wp:positionH>
              <wp:positionV relativeFrom="page">
                <wp:align>center</wp:align>
              </wp:positionV>
              <wp:extent cx="7364730" cy="9528810"/>
              <wp:effectExtent l="0" t="0" r="26670" b="26670"/>
              <wp:wrapNone/>
              <wp:docPr id="452" name="Rectangle 247"/>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88355E5" id="Rectangle 247"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0e56c3 [1614]" strokeweight="1.25pt">
              <w10:wrap anchorx="page" anchory="page"/>
            </v:rect>
          </w:pict>
        </mc:Fallback>
      </mc:AlternateContent>
    </w:r>
    <w:r>
      <w:rPr>
        <w:rFonts w:eastAsiaTheme="minorEastAsia"/>
        <w:color w:val="4A66AC" w:themeColor="accent1"/>
        <w:sz w:val="20"/>
        <w:szCs w:val="20"/>
      </w:rPr>
      <w:fldChar w:fldCharType="begin"/>
    </w:r>
    <w:r>
      <w:rPr>
        <w:color w:val="4A66AC" w:themeColor="accent1"/>
        <w:sz w:val="20"/>
        <w:szCs w:val="20"/>
      </w:rPr>
      <w:instrText xml:space="preserve"> PAGE    \* MERGEFORMAT </w:instrText>
    </w:r>
    <w:r>
      <w:rPr>
        <w:rFonts w:eastAsiaTheme="minorEastAsia"/>
        <w:color w:val="4A66AC" w:themeColor="accent1"/>
        <w:sz w:val="20"/>
        <w:szCs w:val="20"/>
      </w:rPr>
      <w:fldChar w:fldCharType="separate"/>
    </w:r>
    <w:r w:rsidR="00923870" w:rsidRPr="00923870">
      <w:rPr>
        <w:rFonts w:asciiTheme="majorHAnsi" w:eastAsiaTheme="majorEastAsia" w:hAnsiTheme="majorHAnsi" w:cstheme="majorBidi"/>
        <w:noProof/>
        <w:color w:val="4A66AC" w:themeColor="accent1"/>
        <w:sz w:val="20"/>
        <w:szCs w:val="20"/>
      </w:rPr>
      <w:t>20</w:t>
    </w:r>
    <w:r>
      <w:rPr>
        <w:rFonts w:asciiTheme="majorHAnsi" w:eastAsiaTheme="majorEastAsia" w:hAnsiTheme="majorHAnsi" w:cstheme="majorBidi"/>
        <w:noProof/>
        <w:color w:val="4A66AC" w:themeColor="accent1"/>
        <w:sz w:val="20"/>
        <w:szCs w:val="20"/>
      </w:rPr>
      <w:fldChar w:fldCharType="end"/>
    </w:r>
  </w:p>
  <w:p w14:paraId="593DE328" w14:textId="77777777" w:rsidR="006C2DCA" w:rsidRPr="00A7554A" w:rsidRDefault="006C2DCA">
    <w:pPr>
      <w:pStyle w:val="Footer"/>
      <w:rPr>
        <w:lang w:val="mk-MK"/>
      </w:rPr>
    </w:pPr>
  </w:p>
  <w:p w14:paraId="1C1B7D5F" w14:textId="77777777" w:rsidR="006C2DCA" w:rsidRDefault="006C2DC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F6D764" w14:textId="77777777" w:rsidR="0007039C" w:rsidRDefault="0007039C" w:rsidP="00A7554A">
      <w:pPr>
        <w:spacing w:after="0" w:line="240" w:lineRule="auto"/>
      </w:pPr>
      <w:r>
        <w:separator/>
      </w:r>
    </w:p>
    <w:p w14:paraId="13B1DF56" w14:textId="77777777" w:rsidR="0007039C" w:rsidRDefault="0007039C"/>
  </w:footnote>
  <w:footnote w:type="continuationSeparator" w:id="0">
    <w:p w14:paraId="6C3634A8" w14:textId="77777777" w:rsidR="0007039C" w:rsidRDefault="0007039C" w:rsidP="00A7554A">
      <w:pPr>
        <w:spacing w:after="0" w:line="240" w:lineRule="auto"/>
      </w:pPr>
      <w:r>
        <w:continuationSeparator/>
      </w:r>
    </w:p>
    <w:p w14:paraId="768EF92E" w14:textId="77777777" w:rsidR="0007039C" w:rsidRDefault="0007039C"/>
  </w:footnote>
  <w:footnote w:id="1">
    <w:p w14:paraId="2EF85050" w14:textId="77777777" w:rsidR="006C2DCA" w:rsidRDefault="006C2DCA" w:rsidP="00342580">
      <w:pPr>
        <w:pStyle w:val="FootnoteText"/>
      </w:pPr>
      <w:r>
        <w:rPr>
          <w:rStyle w:val="FootnoteReference"/>
        </w:rPr>
        <w:footnoteRef/>
      </w:r>
      <w:r>
        <w:t xml:space="preserve"> </w:t>
      </w:r>
      <w:r w:rsidRPr="007E6365">
        <w:t>https://mon.gov.mk/download/?f=1%20RI%20Roadmap_NMCD_FINAL_-MKD.docx</w:t>
      </w:r>
    </w:p>
  </w:footnote>
  <w:footnote w:id="2">
    <w:p w14:paraId="4AFBD3D6" w14:textId="4B539B1F" w:rsidR="006C2DCA" w:rsidRPr="00BB28A0" w:rsidRDefault="006C2DCA" w:rsidP="00342580">
      <w:pPr>
        <w:pStyle w:val="FootnoteText"/>
        <w:rPr>
          <w:lang w:val="en-GB"/>
        </w:rPr>
      </w:pPr>
      <w:r>
        <w:rPr>
          <w:rStyle w:val="FootnoteReference"/>
        </w:rPr>
        <w:footnoteRef/>
      </w:r>
      <w:r>
        <w:t xml:space="preserve"> </w:t>
      </w:r>
      <w:r w:rsidRPr="00BB28A0">
        <w:rPr>
          <w:lang w:val="en-GB"/>
        </w:rPr>
        <w:t>NPAA | Secretariat for European Affairs (sep.gov.mk)</w:t>
      </w:r>
    </w:p>
  </w:footnote>
  <w:footnote w:id="3">
    <w:p w14:paraId="2D374881" w14:textId="5A31BBA4" w:rsidR="006C2DCA" w:rsidRPr="00BB28A0" w:rsidRDefault="006C2DCA" w:rsidP="00B80D1C">
      <w:pPr>
        <w:pStyle w:val="FootnoteText"/>
        <w:rPr>
          <w:lang w:val="en-GB"/>
        </w:rPr>
      </w:pPr>
      <w:r w:rsidRPr="00BB28A0">
        <w:rPr>
          <w:rStyle w:val="FootnoteReference"/>
          <w:lang w:val="en-GB"/>
        </w:rPr>
        <w:footnoteRef/>
      </w:r>
      <w:r w:rsidRPr="00BB28A0">
        <w:rPr>
          <w:lang w:val="en-GB"/>
        </w:rPr>
        <w:t xml:space="preserve"> European Commission gives recommendation, opinion and no special legislation is required.</w:t>
      </w:r>
    </w:p>
  </w:footnote>
  <w:footnote w:id="4">
    <w:p w14:paraId="4F542BF2" w14:textId="77777777" w:rsidR="006C2DCA" w:rsidRPr="00BB28A0" w:rsidRDefault="006C2DCA" w:rsidP="0021334F">
      <w:pPr>
        <w:pStyle w:val="FootnoteText"/>
        <w:rPr>
          <w:lang w:val="en-GB"/>
        </w:rPr>
      </w:pPr>
      <w:r w:rsidRPr="00BB28A0">
        <w:rPr>
          <w:rStyle w:val="FootnoteReference"/>
          <w:lang w:val="en-GB"/>
        </w:rPr>
        <w:footnoteRef/>
      </w:r>
      <w:r w:rsidRPr="00BB28A0">
        <w:rPr>
          <w:lang w:val="en-GB"/>
        </w:rPr>
        <w:t xml:space="preserve"> Regulation (EU) 2021/695 of the European Parliament and of the Council of 28 April 2021 establishing Horizon Europe – the Framework Programme for Research and Innovation, laying down its rules for participation and dissemination, and repealing Regulations (EU) No 1290/2013 and (EU) No 1291/2013  (</w:t>
      </w:r>
      <w:hyperlink r:id="rId1" w:history="1">
        <w:r w:rsidRPr="00BB28A0">
          <w:rPr>
            <w:rStyle w:val="Hyperlink"/>
            <w:lang w:val="en-GB"/>
          </w:rPr>
          <w:t>https://eur-lex.europa.eu/eli/reg/2021/695/oj</w:t>
        </w:r>
      </w:hyperlink>
      <w:r w:rsidRPr="00BB28A0">
        <w:rPr>
          <w:lang w:val="en-GB"/>
        </w:rPr>
        <w:t xml:space="preserve">) </w:t>
      </w:r>
    </w:p>
  </w:footnote>
  <w:footnote w:id="5">
    <w:p w14:paraId="7F620C9B" w14:textId="24F994B1" w:rsidR="006C2DCA" w:rsidRPr="00BB28A0" w:rsidRDefault="006C2DCA">
      <w:pPr>
        <w:pStyle w:val="FootnoteText"/>
        <w:rPr>
          <w:lang w:val="en-GB"/>
        </w:rPr>
      </w:pPr>
      <w:r w:rsidRPr="00BB28A0">
        <w:rPr>
          <w:rStyle w:val="FootnoteReference"/>
          <w:lang w:val="en-GB"/>
        </w:rPr>
        <w:footnoteRef/>
      </w:r>
      <w:r w:rsidRPr="00BB28A0">
        <w:rPr>
          <w:lang w:val="en-GB"/>
        </w:rPr>
        <w:t xml:space="preserve"> https://seeiist.eu/</w:t>
      </w:r>
    </w:p>
  </w:footnote>
  <w:footnote w:id="6">
    <w:p w14:paraId="6D9FBD88" w14:textId="77777777" w:rsidR="006C2DCA" w:rsidRPr="00BB28A0" w:rsidRDefault="006C2DCA" w:rsidP="001C39B7">
      <w:pPr>
        <w:pStyle w:val="FootnoteText"/>
        <w:rPr>
          <w:lang w:val="en-GB"/>
        </w:rPr>
      </w:pPr>
      <w:r w:rsidRPr="00BB28A0">
        <w:rPr>
          <w:rStyle w:val="FootnoteReference"/>
          <w:lang w:val="en-GB"/>
        </w:rPr>
        <w:footnoteRef/>
      </w:r>
      <w:r w:rsidRPr="00BB28A0">
        <w:rPr>
          <w:lang w:val="en-GB"/>
        </w:rPr>
        <w:t xml:space="preserve"> </w:t>
      </w:r>
      <w:hyperlink r:id="rId2" w:history="1">
        <w:r w:rsidRPr="00BB28A0">
          <w:rPr>
            <w:rStyle w:val="Hyperlink"/>
            <w:lang w:val="en-GB"/>
          </w:rPr>
          <w:t>https://www.esfri.eu/</w:t>
        </w:r>
      </w:hyperlink>
      <w:r w:rsidRPr="00BB28A0">
        <w:rPr>
          <w:lang w:val="en-GB"/>
        </w:rPr>
        <w:t xml:space="preserve"> </w:t>
      </w:r>
    </w:p>
  </w:footnote>
  <w:footnote w:id="7">
    <w:p w14:paraId="5AE7076C" w14:textId="77777777" w:rsidR="006C2DCA" w:rsidRPr="00BB28A0" w:rsidRDefault="006C2DCA" w:rsidP="006F3322">
      <w:pPr>
        <w:pStyle w:val="FootnoteText"/>
        <w:rPr>
          <w:lang w:val="en-GB"/>
        </w:rPr>
      </w:pPr>
      <w:r w:rsidRPr="00BB28A0">
        <w:rPr>
          <w:rStyle w:val="FootnoteReference"/>
          <w:lang w:val="en-GB"/>
        </w:rPr>
        <w:footnoteRef/>
      </w:r>
      <w:r w:rsidRPr="00BB28A0">
        <w:rPr>
          <w:lang w:val="en-GB"/>
        </w:rPr>
        <w:t xml:space="preserve"> </w:t>
      </w:r>
      <w:hyperlink r:id="rId3" w:history="1">
        <w:r w:rsidRPr="00BB28A0">
          <w:rPr>
            <w:rStyle w:val="Hyperlink"/>
            <w:lang w:val="en-GB"/>
          </w:rPr>
          <w:t>https://www.nrs.mk</w:t>
        </w:r>
      </w:hyperlink>
      <w:r w:rsidRPr="00BB28A0">
        <w:rPr>
          <w:lang w:val="en-GB"/>
        </w:rPr>
        <w:t xml:space="preserve"> </w:t>
      </w:r>
    </w:p>
  </w:footnote>
  <w:footnote w:id="8">
    <w:p w14:paraId="786D1F7D" w14:textId="57B95A1B" w:rsidR="006C2DCA" w:rsidRPr="00BB28A0" w:rsidRDefault="006C2DCA">
      <w:pPr>
        <w:pStyle w:val="FootnoteText"/>
        <w:rPr>
          <w:lang w:val="en-GB"/>
        </w:rPr>
      </w:pPr>
      <w:r w:rsidRPr="00BB28A0">
        <w:rPr>
          <w:rStyle w:val="FootnoteReference"/>
          <w:lang w:val="en-GB"/>
        </w:rPr>
        <w:footnoteRef/>
      </w:r>
      <w:r w:rsidRPr="00BB28A0">
        <w:rPr>
          <w:lang w:val="en-GB"/>
        </w:rPr>
        <w:t xml:space="preserve"> </w:t>
      </w:r>
      <w:hyperlink r:id="rId4" w:history="1">
        <w:r w:rsidRPr="00BB28A0">
          <w:rPr>
            <w:rStyle w:val="Hyperlink"/>
            <w:lang w:val="en-GB"/>
          </w:rPr>
          <w:t>www.nacionalensovetzavoinid.com.mk/images/dokumenti/Предлог-Национална%20програма%20за%20Н.И.Д..pdf</w:t>
        </w:r>
      </w:hyperlink>
      <w:r w:rsidRPr="00BB28A0">
        <w:rPr>
          <w:lang w:val="en-GB"/>
        </w:rPr>
        <w:t xml:space="preserve"> </w:t>
      </w:r>
    </w:p>
  </w:footnote>
  <w:footnote w:id="9">
    <w:p w14:paraId="185A128F" w14:textId="483A8313" w:rsidR="006C2DCA" w:rsidRPr="00BB28A0" w:rsidRDefault="006C2DCA">
      <w:pPr>
        <w:pStyle w:val="FootnoteText"/>
        <w:rPr>
          <w:lang w:val="en-GB"/>
        </w:rPr>
      </w:pPr>
      <w:r w:rsidRPr="00BB28A0">
        <w:rPr>
          <w:rStyle w:val="FootnoteReference"/>
          <w:lang w:val="en-GB"/>
        </w:rPr>
        <w:footnoteRef/>
      </w:r>
      <w:r w:rsidRPr="00BB28A0">
        <w:rPr>
          <w:lang w:val="en-GB"/>
        </w:rPr>
        <w:t xml:space="preserve"> Source: Proposal of a National Programme for Scientific and Research Activity and Proposed Measures, </w:t>
      </w:r>
      <w:hyperlink r:id="rId5" w:history="1">
        <w:r w:rsidRPr="00BB28A0">
          <w:rPr>
            <w:rStyle w:val="Hyperlink"/>
            <w:lang w:val="en-GB"/>
          </w:rPr>
          <w:t>https://www.nacionalensovetzavoinid.com.mk/images/dokumenti.pdf</w:t>
        </w:r>
      </w:hyperlink>
      <w:r w:rsidRPr="00BB28A0">
        <w:rPr>
          <w:lang w:val="en-GB"/>
        </w:rPr>
        <w:t xml:space="preserve"> </w:t>
      </w:r>
    </w:p>
  </w:footnote>
  <w:footnote w:id="10">
    <w:p w14:paraId="2486624B" w14:textId="77777777" w:rsidR="006C2DCA" w:rsidRPr="00BB28A0" w:rsidRDefault="006C2DCA" w:rsidP="00101E92">
      <w:pPr>
        <w:pStyle w:val="FootnoteText"/>
        <w:rPr>
          <w:lang w:val="en-GB"/>
        </w:rPr>
      </w:pPr>
      <w:r w:rsidRPr="00BB28A0">
        <w:rPr>
          <w:rStyle w:val="FootnoteReference"/>
          <w:lang w:val="en-GB"/>
        </w:rPr>
        <w:footnoteRef/>
      </w:r>
      <w:r w:rsidRPr="00BB28A0">
        <w:rPr>
          <w:lang w:val="en-GB"/>
        </w:rPr>
        <w:t xml:space="preserve"> </w:t>
      </w:r>
      <w:hyperlink r:id="rId6" w:history="1">
        <w:r w:rsidRPr="00BB28A0">
          <w:rPr>
            <w:rStyle w:val="Hyperlink"/>
            <w:lang w:val="en-GB"/>
          </w:rPr>
          <w:t>https://mon.gov.mk/download/?f=Mk_%20S3_MK%20%2020.12.2023.doc</w:t>
        </w:r>
      </w:hyperlink>
      <w:r w:rsidRPr="00BB28A0">
        <w:rPr>
          <w:lang w:val="en-GB"/>
        </w:rPr>
        <w:t xml:space="preserve"> </w:t>
      </w:r>
    </w:p>
  </w:footnote>
  <w:footnote w:id="11">
    <w:p w14:paraId="27A270CE" w14:textId="77777777" w:rsidR="006C2DCA" w:rsidRPr="00E40BEC" w:rsidRDefault="006C2DCA" w:rsidP="000B6C7D">
      <w:pPr>
        <w:pStyle w:val="FootnoteText"/>
        <w:rPr>
          <w:lang w:val="mk-MK"/>
        </w:rPr>
      </w:pPr>
      <w:r w:rsidRPr="00BB28A0">
        <w:rPr>
          <w:rStyle w:val="FootnoteReference"/>
          <w:lang w:val="en-GB"/>
        </w:rPr>
        <w:footnoteRef/>
      </w:r>
      <w:r w:rsidRPr="00BB28A0">
        <w:rPr>
          <w:lang w:val="en-GB"/>
        </w:rPr>
        <w:t xml:space="preserve"> </w:t>
      </w:r>
      <w:hyperlink r:id="rId7" w:history="1">
        <w:r w:rsidRPr="00BB28A0">
          <w:rPr>
            <w:rStyle w:val="Hyperlink"/>
            <w:lang w:val="en-GB"/>
          </w:rPr>
          <w:t>https://view.officeapps.live.com/op/view.aspx?src=https%3A%2F%2Fmon.gov.mk%2Fstored%2Fdocument%2FMk_%2520S3-AP%252020.12.2023_MK.DOC&amp;wdOrigin=BROWSELINK</w:t>
        </w:r>
      </w:hyperlink>
      <w:r>
        <w:rPr>
          <w:lang w:val="mk-MK"/>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4A5DD" w14:textId="77777777" w:rsidR="006C2DCA" w:rsidRDefault="006C2DCA">
    <w:pPr>
      <w:pStyle w:val="Header"/>
    </w:pPr>
  </w:p>
  <w:p w14:paraId="16E8A77B" w14:textId="77777777" w:rsidR="006C2DCA" w:rsidRDefault="006C2DC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10209" w14:textId="77777777" w:rsidR="006C2DCA" w:rsidRDefault="006C2DCA">
    <w:pPr>
      <w:pStyle w:val="Header"/>
    </w:pPr>
  </w:p>
  <w:p w14:paraId="60AC97C0" w14:textId="77777777" w:rsidR="006C2DCA" w:rsidRDefault="006C2DC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E1959"/>
    <w:multiLevelType w:val="hybridMultilevel"/>
    <w:tmpl w:val="281C2C9E"/>
    <w:lvl w:ilvl="0" w:tplc="57061BE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81F6F"/>
    <w:multiLevelType w:val="hybridMultilevel"/>
    <w:tmpl w:val="7B54B4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A359F"/>
    <w:multiLevelType w:val="multilevel"/>
    <w:tmpl w:val="DA0221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5F32DFD"/>
    <w:multiLevelType w:val="hybridMultilevel"/>
    <w:tmpl w:val="69CE6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C16469"/>
    <w:multiLevelType w:val="hybridMultilevel"/>
    <w:tmpl w:val="9B660FCA"/>
    <w:lvl w:ilvl="0" w:tplc="3E12CCD8">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0D398F"/>
    <w:multiLevelType w:val="hybridMultilevel"/>
    <w:tmpl w:val="893436A0"/>
    <w:lvl w:ilvl="0" w:tplc="81229B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F6900B5"/>
    <w:multiLevelType w:val="hybridMultilevel"/>
    <w:tmpl w:val="8BE67590"/>
    <w:lvl w:ilvl="0" w:tplc="3E12CCD8">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4C3119"/>
    <w:multiLevelType w:val="hybridMultilevel"/>
    <w:tmpl w:val="788AD026"/>
    <w:lvl w:ilvl="0" w:tplc="54B0618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6C5C66"/>
    <w:multiLevelType w:val="hybridMultilevel"/>
    <w:tmpl w:val="740EDE1C"/>
    <w:lvl w:ilvl="0" w:tplc="B9661DE0">
      <w:numFmt w:val="bullet"/>
      <w:lvlText w:val="-"/>
      <w:lvlJc w:val="left"/>
      <w:pPr>
        <w:ind w:left="720" w:hanging="360"/>
      </w:pPr>
      <w:rPr>
        <w:rFonts w:ascii="StobiSerif Regular" w:eastAsiaTheme="minorHAnsi" w:hAnsi="StobiSerif Regular"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0E32BC"/>
    <w:multiLevelType w:val="hybridMultilevel"/>
    <w:tmpl w:val="0D806918"/>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15:restartNumberingAfterBreak="0">
    <w:nsid w:val="3B167CE5"/>
    <w:multiLevelType w:val="hybridMultilevel"/>
    <w:tmpl w:val="773CA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4100F0"/>
    <w:multiLevelType w:val="hybridMultilevel"/>
    <w:tmpl w:val="3F309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24600F"/>
    <w:multiLevelType w:val="hybridMultilevel"/>
    <w:tmpl w:val="F0C2F982"/>
    <w:lvl w:ilvl="0" w:tplc="54B0618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8D5905"/>
    <w:multiLevelType w:val="hybridMultilevel"/>
    <w:tmpl w:val="BF6C0396"/>
    <w:lvl w:ilvl="0" w:tplc="54B0618A">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9625643"/>
    <w:multiLevelType w:val="hybridMultilevel"/>
    <w:tmpl w:val="DB283806"/>
    <w:lvl w:ilvl="0" w:tplc="BCDE2E78">
      <w:start w:val="1"/>
      <w:numFmt w:val="decimal"/>
      <w:lvlText w:val="%1."/>
      <w:lvlJc w:val="left"/>
      <w:pPr>
        <w:ind w:left="1080" w:hanging="720"/>
      </w:pPr>
      <w:rPr>
        <w:rFonts w:ascii="StobiSerif Regular" w:eastAsiaTheme="minorHAnsi" w:hAnsi="StobiSerif Regular"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DA39D9"/>
    <w:multiLevelType w:val="hybridMultilevel"/>
    <w:tmpl w:val="46AE0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D5284D"/>
    <w:multiLevelType w:val="hybridMultilevel"/>
    <w:tmpl w:val="A69C5EE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15:restartNumberingAfterBreak="0">
    <w:nsid w:val="675F7A16"/>
    <w:multiLevelType w:val="hybridMultilevel"/>
    <w:tmpl w:val="4ABA1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91636F"/>
    <w:multiLevelType w:val="hybridMultilevel"/>
    <w:tmpl w:val="259C4662"/>
    <w:lvl w:ilvl="0" w:tplc="1E24B4EA">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485239"/>
    <w:multiLevelType w:val="hybridMultilevel"/>
    <w:tmpl w:val="2730C9B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15:restartNumberingAfterBreak="0">
    <w:nsid w:val="6EC5478C"/>
    <w:multiLevelType w:val="hybridMultilevel"/>
    <w:tmpl w:val="731A3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E91A51"/>
    <w:multiLevelType w:val="hybridMultilevel"/>
    <w:tmpl w:val="FA94BBE6"/>
    <w:lvl w:ilvl="0" w:tplc="293ADA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FF722C8"/>
    <w:multiLevelType w:val="hybridMultilevel"/>
    <w:tmpl w:val="A44A3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0B1066"/>
    <w:multiLevelType w:val="hybridMultilevel"/>
    <w:tmpl w:val="2DA0D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0"/>
  </w:num>
  <w:num w:numId="3">
    <w:abstractNumId w:val="14"/>
  </w:num>
  <w:num w:numId="4">
    <w:abstractNumId w:val="23"/>
  </w:num>
  <w:num w:numId="5">
    <w:abstractNumId w:val="5"/>
  </w:num>
  <w:num w:numId="6">
    <w:abstractNumId w:val="21"/>
  </w:num>
  <w:num w:numId="7">
    <w:abstractNumId w:val="22"/>
  </w:num>
  <w:num w:numId="8">
    <w:abstractNumId w:val="18"/>
  </w:num>
  <w:num w:numId="9">
    <w:abstractNumId w:val="19"/>
  </w:num>
  <w:num w:numId="10">
    <w:abstractNumId w:val="9"/>
  </w:num>
  <w:num w:numId="11">
    <w:abstractNumId w:val="16"/>
  </w:num>
  <w:num w:numId="12">
    <w:abstractNumId w:val="3"/>
  </w:num>
  <w:num w:numId="13">
    <w:abstractNumId w:val="15"/>
  </w:num>
  <w:num w:numId="14">
    <w:abstractNumId w:val="2"/>
  </w:num>
  <w:num w:numId="15">
    <w:abstractNumId w:val="8"/>
  </w:num>
  <w:num w:numId="16">
    <w:abstractNumId w:val="10"/>
  </w:num>
  <w:num w:numId="17">
    <w:abstractNumId w:val="11"/>
  </w:num>
  <w:num w:numId="18">
    <w:abstractNumId w:val="1"/>
  </w:num>
  <w:num w:numId="19">
    <w:abstractNumId w:val="6"/>
  </w:num>
  <w:num w:numId="20">
    <w:abstractNumId w:val="4"/>
  </w:num>
  <w:num w:numId="21">
    <w:abstractNumId w:val="12"/>
  </w:num>
  <w:num w:numId="22">
    <w:abstractNumId w:val="13"/>
  </w:num>
  <w:num w:numId="23">
    <w:abstractNumId w:val="7"/>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5DF"/>
    <w:rsid w:val="00006E50"/>
    <w:rsid w:val="00007043"/>
    <w:rsid w:val="00007060"/>
    <w:rsid w:val="00007304"/>
    <w:rsid w:val="000121B1"/>
    <w:rsid w:val="00012F15"/>
    <w:rsid w:val="000203CF"/>
    <w:rsid w:val="00022028"/>
    <w:rsid w:val="000232D1"/>
    <w:rsid w:val="00023B3B"/>
    <w:rsid w:val="0002525A"/>
    <w:rsid w:val="00027F3E"/>
    <w:rsid w:val="00031084"/>
    <w:rsid w:val="00033F31"/>
    <w:rsid w:val="000367D5"/>
    <w:rsid w:val="00042992"/>
    <w:rsid w:val="00042DF2"/>
    <w:rsid w:val="00053589"/>
    <w:rsid w:val="00055ADC"/>
    <w:rsid w:val="00055E3D"/>
    <w:rsid w:val="00056B22"/>
    <w:rsid w:val="000570A4"/>
    <w:rsid w:val="000578CB"/>
    <w:rsid w:val="000626F9"/>
    <w:rsid w:val="000670FB"/>
    <w:rsid w:val="0007039C"/>
    <w:rsid w:val="0007337E"/>
    <w:rsid w:val="00080138"/>
    <w:rsid w:val="00081C5F"/>
    <w:rsid w:val="00081D1F"/>
    <w:rsid w:val="00083276"/>
    <w:rsid w:val="00084E21"/>
    <w:rsid w:val="00095335"/>
    <w:rsid w:val="000A166A"/>
    <w:rsid w:val="000A693C"/>
    <w:rsid w:val="000B6C7D"/>
    <w:rsid w:val="000C0C9E"/>
    <w:rsid w:val="000C0D3F"/>
    <w:rsid w:val="000C2EE1"/>
    <w:rsid w:val="000C3C58"/>
    <w:rsid w:val="000C46E0"/>
    <w:rsid w:val="000C4A89"/>
    <w:rsid w:val="000C6BB8"/>
    <w:rsid w:val="000D0898"/>
    <w:rsid w:val="000D2187"/>
    <w:rsid w:val="000D2818"/>
    <w:rsid w:val="000D338F"/>
    <w:rsid w:val="000D661A"/>
    <w:rsid w:val="000D7E55"/>
    <w:rsid w:val="000E0E07"/>
    <w:rsid w:val="000E3F81"/>
    <w:rsid w:val="000E4CD7"/>
    <w:rsid w:val="00101E92"/>
    <w:rsid w:val="00114416"/>
    <w:rsid w:val="0011536B"/>
    <w:rsid w:val="00120FC0"/>
    <w:rsid w:val="001228B4"/>
    <w:rsid w:val="00124424"/>
    <w:rsid w:val="001279F6"/>
    <w:rsid w:val="00127D12"/>
    <w:rsid w:val="00131CB8"/>
    <w:rsid w:val="00134BC0"/>
    <w:rsid w:val="00135748"/>
    <w:rsid w:val="0014025C"/>
    <w:rsid w:val="00142333"/>
    <w:rsid w:val="00151BC3"/>
    <w:rsid w:val="00152ADA"/>
    <w:rsid w:val="00157D97"/>
    <w:rsid w:val="00160366"/>
    <w:rsid w:val="001610F1"/>
    <w:rsid w:val="00164141"/>
    <w:rsid w:val="001641AC"/>
    <w:rsid w:val="00164B01"/>
    <w:rsid w:val="00166562"/>
    <w:rsid w:val="001666A9"/>
    <w:rsid w:val="001669ED"/>
    <w:rsid w:val="00170616"/>
    <w:rsid w:val="00171DB4"/>
    <w:rsid w:val="00174737"/>
    <w:rsid w:val="00175992"/>
    <w:rsid w:val="00175EFC"/>
    <w:rsid w:val="001766E6"/>
    <w:rsid w:val="001774FB"/>
    <w:rsid w:val="00177D9A"/>
    <w:rsid w:val="00184949"/>
    <w:rsid w:val="00187BA5"/>
    <w:rsid w:val="0019006E"/>
    <w:rsid w:val="00191B06"/>
    <w:rsid w:val="0019205E"/>
    <w:rsid w:val="001948B1"/>
    <w:rsid w:val="00197535"/>
    <w:rsid w:val="001A0D49"/>
    <w:rsid w:val="001A66AC"/>
    <w:rsid w:val="001B1C98"/>
    <w:rsid w:val="001B3EE8"/>
    <w:rsid w:val="001B4135"/>
    <w:rsid w:val="001B5E4A"/>
    <w:rsid w:val="001B7346"/>
    <w:rsid w:val="001C16B9"/>
    <w:rsid w:val="001C22AD"/>
    <w:rsid w:val="001C39B7"/>
    <w:rsid w:val="001C5DB0"/>
    <w:rsid w:val="001D11F2"/>
    <w:rsid w:val="001D268F"/>
    <w:rsid w:val="001D2887"/>
    <w:rsid w:val="001D497F"/>
    <w:rsid w:val="001D4CA1"/>
    <w:rsid w:val="001D68E3"/>
    <w:rsid w:val="001E07DB"/>
    <w:rsid w:val="001E1142"/>
    <w:rsid w:val="001E5769"/>
    <w:rsid w:val="001E72BD"/>
    <w:rsid w:val="001F2075"/>
    <w:rsid w:val="001F4A2D"/>
    <w:rsid w:val="001F5A4D"/>
    <w:rsid w:val="001F6266"/>
    <w:rsid w:val="00202A7B"/>
    <w:rsid w:val="002039DA"/>
    <w:rsid w:val="00210A35"/>
    <w:rsid w:val="0021334F"/>
    <w:rsid w:val="00213F9C"/>
    <w:rsid w:val="002159DF"/>
    <w:rsid w:val="00221757"/>
    <w:rsid w:val="00225FE5"/>
    <w:rsid w:val="00233544"/>
    <w:rsid w:val="00234CD5"/>
    <w:rsid w:val="00235235"/>
    <w:rsid w:val="00236FDC"/>
    <w:rsid w:val="0023743F"/>
    <w:rsid w:val="0024007C"/>
    <w:rsid w:val="00241F61"/>
    <w:rsid w:val="00244B8E"/>
    <w:rsid w:val="00244EC1"/>
    <w:rsid w:val="00245544"/>
    <w:rsid w:val="002474DB"/>
    <w:rsid w:val="00250409"/>
    <w:rsid w:val="00252072"/>
    <w:rsid w:val="00252873"/>
    <w:rsid w:val="00262FDE"/>
    <w:rsid w:val="00263AF5"/>
    <w:rsid w:val="00271823"/>
    <w:rsid w:val="00271AAE"/>
    <w:rsid w:val="00271D89"/>
    <w:rsid w:val="002727DA"/>
    <w:rsid w:val="002729A8"/>
    <w:rsid w:val="00273AF9"/>
    <w:rsid w:val="00277030"/>
    <w:rsid w:val="00294216"/>
    <w:rsid w:val="00294A83"/>
    <w:rsid w:val="002967BE"/>
    <w:rsid w:val="0029680C"/>
    <w:rsid w:val="00297AD9"/>
    <w:rsid w:val="002A0969"/>
    <w:rsid w:val="002A311D"/>
    <w:rsid w:val="002A6BDA"/>
    <w:rsid w:val="002B2EAF"/>
    <w:rsid w:val="002B5DCF"/>
    <w:rsid w:val="002C0F4A"/>
    <w:rsid w:val="002C559A"/>
    <w:rsid w:val="002C5EDB"/>
    <w:rsid w:val="002C731C"/>
    <w:rsid w:val="002D0086"/>
    <w:rsid w:val="002D2D57"/>
    <w:rsid w:val="002D3CA6"/>
    <w:rsid w:val="002E0567"/>
    <w:rsid w:val="002E36C9"/>
    <w:rsid w:val="002E5FBD"/>
    <w:rsid w:val="002F62F2"/>
    <w:rsid w:val="00300BAF"/>
    <w:rsid w:val="00303188"/>
    <w:rsid w:val="0030348F"/>
    <w:rsid w:val="00303738"/>
    <w:rsid w:val="003057DF"/>
    <w:rsid w:val="00306C5E"/>
    <w:rsid w:val="003101D7"/>
    <w:rsid w:val="003124B5"/>
    <w:rsid w:val="00312FB3"/>
    <w:rsid w:val="00314575"/>
    <w:rsid w:val="00314D90"/>
    <w:rsid w:val="00315F52"/>
    <w:rsid w:val="0031634E"/>
    <w:rsid w:val="0031725F"/>
    <w:rsid w:val="003173B8"/>
    <w:rsid w:val="003179BC"/>
    <w:rsid w:val="003200D5"/>
    <w:rsid w:val="00322DF8"/>
    <w:rsid w:val="00325176"/>
    <w:rsid w:val="00330A4A"/>
    <w:rsid w:val="00331F99"/>
    <w:rsid w:val="00332859"/>
    <w:rsid w:val="003347AB"/>
    <w:rsid w:val="0033509A"/>
    <w:rsid w:val="003355BB"/>
    <w:rsid w:val="0034060F"/>
    <w:rsid w:val="00342580"/>
    <w:rsid w:val="00342E0C"/>
    <w:rsid w:val="0034385A"/>
    <w:rsid w:val="00345271"/>
    <w:rsid w:val="00346CD4"/>
    <w:rsid w:val="00350926"/>
    <w:rsid w:val="00352A48"/>
    <w:rsid w:val="003553CC"/>
    <w:rsid w:val="00357786"/>
    <w:rsid w:val="00361104"/>
    <w:rsid w:val="0036232B"/>
    <w:rsid w:val="00364411"/>
    <w:rsid w:val="0037025F"/>
    <w:rsid w:val="003716C5"/>
    <w:rsid w:val="00371E76"/>
    <w:rsid w:val="00373F14"/>
    <w:rsid w:val="00376356"/>
    <w:rsid w:val="00383C5C"/>
    <w:rsid w:val="003901BF"/>
    <w:rsid w:val="0039049B"/>
    <w:rsid w:val="00392668"/>
    <w:rsid w:val="00394C8F"/>
    <w:rsid w:val="00396133"/>
    <w:rsid w:val="00397560"/>
    <w:rsid w:val="003A179C"/>
    <w:rsid w:val="003A1C46"/>
    <w:rsid w:val="003A2CFB"/>
    <w:rsid w:val="003B0006"/>
    <w:rsid w:val="003B0620"/>
    <w:rsid w:val="003B0CF3"/>
    <w:rsid w:val="003B4CED"/>
    <w:rsid w:val="003B65B8"/>
    <w:rsid w:val="003B7CAE"/>
    <w:rsid w:val="003C013E"/>
    <w:rsid w:val="003C2F5C"/>
    <w:rsid w:val="003C2F8D"/>
    <w:rsid w:val="003D074E"/>
    <w:rsid w:val="003D35F3"/>
    <w:rsid w:val="003D3DAF"/>
    <w:rsid w:val="003D7FF0"/>
    <w:rsid w:val="003E0520"/>
    <w:rsid w:val="003E18C2"/>
    <w:rsid w:val="003E33CD"/>
    <w:rsid w:val="003E3A2B"/>
    <w:rsid w:val="003E5660"/>
    <w:rsid w:val="003E585B"/>
    <w:rsid w:val="003E707A"/>
    <w:rsid w:val="003F6003"/>
    <w:rsid w:val="003F614F"/>
    <w:rsid w:val="003F68D5"/>
    <w:rsid w:val="003F7DBB"/>
    <w:rsid w:val="00405CFD"/>
    <w:rsid w:val="004104B9"/>
    <w:rsid w:val="0041164B"/>
    <w:rsid w:val="00411E89"/>
    <w:rsid w:val="00413525"/>
    <w:rsid w:val="00415368"/>
    <w:rsid w:val="00415AE1"/>
    <w:rsid w:val="0042041F"/>
    <w:rsid w:val="00421A28"/>
    <w:rsid w:val="00424B51"/>
    <w:rsid w:val="004258C3"/>
    <w:rsid w:val="00426FEE"/>
    <w:rsid w:val="00430AC9"/>
    <w:rsid w:val="00433A46"/>
    <w:rsid w:val="00434811"/>
    <w:rsid w:val="004350D7"/>
    <w:rsid w:val="00437DC4"/>
    <w:rsid w:val="00440184"/>
    <w:rsid w:val="00443761"/>
    <w:rsid w:val="004466D0"/>
    <w:rsid w:val="00450842"/>
    <w:rsid w:val="00452488"/>
    <w:rsid w:val="004562AF"/>
    <w:rsid w:val="00456AED"/>
    <w:rsid w:val="00460D55"/>
    <w:rsid w:val="00461053"/>
    <w:rsid w:val="004616B0"/>
    <w:rsid w:val="00464773"/>
    <w:rsid w:val="00466CBD"/>
    <w:rsid w:val="00472E99"/>
    <w:rsid w:val="00483C57"/>
    <w:rsid w:val="00484A7B"/>
    <w:rsid w:val="00485C64"/>
    <w:rsid w:val="004872A0"/>
    <w:rsid w:val="0049107A"/>
    <w:rsid w:val="0049141A"/>
    <w:rsid w:val="00493865"/>
    <w:rsid w:val="00496E07"/>
    <w:rsid w:val="0049705C"/>
    <w:rsid w:val="004A2359"/>
    <w:rsid w:val="004A3F2D"/>
    <w:rsid w:val="004B1FE3"/>
    <w:rsid w:val="004B54F6"/>
    <w:rsid w:val="004C0C1A"/>
    <w:rsid w:val="004C1585"/>
    <w:rsid w:val="004C1BC5"/>
    <w:rsid w:val="004C7D79"/>
    <w:rsid w:val="004D099C"/>
    <w:rsid w:val="004D49C9"/>
    <w:rsid w:val="004D4ADD"/>
    <w:rsid w:val="004D5C8A"/>
    <w:rsid w:val="004E05DD"/>
    <w:rsid w:val="004F0CE0"/>
    <w:rsid w:val="004F2FDA"/>
    <w:rsid w:val="004F5370"/>
    <w:rsid w:val="004F53A2"/>
    <w:rsid w:val="004F596C"/>
    <w:rsid w:val="00500CFA"/>
    <w:rsid w:val="00506FDB"/>
    <w:rsid w:val="00507010"/>
    <w:rsid w:val="005105C7"/>
    <w:rsid w:val="00510DE0"/>
    <w:rsid w:val="005122E2"/>
    <w:rsid w:val="00512A70"/>
    <w:rsid w:val="00512BF2"/>
    <w:rsid w:val="00514AA2"/>
    <w:rsid w:val="00515E29"/>
    <w:rsid w:val="00521B68"/>
    <w:rsid w:val="0052737D"/>
    <w:rsid w:val="00531BEB"/>
    <w:rsid w:val="00532BF8"/>
    <w:rsid w:val="0053376F"/>
    <w:rsid w:val="005354BC"/>
    <w:rsid w:val="005403A6"/>
    <w:rsid w:val="00542173"/>
    <w:rsid w:val="00553353"/>
    <w:rsid w:val="0056145B"/>
    <w:rsid w:val="005624A1"/>
    <w:rsid w:val="005669EB"/>
    <w:rsid w:val="005710A4"/>
    <w:rsid w:val="00571EC4"/>
    <w:rsid w:val="00580AFB"/>
    <w:rsid w:val="00581861"/>
    <w:rsid w:val="00582B2C"/>
    <w:rsid w:val="005868CD"/>
    <w:rsid w:val="005873CA"/>
    <w:rsid w:val="00587BB8"/>
    <w:rsid w:val="005920C2"/>
    <w:rsid w:val="0059478C"/>
    <w:rsid w:val="00597131"/>
    <w:rsid w:val="005A0672"/>
    <w:rsid w:val="005A1772"/>
    <w:rsid w:val="005A21FD"/>
    <w:rsid w:val="005A26CE"/>
    <w:rsid w:val="005A3CFA"/>
    <w:rsid w:val="005A4E01"/>
    <w:rsid w:val="005A65CD"/>
    <w:rsid w:val="005A6BDC"/>
    <w:rsid w:val="005A714E"/>
    <w:rsid w:val="005A77F2"/>
    <w:rsid w:val="005B4A11"/>
    <w:rsid w:val="005B7572"/>
    <w:rsid w:val="005C0860"/>
    <w:rsid w:val="005C0A70"/>
    <w:rsid w:val="005C4934"/>
    <w:rsid w:val="005C57C0"/>
    <w:rsid w:val="005D0609"/>
    <w:rsid w:val="005D249F"/>
    <w:rsid w:val="005D5177"/>
    <w:rsid w:val="005E086E"/>
    <w:rsid w:val="005E367F"/>
    <w:rsid w:val="005E6D57"/>
    <w:rsid w:val="005F01F3"/>
    <w:rsid w:val="005F083D"/>
    <w:rsid w:val="005F2591"/>
    <w:rsid w:val="005F27AA"/>
    <w:rsid w:val="005F3C6F"/>
    <w:rsid w:val="005F45E3"/>
    <w:rsid w:val="006000D7"/>
    <w:rsid w:val="006020A7"/>
    <w:rsid w:val="00602423"/>
    <w:rsid w:val="00604BE2"/>
    <w:rsid w:val="00612979"/>
    <w:rsid w:val="00612EAA"/>
    <w:rsid w:val="00615BD4"/>
    <w:rsid w:val="00617EA0"/>
    <w:rsid w:val="00623292"/>
    <w:rsid w:val="0062371B"/>
    <w:rsid w:val="00623FCF"/>
    <w:rsid w:val="0062575B"/>
    <w:rsid w:val="00625F34"/>
    <w:rsid w:val="006264BA"/>
    <w:rsid w:val="00633AD0"/>
    <w:rsid w:val="00636949"/>
    <w:rsid w:val="006401B7"/>
    <w:rsid w:val="00642BA1"/>
    <w:rsid w:val="006445F7"/>
    <w:rsid w:val="0064593A"/>
    <w:rsid w:val="00645AD2"/>
    <w:rsid w:val="00645E83"/>
    <w:rsid w:val="006516D6"/>
    <w:rsid w:val="0065170E"/>
    <w:rsid w:val="00653568"/>
    <w:rsid w:val="0065387D"/>
    <w:rsid w:val="00654828"/>
    <w:rsid w:val="006555AD"/>
    <w:rsid w:val="006561F4"/>
    <w:rsid w:val="00656BD3"/>
    <w:rsid w:val="00656D20"/>
    <w:rsid w:val="00661854"/>
    <w:rsid w:val="00662120"/>
    <w:rsid w:val="00675086"/>
    <w:rsid w:val="00680762"/>
    <w:rsid w:val="006817A6"/>
    <w:rsid w:val="00681C3B"/>
    <w:rsid w:val="0068330A"/>
    <w:rsid w:val="00684DD8"/>
    <w:rsid w:val="006855CE"/>
    <w:rsid w:val="00685D9E"/>
    <w:rsid w:val="00687FCF"/>
    <w:rsid w:val="006900D5"/>
    <w:rsid w:val="006913BD"/>
    <w:rsid w:val="0069228A"/>
    <w:rsid w:val="006935EA"/>
    <w:rsid w:val="006946B4"/>
    <w:rsid w:val="006970DE"/>
    <w:rsid w:val="006A0398"/>
    <w:rsid w:val="006A5200"/>
    <w:rsid w:val="006B117E"/>
    <w:rsid w:val="006B1DF2"/>
    <w:rsid w:val="006B4075"/>
    <w:rsid w:val="006B6020"/>
    <w:rsid w:val="006B6923"/>
    <w:rsid w:val="006C0E19"/>
    <w:rsid w:val="006C2DCA"/>
    <w:rsid w:val="006C510B"/>
    <w:rsid w:val="006C71CB"/>
    <w:rsid w:val="006D0FC7"/>
    <w:rsid w:val="006D230C"/>
    <w:rsid w:val="006D46E2"/>
    <w:rsid w:val="006D594D"/>
    <w:rsid w:val="006D60BB"/>
    <w:rsid w:val="006D63D6"/>
    <w:rsid w:val="006E5128"/>
    <w:rsid w:val="006E7607"/>
    <w:rsid w:val="006F15D8"/>
    <w:rsid w:val="006F30E3"/>
    <w:rsid w:val="006F3322"/>
    <w:rsid w:val="007010A9"/>
    <w:rsid w:val="007034C3"/>
    <w:rsid w:val="007070FA"/>
    <w:rsid w:val="00707C13"/>
    <w:rsid w:val="00712C74"/>
    <w:rsid w:val="00712F5F"/>
    <w:rsid w:val="00713659"/>
    <w:rsid w:val="0071399D"/>
    <w:rsid w:val="00715A7E"/>
    <w:rsid w:val="007161B7"/>
    <w:rsid w:val="00721A75"/>
    <w:rsid w:val="007234F7"/>
    <w:rsid w:val="00724D9C"/>
    <w:rsid w:val="007250F1"/>
    <w:rsid w:val="00731B30"/>
    <w:rsid w:val="00734112"/>
    <w:rsid w:val="007350DB"/>
    <w:rsid w:val="007414CC"/>
    <w:rsid w:val="0074219D"/>
    <w:rsid w:val="007460C1"/>
    <w:rsid w:val="0074615F"/>
    <w:rsid w:val="00746CA1"/>
    <w:rsid w:val="00747116"/>
    <w:rsid w:val="00747EE8"/>
    <w:rsid w:val="00755754"/>
    <w:rsid w:val="00762103"/>
    <w:rsid w:val="00765A24"/>
    <w:rsid w:val="00767471"/>
    <w:rsid w:val="00773193"/>
    <w:rsid w:val="00775A70"/>
    <w:rsid w:val="00780E89"/>
    <w:rsid w:val="007862C7"/>
    <w:rsid w:val="00791A4B"/>
    <w:rsid w:val="00795779"/>
    <w:rsid w:val="0079633D"/>
    <w:rsid w:val="0079777F"/>
    <w:rsid w:val="007A0591"/>
    <w:rsid w:val="007A1BC5"/>
    <w:rsid w:val="007A5CAF"/>
    <w:rsid w:val="007A7187"/>
    <w:rsid w:val="007B13F3"/>
    <w:rsid w:val="007B25AC"/>
    <w:rsid w:val="007B73B1"/>
    <w:rsid w:val="007B77F1"/>
    <w:rsid w:val="007C6436"/>
    <w:rsid w:val="007C71C7"/>
    <w:rsid w:val="007D1A1F"/>
    <w:rsid w:val="007D59FC"/>
    <w:rsid w:val="007D6544"/>
    <w:rsid w:val="007D725A"/>
    <w:rsid w:val="007E05AC"/>
    <w:rsid w:val="007E253E"/>
    <w:rsid w:val="007E6365"/>
    <w:rsid w:val="007E6C25"/>
    <w:rsid w:val="007F0616"/>
    <w:rsid w:val="007F37E8"/>
    <w:rsid w:val="007F662C"/>
    <w:rsid w:val="007F7B22"/>
    <w:rsid w:val="00803AD1"/>
    <w:rsid w:val="00804343"/>
    <w:rsid w:val="00804C7B"/>
    <w:rsid w:val="00807CCB"/>
    <w:rsid w:val="0081052D"/>
    <w:rsid w:val="0081418F"/>
    <w:rsid w:val="008146C7"/>
    <w:rsid w:val="00816BDA"/>
    <w:rsid w:val="00820CE7"/>
    <w:rsid w:val="0082159C"/>
    <w:rsid w:val="00822E82"/>
    <w:rsid w:val="00823696"/>
    <w:rsid w:val="008243FF"/>
    <w:rsid w:val="00827D7C"/>
    <w:rsid w:val="008301E4"/>
    <w:rsid w:val="008327B7"/>
    <w:rsid w:val="00834534"/>
    <w:rsid w:val="00835556"/>
    <w:rsid w:val="00835EEB"/>
    <w:rsid w:val="00837554"/>
    <w:rsid w:val="00842491"/>
    <w:rsid w:val="0084368D"/>
    <w:rsid w:val="00847EF0"/>
    <w:rsid w:val="00853EEB"/>
    <w:rsid w:val="00861C3D"/>
    <w:rsid w:val="00862E3D"/>
    <w:rsid w:val="0086303D"/>
    <w:rsid w:val="00866636"/>
    <w:rsid w:val="008725FE"/>
    <w:rsid w:val="008778D4"/>
    <w:rsid w:val="00877C3D"/>
    <w:rsid w:val="00885F23"/>
    <w:rsid w:val="00885F8E"/>
    <w:rsid w:val="008879CF"/>
    <w:rsid w:val="00891945"/>
    <w:rsid w:val="008948B3"/>
    <w:rsid w:val="0089663E"/>
    <w:rsid w:val="00897530"/>
    <w:rsid w:val="00897C4B"/>
    <w:rsid w:val="008A001F"/>
    <w:rsid w:val="008A01AA"/>
    <w:rsid w:val="008A0E59"/>
    <w:rsid w:val="008A6197"/>
    <w:rsid w:val="008B561B"/>
    <w:rsid w:val="008B6EE7"/>
    <w:rsid w:val="008B70AA"/>
    <w:rsid w:val="008C2CA6"/>
    <w:rsid w:val="008C351D"/>
    <w:rsid w:val="008C508C"/>
    <w:rsid w:val="008D2621"/>
    <w:rsid w:val="008D476F"/>
    <w:rsid w:val="008E48A5"/>
    <w:rsid w:val="008F45EC"/>
    <w:rsid w:val="008F4AE3"/>
    <w:rsid w:val="00903DC0"/>
    <w:rsid w:val="009046E4"/>
    <w:rsid w:val="00911618"/>
    <w:rsid w:val="009175F9"/>
    <w:rsid w:val="00917C49"/>
    <w:rsid w:val="00920004"/>
    <w:rsid w:val="00920C5A"/>
    <w:rsid w:val="00920E6E"/>
    <w:rsid w:val="009218D6"/>
    <w:rsid w:val="009225EA"/>
    <w:rsid w:val="00923870"/>
    <w:rsid w:val="009242E1"/>
    <w:rsid w:val="009243DF"/>
    <w:rsid w:val="00925BF7"/>
    <w:rsid w:val="00931AED"/>
    <w:rsid w:val="00934DC8"/>
    <w:rsid w:val="0093583B"/>
    <w:rsid w:val="0094197C"/>
    <w:rsid w:val="00942834"/>
    <w:rsid w:val="0094383C"/>
    <w:rsid w:val="00944DAF"/>
    <w:rsid w:val="00945CCA"/>
    <w:rsid w:val="00946DB9"/>
    <w:rsid w:val="00953455"/>
    <w:rsid w:val="009545BA"/>
    <w:rsid w:val="00960956"/>
    <w:rsid w:val="00963EA3"/>
    <w:rsid w:val="00967727"/>
    <w:rsid w:val="009706DE"/>
    <w:rsid w:val="00971612"/>
    <w:rsid w:val="00971F7B"/>
    <w:rsid w:val="00976076"/>
    <w:rsid w:val="009773E4"/>
    <w:rsid w:val="00981DC5"/>
    <w:rsid w:val="00984250"/>
    <w:rsid w:val="00984CB9"/>
    <w:rsid w:val="00985133"/>
    <w:rsid w:val="00986801"/>
    <w:rsid w:val="009876F6"/>
    <w:rsid w:val="00987934"/>
    <w:rsid w:val="0099162D"/>
    <w:rsid w:val="0099762E"/>
    <w:rsid w:val="00997C20"/>
    <w:rsid w:val="009A091E"/>
    <w:rsid w:val="009A13B4"/>
    <w:rsid w:val="009A273E"/>
    <w:rsid w:val="009B33E7"/>
    <w:rsid w:val="009B5F09"/>
    <w:rsid w:val="009B5F48"/>
    <w:rsid w:val="009B72D5"/>
    <w:rsid w:val="009C1092"/>
    <w:rsid w:val="009C10BA"/>
    <w:rsid w:val="009C68C3"/>
    <w:rsid w:val="009C6FD8"/>
    <w:rsid w:val="009C786C"/>
    <w:rsid w:val="009C7A76"/>
    <w:rsid w:val="009D5260"/>
    <w:rsid w:val="009D6850"/>
    <w:rsid w:val="009E4135"/>
    <w:rsid w:val="009E5759"/>
    <w:rsid w:val="009E5A1F"/>
    <w:rsid w:val="009E614A"/>
    <w:rsid w:val="009F1617"/>
    <w:rsid w:val="009F17E8"/>
    <w:rsid w:val="009F6BE6"/>
    <w:rsid w:val="009F7667"/>
    <w:rsid w:val="009F7CA6"/>
    <w:rsid w:val="00A035D5"/>
    <w:rsid w:val="00A058B4"/>
    <w:rsid w:val="00A06ACC"/>
    <w:rsid w:val="00A07605"/>
    <w:rsid w:val="00A07E22"/>
    <w:rsid w:val="00A07ED2"/>
    <w:rsid w:val="00A10734"/>
    <w:rsid w:val="00A14961"/>
    <w:rsid w:val="00A15C6E"/>
    <w:rsid w:val="00A1791E"/>
    <w:rsid w:val="00A20C18"/>
    <w:rsid w:val="00A2144A"/>
    <w:rsid w:val="00A22D83"/>
    <w:rsid w:val="00A23B02"/>
    <w:rsid w:val="00A25EAA"/>
    <w:rsid w:val="00A27AE0"/>
    <w:rsid w:val="00A27D62"/>
    <w:rsid w:val="00A310EE"/>
    <w:rsid w:val="00A32F93"/>
    <w:rsid w:val="00A3331D"/>
    <w:rsid w:val="00A3545A"/>
    <w:rsid w:val="00A41120"/>
    <w:rsid w:val="00A42770"/>
    <w:rsid w:val="00A46B66"/>
    <w:rsid w:val="00A4727E"/>
    <w:rsid w:val="00A512AA"/>
    <w:rsid w:val="00A54E1C"/>
    <w:rsid w:val="00A57B4C"/>
    <w:rsid w:val="00A613E5"/>
    <w:rsid w:val="00A614BD"/>
    <w:rsid w:val="00A62A24"/>
    <w:rsid w:val="00A727B0"/>
    <w:rsid w:val="00A73691"/>
    <w:rsid w:val="00A7554A"/>
    <w:rsid w:val="00A77591"/>
    <w:rsid w:val="00A80E66"/>
    <w:rsid w:val="00A8314E"/>
    <w:rsid w:val="00A83C31"/>
    <w:rsid w:val="00A84C66"/>
    <w:rsid w:val="00A866C0"/>
    <w:rsid w:val="00A871BD"/>
    <w:rsid w:val="00A919B9"/>
    <w:rsid w:val="00A93151"/>
    <w:rsid w:val="00AA25F0"/>
    <w:rsid w:val="00AB1F6E"/>
    <w:rsid w:val="00AB3100"/>
    <w:rsid w:val="00AB3771"/>
    <w:rsid w:val="00AB7B40"/>
    <w:rsid w:val="00AC0821"/>
    <w:rsid w:val="00AC1F53"/>
    <w:rsid w:val="00AC23C8"/>
    <w:rsid w:val="00AD0BCB"/>
    <w:rsid w:val="00AD19C6"/>
    <w:rsid w:val="00AD219A"/>
    <w:rsid w:val="00AD429E"/>
    <w:rsid w:val="00AE0830"/>
    <w:rsid w:val="00AE3379"/>
    <w:rsid w:val="00AE451A"/>
    <w:rsid w:val="00AE45DC"/>
    <w:rsid w:val="00AF234D"/>
    <w:rsid w:val="00AF2960"/>
    <w:rsid w:val="00AF43BB"/>
    <w:rsid w:val="00AF48A9"/>
    <w:rsid w:val="00AF63AC"/>
    <w:rsid w:val="00AF733A"/>
    <w:rsid w:val="00B022C2"/>
    <w:rsid w:val="00B023C2"/>
    <w:rsid w:val="00B03C41"/>
    <w:rsid w:val="00B0696D"/>
    <w:rsid w:val="00B06A00"/>
    <w:rsid w:val="00B072F1"/>
    <w:rsid w:val="00B12898"/>
    <w:rsid w:val="00B1356D"/>
    <w:rsid w:val="00B2557F"/>
    <w:rsid w:val="00B34997"/>
    <w:rsid w:val="00B35B3E"/>
    <w:rsid w:val="00B40270"/>
    <w:rsid w:val="00B41C2A"/>
    <w:rsid w:val="00B42E54"/>
    <w:rsid w:val="00B4482E"/>
    <w:rsid w:val="00B44CB9"/>
    <w:rsid w:val="00B45353"/>
    <w:rsid w:val="00B51CA4"/>
    <w:rsid w:val="00B52BC1"/>
    <w:rsid w:val="00B54A1F"/>
    <w:rsid w:val="00B652E7"/>
    <w:rsid w:val="00B71B23"/>
    <w:rsid w:val="00B74199"/>
    <w:rsid w:val="00B76872"/>
    <w:rsid w:val="00B80D1C"/>
    <w:rsid w:val="00B80E0C"/>
    <w:rsid w:val="00B934BC"/>
    <w:rsid w:val="00B960B6"/>
    <w:rsid w:val="00BA10E5"/>
    <w:rsid w:val="00BA22C3"/>
    <w:rsid w:val="00BA329A"/>
    <w:rsid w:val="00BA56B8"/>
    <w:rsid w:val="00BA638F"/>
    <w:rsid w:val="00BB28A0"/>
    <w:rsid w:val="00BB434F"/>
    <w:rsid w:val="00BB4E76"/>
    <w:rsid w:val="00BB5D94"/>
    <w:rsid w:val="00BC3A24"/>
    <w:rsid w:val="00BC47A1"/>
    <w:rsid w:val="00BC7AE2"/>
    <w:rsid w:val="00BD2F9D"/>
    <w:rsid w:val="00BD5711"/>
    <w:rsid w:val="00BE756A"/>
    <w:rsid w:val="00BF0730"/>
    <w:rsid w:val="00BF701D"/>
    <w:rsid w:val="00BF771E"/>
    <w:rsid w:val="00C00B06"/>
    <w:rsid w:val="00C034CD"/>
    <w:rsid w:val="00C048A5"/>
    <w:rsid w:val="00C06DCB"/>
    <w:rsid w:val="00C113BE"/>
    <w:rsid w:val="00C15ADC"/>
    <w:rsid w:val="00C16122"/>
    <w:rsid w:val="00C17A8F"/>
    <w:rsid w:val="00C20160"/>
    <w:rsid w:val="00C211D6"/>
    <w:rsid w:val="00C31C7D"/>
    <w:rsid w:val="00C31CBE"/>
    <w:rsid w:val="00C327FD"/>
    <w:rsid w:val="00C37474"/>
    <w:rsid w:val="00C3759F"/>
    <w:rsid w:val="00C41268"/>
    <w:rsid w:val="00C46042"/>
    <w:rsid w:val="00C4648D"/>
    <w:rsid w:val="00C57F2C"/>
    <w:rsid w:val="00C62816"/>
    <w:rsid w:val="00C66FA0"/>
    <w:rsid w:val="00C74C2F"/>
    <w:rsid w:val="00C75086"/>
    <w:rsid w:val="00C765E3"/>
    <w:rsid w:val="00C82B3C"/>
    <w:rsid w:val="00C93BE8"/>
    <w:rsid w:val="00CA0DC6"/>
    <w:rsid w:val="00CA351F"/>
    <w:rsid w:val="00CA5FCE"/>
    <w:rsid w:val="00CA753F"/>
    <w:rsid w:val="00CB194C"/>
    <w:rsid w:val="00CB5461"/>
    <w:rsid w:val="00CB760D"/>
    <w:rsid w:val="00CB79E3"/>
    <w:rsid w:val="00CD028C"/>
    <w:rsid w:val="00CD2AC5"/>
    <w:rsid w:val="00CD309B"/>
    <w:rsid w:val="00CD4C2C"/>
    <w:rsid w:val="00CD5AF4"/>
    <w:rsid w:val="00CE0308"/>
    <w:rsid w:val="00CE2DFE"/>
    <w:rsid w:val="00CF2B20"/>
    <w:rsid w:val="00CF2F08"/>
    <w:rsid w:val="00CF4B99"/>
    <w:rsid w:val="00D0068E"/>
    <w:rsid w:val="00D05D30"/>
    <w:rsid w:val="00D11B06"/>
    <w:rsid w:val="00D139CE"/>
    <w:rsid w:val="00D14BB7"/>
    <w:rsid w:val="00D15EFD"/>
    <w:rsid w:val="00D20063"/>
    <w:rsid w:val="00D205B3"/>
    <w:rsid w:val="00D241B6"/>
    <w:rsid w:val="00D24EDB"/>
    <w:rsid w:val="00D31D21"/>
    <w:rsid w:val="00D32976"/>
    <w:rsid w:val="00D330CD"/>
    <w:rsid w:val="00D36975"/>
    <w:rsid w:val="00D411D4"/>
    <w:rsid w:val="00D43B6F"/>
    <w:rsid w:val="00D449E4"/>
    <w:rsid w:val="00D468CB"/>
    <w:rsid w:val="00D50825"/>
    <w:rsid w:val="00D5545F"/>
    <w:rsid w:val="00D57A5E"/>
    <w:rsid w:val="00D664EB"/>
    <w:rsid w:val="00D66F7A"/>
    <w:rsid w:val="00D75177"/>
    <w:rsid w:val="00D80AD9"/>
    <w:rsid w:val="00D8439E"/>
    <w:rsid w:val="00D85996"/>
    <w:rsid w:val="00D877CB"/>
    <w:rsid w:val="00D87D9A"/>
    <w:rsid w:val="00D921E9"/>
    <w:rsid w:val="00D968D2"/>
    <w:rsid w:val="00D96F11"/>
    <w:rsid w:val="00D97FBF"/>
    <w:rsid w:val="00DA3DA7"/>
    <w:rsid w:val="00DA5CBE"/>
    <w:rsid w:val="00DB0E89"/>
    <w:rsid w:val="00DB54D7"/>
    <w:rsid w:val="00DB5DE4"/>
    <w:rsid w:val="00DC0747"/>
    <w:rsid w:val="00DC13DA"/>
    <w:rsid w:val="00DC2029"/>
    <w:rsid w:val="00DD007C"/>
    <w:rsid w:val="00DD1C40"/>
    <w:rsid w:val="00DD2F6C"/>
    <w:rsid w:val="00DD603A"/>
    <w:rsid w:val="00DD6B28"/>
    <w:rsid w:val="00DE1696"/>
    <w:rsid w:val="00DE1D40"/>
    <w:rsid w:val="00DE55D5"/>
    <w:rsid w:val="00DE6AD3"/>
    <w:rsid w:val="00DF1361"/>
    <w:rsid w:val="00E05125"/>
    <w:rsid w:val="00E052CE"/>
    <w:rsid w:val="00E0749E"/>
    <w:rsid w:val="00E108BE"/>
    <w:rsid w:val="00E1265A"/>
    <w:rsid w:val="00E17079"/>
    <w:rsid w:val="00E23E2D"/>
    <w:rsid w:val="00E35AF9"/>
    <w:rsid w:val="00E40BEC"/>
    <w:rsid w:val="00E43395"/>
    <w:rsid w:val="00E47458"/>
    <w:rsid w:val="00E519B2"/>
    <w:rsid w:val="00E5416D"/>
    <w:rsid w:val="00E55774"/>
    <w:rsid w:val="00E734B8"/>
    <w:rsid w:val="00E749E3"/>
    <w:rsid w:val="00E75340"/>
    <w:rsid w:val="00E77B07"/>
    <w:rsid w:val="00E8192F"/>
    <w:rsid w:val="00E81BB6"/>
    <w:rsid w:val="00E9071F"/>
    <w:rsid w:val="00E90C43"/>
    <w:rsid w:val="00E92E28"/>
    <w:rsid w:val="00E935F8"/>
    <w:rsid w:val="00E96D0D"/>
    <w:rsid w:val="00EA3688"/>
    <w:rsid w:val="00EA4BF7"/>
    <w:rsid w:val="00EB4F75"/>
    <w:rsid w:val="00EB5498"/>
    <w:rsid w:val="00EB624C"/>
    <w:rsid w:val="00EB6B8E"/>
    <w:rsid w:val="00EC07F3"/>
    <w:rsid w:val="00EC1AED"/>
    <w:rsid w:val="00EC3B6C"/>
    <w:rsid w:val="00EC492F"/>
    <w:rsid w:val="00EC4AA9"/>
    <w:rsid w:val="00EC54DA"/>
    <w:rsid w:val="00EC5B36"/>
    <w:rsid w:val="00ED2D91"/>
    <w:rsid w:val="00ED2FC8"/>
    <w:rsid w:val="00EE05A9"/>
    <w:rsid w:val="00EE0669"/>
    <w:rsid w:val="00EE37E8"/>
    <w:rsid w:val="00EF269E"/>
    <w:rsid w:val="00EF4789"/>
    <w:rsid w:val="00EF5229"/>
    <w:rsid w:val="00EF70B2"/>
    <w:rsid w:val="00EF73A3"/>
    <w:rsid w:val="00EF7514"/>
    <w:rsid w:val="00EF77A4"/>
    <w:rsid w:val="00F02B8F"/>
    <w:rsid w:val="00F0337F"/>
    <w:rsid w:val="00F057D4"/>
    <w:rsid w:val="00F05813"/>
    <w:rsid w:val="00F102BB"/>
    <w:rsid w:val="00F11DD2"/>
    <w:rsid w:val="00F12FF7"/>
    <w:rsid w:val="00F155DF"/>
    <w:rsid w:val="00F208EB"/>
    <w:rsid w:val="00F209C2"/>
    <w:rsid w:val="00F22F2F"/>
    <w:rsid w:val="00F23452"/>
    <w:rsid w:val="00F238E6"/>
    <w:rsid w:val="00F26A73"/>
    <w:rsid w:val="00F26E6B"/>
    <w:rsid w:val="00F27DE5"/>
    <w:rsid w:val="00F30D99"/>
    <w:rsid w:val="00F32707"/>
    <w:rsid w:val="00F34ED2"/>
    <w:rsid w:val="00F353EA"/>
    <w:rsid w:val="00F358CD"/>
    <w:rsid w:val="00F35A3F"/>
    <w:rsid w:val="00F36D5B"/>
    <w:rsid w:val="00F403E3"/>
    <w:rsid w:val="00F41536"/>
    <w:rsid w:val="00F4246B"/>
    <w:rsid w:val="00F45C56"/>
    <w:rsid w:val="00F468D8"/>
    <w:rsid w:val="00F46925"/>
    <w:rsid w:val="00F51F7D"/>
    <w:rsid w:val="00F535D9"/>
    <w:rsid w:val="00F6031B"/>
    <w:rsid w:val="00F67319"/>
    <w:rsid w:val="00F73E33"/>
    <w:rsid w:val="00F745AC"/>
    <w:rsid w:val="00F75280"/>
    <w:rsid w:val="00F761D3"/>
    <w:rsid w:val="00F765CE"/>
    <w:rsid w:val="00F76ED3"/>
    <w:rsid w:val="00F81D6A"/>
    <w:rsid w:val="00F8785F"/>
    <w:rsid w:val="00F94FAB"/>
    <w:rsid w:val="00F975B4"/>
    <w:rsid w:val="00FA0C3D"/>
    <w:rsid w:val="00FA17B9"/>
    <w:rsid w:val="00FA31D1"/>
    <w:rsid w:val="00FA4059"/>
    <w:rsid w:val="00FA494C"/>
    <w:rsid w:val="00FB5DCE"/>
    <w:rsid w:val="00FC0535"/>
    <w:rsid w:val="00FC3376"/>
    <w:rsid w:val="00FC4310"/>
    <w:rsid w:val="00FC6583"/>
    <w:rsid w:val="00FC690A"/>
    <w:rsid w:val="00FD0F0E"/>
    <w:rsid w:val="00FD14F1"/>
    <w:rsid w:val="00FD14F2"/>
    <w:rsid w:val="00FD432E"/>
    <w:rsid w:val="00FD4DD6"/>
    <w:rsid w:val="00FD5E3E"/>
    <w:rsid w:val="00FE1609"/>
    <w:rsid w:val="00FF07A5"/>
    <w:rsid w:val="00FF134B"/>
    <w:rsid w:val="00FF1B35"/>
    <w:rsid w:val="00FF436F"/>
    <w:rsid w:val="00FF620D"/>
    <w:rsid w:val="00FF69A3"/>
    <w:rsid w:val="00FF6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D42B35"/>
  <w15:chartTrackingRefBased/>
  <w15:docId w15:val="{5480E92B-A921-447A-BBA7-3192C6DDD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95779"/>
    <w:pPr>
      <w:keepNext/>
      <w:keepLines/>
      <w:spacing w:before="240" w:after="0"/>
      <w:outlineLvl w:val="0"/>
    </w:pPr>
    <w:rPr>
      <w:rFonts w:asciiTheme="majorHAnsi" w:eastAsiaTheme="majorEastAsia" w:hAnsiTheme="majorHAnsi" w:cstheme="majorBidi"/>
      <w:color w:val="374C80"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5779"/>
    <w:rPr>
      <w:rFonts w:asciiTheme="majorHAnsi" w:eastAsiaTheme="majorEastAsia" w:hAnsiTheme="majorHAnsi" w:cstheme="majorBidi"/>
      <w:color w:val="374C80" w:themeColor="accent1" w:themeShade="BF"/>
      <w:sz w:val="32"/>
      <w:szCs w:val="32"/>
    </w:rPr>
  </w:style>
  <w:style w:type="paragraph" w:styleId="Header">
    <w:name w:val="header"/>
    <w:basedOn w:val="Normal"/>
    <w:link w:val="HeaderChar"/>
    <w:uiPriority w:val="99"/>
    <w:unhideWhenUsed/>
    <w:rsid w:val="00A755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554A"/>
  </w:style>
  <w:style w:type="paragraph" w:styleId="Footer">
    <w:name w:val="footer"/>
    <w:basedOn w:val="Normal"/>
    <w:link w:val="FooterChar"/>
    <w:uiPriority w:val="99"/>
    <w:unhideWhenUsed/>
    <w:rsid w:val="00A755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554A"/>
  </w:style>
  <w:style w:type="paragraph" w:styleId="FootnoteText">
    <w:name w:val="footnote text"/>
    <w:basedOn w:val="Normal"/>
    <w:link w:val="FootnoteTextChar"/>
    <w:uiPriority w:val="99"/>
    <w:semiHidden/>
    <w:unhideWhenUsed/>
    <w:rsid w:val="007E63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6365"/>
    <w:rPr>
      <w:sz w:val="20"/>
      <w:szCs w:val="20"/>
    </w:rPr>
  </w:style>
  <w:style w:type="character" w:styleId="FootnoteReference">
    <w:name w:val="footnote reference"/>
    <w:basedOn w:val="DefaultParagraphFont"/>
    <w:uiPriority w:val="99"/>
    <w:semiHidden/>
    <w:unhideWhenUsed/>
    <w:rsid w:val="007E6365"/>
    <w:rPr>
      <w:vertAlign w:val="superscript"/>
    </w:rPr>
  </w:style>
  <w:style w:type="paragraph" w:styleId="Bibliography">
    <w:name w:val="Bibliography"/>
    <w:basedOn w:val="Normal"/>
    <w:next w:val="Normal"/>
    <w:uiPriority w:val="37"/>
    <w:unhideWhenUsed/>
    <w:rsid w:val="007E6365"/>
  </w:style>
  <w:style w:type="character" w:styleId="Hyperlink">
    <w:name w:val="Hyperlink"/>
    <w:basedOn w:val="DefaultParagraphFont"/>
    <w:uiPriority w:val="99"/>
    <w:unhideWhenUsed/>
    <w:rsid w:val="00CF4B99"/>
    <w:rPr>
      <w:color w:val="9454C3" w:themeColor="hyperlink"/>
      <w:u w:val="single"/>
    </w:rPr>
  </w:style>
  <w:style w:type="character" w:customStyle="1" w:styleId="UnresolvedMention">
    <w:name w:val="Unresolved Mention"/>
    <w:basedOn w:val="DefaultParagraphFont"/>
    <w:uiPriority w:val="99"/>
    <w:semiHidden/>
    <w:unhideWhenUsed/>
    <w:rsid w:val="00CF4B99"/>
    <w:rPr>
      <w:color w:val="605E5C"/>
      <w:shd w:val="clear" w:color="auto" w:fill="E1DFDD"/>
    </w:rPr>
  </w:style>
  <w:style w:type="paragraph" w:styleId="ListParagraph">
    <w:name w:val="List Paragraph"/>
    <w:basedOn w:val="Normal"/>
    <w:uiPriority w:val="34"/>
    <w:qFormat/>
    <w:rsid w:val="00081D1F"/>
    <w:pPr>
      <w:ind w:left="720"/>
      <w:contextualSpacing/>
    </w:pPr>
  </w:style>
  <w:style w:type="table" w:styleId="TableGrid">
    <w:name w:val="Table Grid"/>
    <w:basedOn w:val="TableNormal"/>
    <w:uiPriority w:val="59"/>
    <w:rsid w:val="006B1D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F23452"/>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F23452"/>
    <w:rPr>
      <w:rFonts w:eastAsiaTheme="minorEastAsia"/>
      <w:kern w:val="0"/>
      <w14:ligatures w14:val="none"/>
    </w:rPr>
  </w:style>
  <w:style w:type="paragraph" w:styleId="Revision">
    <w:name w:val="Revision"/>
    <w:hidden/>
    <w:uiPriority w:val="99"/>
    <w:semiHidden/>
    <w:rsid w:val="002474DB"/>
    <w:pPr>
      <w:spacing w:after="0" w:line="240" w:lineRule="auto"/>
    </w:pPr>
  </w:style>
  <w:style w:type="paragraph" w:styleId="Title">
    <w:name w:val="Title"/>
    <w:basedOn w:val="Normal"/>
    <w:next w:val="Normal"/>
    <w:link w:val="TitleChar"/>
    <w:uiPriority w:val="10"/>
    <w:qFormat/>
    <w:rsid w:val="00252072"/>
    <w:pPr>
      <w:spacing w:after="0" w:line="216" w:lineRule="auto"/>
      <w:contextualSpacing/>
    </w:pPr>
    <w:rPr>
      <w:rFonts w:asciiTheme="majorHAnsi" w:eastAsiaTheme="majorEastAsia" w:hAnsiTheme="majorHAnsi" w:cstheme="majorBidi"/>
      <w:color w:val="404040" w:themeColor="text1" w:themeTint="BF"/>
      <w:spacing w:val="-10"/>
      <w:kern w:val="28"/>
      <w:sz w:val="56"/>
      <w:szCs w:val="56"/>
      <w14:ligatures w14:val="none"/>
    </w:rPr>
  </w:style>
  <w:style w:type="character" w:customStyle="1" w:styleId="TitleChar">
    <w:name w:val="Title Char"/>
    <w:basedOn w:val="DefaultParagraphFont"/>
    <w:link w:val="Title"/>
    <w:uiPriority w:val="10"/>
    <w:rsid w:val="00252072"/>
    <w:rPr>
      <w:rFonts w:asciiTheme="majorHAnsi" w:eastAsiaTheme="majorEastAsia" w:hAnsiTheme="majorHAnsi" w:cstheme="majorBidi"/>
      <w:color w:val="404040" w:themeColor="text1" w:themeTint="BF"/>
      <w:spacing w:val="-10"/>
      <w:kern w:val="28"/>
      <w:sz w:val="56"/>
      <w:szCs w:val="56"/>
      <w14:ligatures w14:val="none"/>
    </w:rPr>
  </w:style>
  <w:style w:type="paragraph" w:styleId="Subtitle">
    <w:name w:val="Subtitle"/>
    <w:basedOn w:val="Normal"/>
    <w:next w:val="Normal"/>
    <w:link w:val="SubtitleChar"/>
    <w:uiPriority w:val="11"/>
    <w:qFormat/>
    <w:rsid w:val="00252072"/>
    <w:pPr>
      <w:numPr>
        <w:ilvl w:val="1"/>
      </w:numPr>
    </w:pPr>
    <w:rPr>
      <w:rFonts w:eastAsiaTheme="minorEastAsia" w:cs="Times New Roman"/>
      <w:color w:val="5A5A5A" w:themeColor="text1" w:themeTint="A5"/>
      <w:spacing w:val="15"/>
      <w:kern w:val="0"/>
      <w14:ligatures w14:val="none"/>
    </w:rPr>
  </w:style>
  <w:style w:type="character" w:customStyle="1" w:styleId="SubtitleChar">
    <w:name w:val="Subtitle Char"/>
    <w:basedOn w:val="DefaultParagraphFont"/>
    <w:link w:val="Subtitle"/>
    <w:uiPriority w:val="11"/>
    <w:rsid w:val="00252072"/>
    <w:rPr>
      <w:rFonts w:eastAsiaTheme="minorEastAsia" w:cs="Times New Roman"/>
      <w:color w:val="5A5A5A" w:themeColor="text1" w:themeTint="A5"/>
      <w:spacing w:val="15"/>
      <w:kern w:val="0"/>
      <w14:ligatures w14:val="none"/>
    </w:rPr>
  </w:style>
  <w:style w:type="character" w:styleId="FollowedHyperlink">
    <w:name w:val="FollowedHyperlink"/>
    <w:basedOn w:val="DefaultParagraphFont"/>
    <w:uiPriority w:val="99"/>
    <w:semiHidden/>
    <w:unhideWhenUsed/>
    <w:rsid w:val="004F53A2"/>
    <w:rPr>
      <w:color w:val="3EBBF0" w:themeColor="followedHyperlink"/>
      <w:u w:val="single"/>
    </w:rPr>
  </w:style>
  <w:style w:type="character" w:styleId="CommentReference">
    <w:name w:val="annotation reference"/>
    <w:basedOn w:val="DefaultParagraphFont"/>
    <w:uiPriority w:val="99"/>
    <w:semiHidden/>
    <w:unhideWhenUsed/>
    <w:rsid w:val="00235235"/>
    <w:rPr>
      <w:sz w:val="16"/>
      <w:szCs w:val="16"/>
    </w:rPr>
  </w:style>
  <w:style w:type="paragraph" w:styleId="CommentText">
    <w:name w:val="annotation text"/>
    <w:basedOn w:val="Normal"/>
    <w:link w:val="CommentTextChar"/>
    <w:uiPriority w:val="99"/>
    <w:semiHidden/>
    <w:unhideWhenUsed/>
    <w:rsid w:val="00235235"/>
    <w:pPr>
      <w:spacing w:line="240" w:lineRule="auto"/>
    </w:pPr>
    <w:rPr>
      <w:sz w:val="20"/>
      <w:szCs w:val="20"/>
    </w:rPr>
  </w:style>
  <w:style w:type="character" w:customStyle="1" w:styleId="CommentTextChar">
    <w:name w:val="Comment Text Char"/>
    <w:basedOn w:val="DefaultParagraphFont"/>
    <w:link w:val="CommentText"/>
    <w:uiPriority w:val="99"/>
    <w:semiHidden/>
    <w:rsid w:val="00235235"/>
    <w:rPr>
      <w:sz w:val="20"/>
      <w:szCs w:val="20"/>
    </w:rPr>
  </w:style>
  <w:style w:type="paragraph" w:styleId="CommentSubject">
    <w:name w:val="annotation subject"/>
    <w:basedOn w:val="CommentText"/>
    <w:next w:val="CommentText"/>
    <w:link w:val="CommentSubjectChar"/>
    <w:uiPriority w:val="99"/>
    <w:semiHidden/>
    <w:unhideWhenUsed/>
    <w:rsid w:val="00235235"/>
    <w:rPr>
      <w:b/>
      <w:bCs/>
    </w:rPr>
  </w:style>
  <w:style w:type="character" w:customStyle="1" w:styleId="CommentSubjectChar">
    <w:name w:val="Comment Subject Char"/>
    <w:basedOn w:val="CommentTextChar"/>
    <w:link w:val="CommentSubject"/>
    <w:uiPriority w:val="99"/>
    <w:semiHidden/>
    <w:rsid w:val="00235235"/>
    <w:rPr>
      <w:b/>
      <w:bCs/>
      <w:sz w:val="20"/>
      <w:szCs w:val="20"/>
    </w:rPr>
  </w:style>
  <w:style w:type="character" w:customStyle="1" w:styleId="gch-1mzntqd">
    <w:name w:val="gch-1mzntqd"/>
    <w:basedOn w:val="DefaultParagraphFont"/>
    <w:rsid w:val="00EF7514"/>
  </w:style>
  <w:style w:type="paragraph" w:customStyle="1" w:styleId="gch-1kingnr">
    <w:name w:val="gch-1kingnr"/>
    <w:basedOn w:val="Normal"/>
    <w:rsid w:val="00EF751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438315">
      <w:bodyDiv w:val="1"/>
      <w:marLeft w:val="0"/>
      <w:marRight w:val="0"/>
      <w:marTop w:val="0"/>
      <w:marBottom w:val="0"/>
      <w:divBdr>
        <w:top w:val="none" w:sz="0" w:space="0" w:color="auto"/>
        <w:left w:val="none" w:sz="0" w:space="0" w:color="auto"/>
        <w:bottom w:val="none" w:sz="0" w:space="0" w:color="auto"/>
        <w:right w:val="none" w:sz="0" w:space="0" w:color="auto"/>
      </w:divBdr>
    </w:div>
    <w:div w:id="762187060">
      <w:bodyDiv w:val="1"/>
      <w:marLeft w:val="0"/>
      <w:marRight w:val="0"/>
      <w:marTop w:val="0"/>
      <w:marBottom w:val="0"/>
      <w:divBdr>
        <w:top w:val="none" w:sz="0" w:space="0" w:color="auto"/>
        <w:left w:val="none" w:sz="0" w:space="0" w:color="auto"/>
        <w:bottom w:val="none" w:sz="0" w:space="0" w:color="auto"/>
        <w:right w:val="none" w:sz="0" w:space="0" w:color="auto"/>
      </w:divBdr>
      <w:divsChild>
        <w:div w:id="1277103419">
          <w:marLeft w:val="0"/>
          <w:marRight w:val="0"/>
          <w:marTop w:val="240"/>
          <w:marBottom w:val="0"/>
          <w:divBdr>
            <w:top w:val="none" w:sz="0" w:space="0" w:color="auto"/>
            <w:left w:val="none" w:sz="0" w:space="0" w:color="auto"/>
            <w:bottom w:val="none" w:sz="0" w:space="0" w:color="auto"/>
            <w:right w:val="none" w:sz="0" w:space="0" w:color="auto"/>
          </w:divBdr>
          <w:divsChild>
            <w:div w:id="126630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1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nrs.mk" TargetMode="External"/><Relationship Id="rId7" Type="http://schemas.openxmlformats.org/officeDocument/2006/relationships/hyperlink" Target="https://view.officeapps.live.com/op/view.aspx?src=https%3A%2F%2Fmon.gov.mk%2Fstored%2Fdocument%2FMk_%2520S3-AP%252020.12.2023_MK.DOC&amp;wdOrigin=BROWSELINK" TargetMode="External"/><Relationship Id="rId2" Type="http://schemas.openxmlformats.org/officeDocument/2006/relationships/hyperlink" Target="https://www.esfri.eu/" TargetMode="External"/><Relationship Id="rId1" Type="http://schemas.openxmlformats.org/officeDocument/2006/relationships/hyperlink" Target="https://eur-lex.europa.eu/eli/reg/2021/695/oj" TargetMode="External"/><Relationship Id="rId6" Type="http://schemas.openxmlformats.org/officeDocument/2006/relationships/hyperlink" Target="https://mon.gov.mk/download/?f=Mk_%20S3_MK%20%2020.12.2023.doc" TargetMode="External"/><Relationship Id="rId5" Type="http://schemas.openxmlformats.org/officeDocument/2006/relationships/hyperlink" Target="https://www.nacionalensovetzavoinid.com.mk/images/dokumenti.pdf" TargetMode="External"/><Relationship Id="rId4" Type="http://schemas.openxmlformats.org/officeDocument/2006/relationships/hyperlink" Target="http://www.nacionalensovetzavoinid.com.mk/images/dokumenti/&#1055;&#1088;&#1077;&#1076;&#1083;&#1086;&#1075;-&#1053;&#1072;&#1094;&#1080;&#1086;&#1085;&#1072;&#1083;&#1085;&#1072;%20&#1087;&#1088;&#1086;&#1075;&#1088;&#1072;&#1084;&#1072;%20&#1079;&#1072;%20&#1053;.&#1048;.&#1044;..pdf"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mlade\Downloads\ani.xlsx" TargetMode="External"/><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sr-Latn-RS" sz="1400"/>
              <a:t>Share of funds </a:t>
            </a:r>
            <a:r>
              <a:rPr lang="en-US" sz="1400"/>
              <a:t>allocated </a:t>
            </a:r>
            <a:r>
              <a:rPr lang="sr-Latn-RS" sz="1400"/>
              <a:t>for</a:t>
            </a:r>
            <a:r>
              <a:rPr lang="sr-Latn-RS" sz="1400" baseline="0"/>
              <a:t> research equipment per University</a:t>
            </a:r>
            <a:endParaRPr lang="en-GB" sz="1400"/>
          </a:p>
        </c:rich>
      </c:tx>
      <c:overlay val="0"/>
    </c:title>
    <c:autoTitleDeleted val="0"/>
    <c:plotArea>
      <c:layout/>
      <c:pieChart>
        <c:varyColors val="1"/>
        <c:ser>
          <c:idx val="0"/>
          <c:order val="0"/>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Sheet5!$L$4:$L$8</c:f>
              <c:strCache>
                <c:ptCount val="5"/>
                <c:pt idx="0">
                  <c:v>University Ss. Cyril and Methodius - Skopje </c:v>
                </c:pt>
                <c:pt idx="1">
                  <c:v>University St Kliment Ohridski - Bitola</c:v>
                </c:pt>
                <c:pt idx="2">
                  <c:v>University of Tetovo</c:v>
                </c:pt>
                <c:pt idx="3">
                  <c:v>University Goce Delchev  </c:v>
                </c:pt>
                <c:pt idx="4">
                  <c:v>Macedonian Academy of Sciences and Arts</c:v>
                </c:pt>
              </c:strCache>
            </c:strRef>
          </c:cat>
          <c:val>
            <c:numRef>
              <c:f>Sheet5!$M$4:$M$8</c:f>
              <c:numCache>
                <c:formatCode>#,##0.00\ [$EUR]</c:formatCode>
                <c:ptCount val="5"/>
                <c:pt idx="0">
                  <c:v>17394606.42445926</c:v>
                </c:pt>
                <c:pt idx="1">
                  <c:v>1099309.855261018</c:v>
                </c:pt>
                <c:pt idx="2" formatCode="#,##0.00\ [$€-1]">
                  <c:v>1091802.2442673605</c:v>
                </c:pt>
                <c:pt idx="3" formatCode="#,##0.00\ [$€-1]">
                  <c:v>2432001.3010245566</c:v>
                </c:pt>
                <c:pt idx="4" formatCode="#,##0.00\ [$€-1]">
                  <c:v>575511.4652789071</c:v>
                </c:pt>
              </c:numCache>
            </c:numRef>
          </c:val>
          <c:extLst>
            <c:ext xmlns:c16="http://schemas.microsoft.com/office/drawing/2014/chart" uri="{C3380CC4-5D6E-409C-BE32-E72D297353CC}">
              <c16:uniqueId val="{00000000-0AB1-4BAC-8F4D-50067D18232F}"/>
            </c:ext>
          </c:extLst>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Approved equipment/laboratory projects awarded by the Ministry of Education and Science 2021-2023</a:t>
            </a:r>
            <a:endParaRPr lang="mk-MK"/>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Approved equipment/laboratory projects awarded by the Ministry of Education and Science 2021-2023</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Sheet1!$A$2:$A$5</c:f>
              <c:strCache>
                <c:ptCount val="4"/>
                <c:pt idx="0">
                  <c:v>University Ss. Cyril and Methodius - Skopje</c:v>
                </c:pt>
                <c:pt idx="1">
                  <c:v>University St. Kliment Ohridski - Bitola</c:v>
                </c:pt>
                <c:pt idx="2">
                  <c:v>University Goce Delchev - Shtip </c:v>
                </c:pt>
                <c:pt idx="3">
                  <c:v>MASA </c:v>
                </c:pt>
              </c:strCache>
            </c:strRef>
          </c:cat>
          <c:val>
            <c:numRef>
              <c:f>Sheet1!$B$2:$B$5</c:f>
              <c:numCache>
                <c:formatCode>0%</c:formatCode>
                <c:ptCount val="4"/>
                <c:pt idx="0" formatCode="0.00%">
                  <c:v>0.88400000000000001</c:v>
                </c:pt>
                <c:pt idx="1">
                  <c:v>0.11</c:v>
                </c:pt>
                <c:pt idx="2">
                  <c:v>0.02</c:v>
                </c:pt>
                <c:pt idx="3">
                  <c:v>0.02</c:v>
                </c:pt>
              </c:numCache>
            </c:numRef>
          </c:val>
          <c:extLst>
            <c:ext xmlns:c16="http://schemas.microsoft.com/office/drawing/2014/chart" uri="{C3380CC4-5D6E-409C-BE32-E72D297353CC}">
              <c16:uniqueId val="{00000000-A018-4131-8A74-A303E8FBE204}"/>
            </c:ext>
          </c:extLst>
        </c:ser>
        <c:dLbls>
          <c:dLblPos val="inEnd"/>
          <c:showLegendKey val="0"/>
          <c:showVal val="1"/>
          <c:showCatName val="0"/>
          <c:showSerName val="0"/>
          <c:showPercent val="0"/>
          <c:showBubbleSize val="0"/>
        </c:dLbls>
        <c:gapWidth val="65"/>
        <c:axId val="1395363711"/>
        <c:axId val="1395352191"/>
      </c:barChart>
      <c:catAx>
        <c:axId val="1395363711"/>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395352191"/>
        <c:crosses val="autoZero"/>
        <c:auto val="1"/>
        <c:lblAlgn val="ctr"/>
        <c:lblOffset val="100"/>
        <c:noMultiLvlLbl val="0"/>
      </c:catAx>
      <c:valAx>
        <c:axId val="1395352191"/>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none"/>
        <c:minorTickMark val="none"/>
        <c:tickLblPos val="nextTo"/>
        <c:crossAx val="1395363711"/>
        <c:crosses val="autoZero"/>
        <c:crossBetween val="between"/>
      </c:valAx>
      <c:dTable>
        <c:showHorzBorder val="1"/>
        <c:showVertBorder val="1"/>
        <c:showOutline val="1"/>
        <c:showKeys val="1"/>
        <c:spPr>
          <a:noFill/>
          <a:ln w="9525">
            <a:solidFill>
              <a:schemeClr val="dk1">
                <a:lumMod val="35000"/>
                <a:lumOff val="65000"/>
              </a:schemeClr>
            </a:solidFill>
          </a:ln>
          <a:effectLst/>
        </c:spPr>
        <c:txPr>
          <a:bodyPr rot="0" spcFirstLastPara="1" vertOverflow="ellipsis" vert="horz" wrap="square" anchor="ctr" anchorCtr="1"/>
          <a:lstStyle/>
          <a:p>
            <a:pPr rtl="0">
              <a:defRPr sz="900" b="0" i="0" u="none" strike="noStrike" kern="1200" baseline="0">
                <a:solidFill>
                  <a:schemeClr val="dk1">
                    <a:lumMod val="75000"/>
                    <a:lumOff val="25000"/>
                  </a:schemeClr>
                </a:solidFill>
                <a:latin typeface="+mn-lt"/>
                <a:ea typeface="+mn-ea"/>
                <a:cs typeface="+mn-cs"/>
              </a:defRPr>
            </a:pPr>
            <a:endParaRPr lang="en-US"/>
          </a:p>
        </c:txPr>
      </c:dTable>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1"/>
          <c:order val="0"/>
          <c:tx>
            <c:strRef>
              <c:f>Sheet1!$C$1</c:f>
              <c:strCache>
                <c:ptCount val="1"/>
                <c:pt idx="0">
                  <c:v>Series 2</c:v>
                </c:pt>
              </c:strCache>
            </c:strRef>
          </c:tx>
          <c:spPr>
            <a:gradFill>
              <a:gsLst>
                <a:gs pos="0">
                  <a:schemeClr val="accent1">
                    <a:tint val="77000"/>
                  </a:schemeClr>
                </a:gs>
                <a:gs pos="100000">
                  <a:schemeClr val="accent1">
                    <a:tint val="77000"/>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Sheet1!$A$2:$A$5</c:f>
              <c:strCache>
                <c:ptCount val="4"/>
                <c:pt idx="0">
                  <c:v>University Ss. Cyril and Methodius - Skopje</c:v>
                </c:pt>
                <c:pt idx="1">
                  <c:v>University St. Kliment Ohridski - Bitola</c:v>
                </c:pt>
                <c:pt idx="2">
                  <c:v>University Goce Delchev - Shtip </c:v>
                </c:pt>
                <c:pt idx="3">
                  <c:v>MASA</c:v>
                </c:pt>
              </c:strCache>
            </c:strRef>
          </c:cat>
          <c:val>
            <c:numRef>
              <c:f>Sheet1!$C$2:$C$5</c:f>
              <c:numCache>
                <c:formatCode>General</c:formatCode>
                <c:ptCount val="4"/>
                <c:pt idx="0">
                  <c:v>37</c:v>
                </c:pt>
                <c:pt idx="1">
                  <c:v>5</c:v>
                </c:pt>
                <c:pt idx="2">
                  <c:v>1</c:v>
                </c:pt>
                <c:pt idx="3">
                  <c:v>1</c:v>
                </c:pt>
              </c:numCache>
            </c:numRef>
          </c:val>
          <c:extLst>
            <c:ext xmlns:c16="http://schemas.microsoft.com/office/drawing/2014/chart" uri="{C3380CC4-5D6E-409C-BE32-E72D297353CC}">
              <c16:uniqueId val="{00000001-33BC-4FB2-B6C5-6F5465EC27F5}"/>
            </c:ext>
          </c:extLst>
        </c:ser>
        <c:dLbls>
          <c:dLblPos val="inEnd"/>
          <c:showLegendKey val="0"/>
          <c:showVal val="1"/>
          <c:showCatName val="0"/>
          <c:showSerName val="0"/>
          <c:showPercent val="0"/>
          <c:showBubbleSize val="0"/>
        </c:dLbls>
        <c:gapWidth val="41"/>
        <c:axId val="1231483055"/>
        <c:axId val="1231474415"/>
      </c:barChart>
      <c:catAx>
        <c:axId val="1231483055"/>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en-US"/>
          </a:p>
        </c:txPr>
        <c:crossAx val="1231474415"/>
        <c:crosses val="autoZero"/>
        <c:auto val="1"/>
        <c:lblAlgn val="ctr"/>
        <c:lblOffset val="100"/>
        <c:noMultiLvlLbl val="0"/>
      </c:catAx>
      <c:valAx>
        <c:axId val="1231474415"/>
        <c:scaling>
          <c:orientation val="minMax"/>
        </c:scaling>
        <c:delete val="1"/>
        <c:axPos val="l"/>
        <c:numFmt formatCode="General" sourceLinked="1"/>
        <c:majorTickMark val="none"/>
        <c:minorTickMark val="none"/>
        <c:tickLblPos val="nextTo"/>
        <c:crossAx val="1231483055"/>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mk-MK"/>
              <a:t> </a:t>
            </a:r>
            <a:r>
              <a:rPr lang="en-US"/>
              <a:t>Total awarded projects by Faculty/Institute</a:t>
            </a:r>
            <a:endParaRPr lang="mk-MK"/>
          </a:p>
        </c:rich>
      </c:tx>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1"/>
        <c:ser>
          <c:idx val="0"/>
          <c:order val="0"/>
          <c:tx>
            <c:strRef>
              <c:f>Sheet2!$C$3</c:f>
              <c:strCache>
                <c:ptCount val="1"/>
                <c:pt idx="0">
                  <c:v>Број на проекти</c:v>
                </c:pt>
              </c:strCache>
            </c:strRef>
          </c:tx>
          <c:invertIfNegative val="1"/>
          <c:dPt>
            <c:idx val="0"/>
            <c:invertIfNegative val="1"/>
            <c:bubble3D val="0"/>
            <c:spPr>
              <a:solidFill>
                <a:schemeClr val="accent1"/>
              </a:solidFill>
              <a:ln>
                <a:noFill/>
              </a:ln>
              <a:effectLst/>
              <a:sp3d/>
            </c:spPr>
            <c:extLst>
              <c:ext xmlns:c16="http://schemas.microsoft.com/office/drawing/2014/chart" uri="{C3380CC4-5D6E-409C-BE32-E72D297353CC}">
                <c16:uniqueId val="{00000001-AA88-420F-809D-C5C71B6F34A6}"/>
              </c:ext>
            </c:extLst>
          </c:dPt>
          <c:dPt>
            <c:idx val="1"/>
            <c:invertIfNegative val="1"/>
            <c:bubble3D val="0"/>
            <c:spPr>
              <a:solidFill>
                <a:schemeClr val="accent2"/>
              </a:solidFill>
              <a:ln>
                <a:noFill/>
              </a:ln>
              <a:effectLst/>
              <a:sp3d/>
            </c:spPr>
            <c:extLst>
              <c:ext xmlns:c16="http://schemas.microsoft.com/office/drawing/2014/chart" uri="{C3380CC4-5D6E-409C-BE32-E72D297353CC}">
                <c16:uniqueId val="{00000003-AA88-420F-809D-C5C71B6F34A6}"/>
              </c:ext>
            </c:extLst>
          </c:dPt>
          <c:dPt>
            <c:idx val="2"/>
            <c:invertIfNegative val="1"/>
            <c:bubble3D val="0"/>
            <c:spPr>
              <a:solidFill>
                <a:schemeClr val="accent3"/>
              </a:solidFill>
              <a:ln>
                <a:noFill/>
              </a:ln>
              <a:effectLst/>
              <a:sp3d/>
            </c:spPr>
            <c:extLst>
              <c:ext xmlns:c16="http://schemas.microsoft.com/office/drawing/2014/chart" uri="{C3380CC4-5D6E-409C-BE32-E72D297353CC}">
                <c16:uniqueId val="{00000005-AA88-420F-809D-C5C71B6F34A6}"/>
              </c:ext>
            </c:extLst>
          </c:dPt>
          <c:dPt>
            <c:idx val="3"/>
            <c:invertIfNegative val="1"/>
            <c:bubble3D val="0"/>
            <c:spPr>
              <a:solidFill>
                <a:schemeClr val="accent4"/>
              </a:solidFill>
              <a:ln>
                <a:noFill/>
              </a:ln>
              <a:effectLst/>
              <a:sp3d/>
            </c:spPr>
            <c:extLst>
              <c:ext xmlns:c16="http://schemas.microsoft.com/office/drawing/2014/chart" uri="{C3380CC4-5D6E-409C-BE32-E72D297353CC}">
                <c16:uniqueId val="{00000007-AA88-420F-809D-C5C71B6F34A6}"/>
              </c:ext>
            </c:extLst>
          </c:dPt>
          <c:dPt>
            <c:idx val="4"/>
            <c:invertIfNegative val="1"/>
            <c:bubble3D val="0"/>
            <c:spPr>
              <a:solidFill>
                <a:schemeClr val="accent5"/>
              </a:solidFill>
              <a:ln>
                <a:noFill/>
              </a:ln>
              <a:effectLst/>
              <a:sp3d/>
            </c:spPr>
            <c:extLst>
              <c:ext xmlns:c16="http://schemas.microsoft.com/office/drawing/2014/chart" uri="{C3380CC4-5D6E-409C-BE32-E72D297353CC}">
                <c16:uniqueId val="{00000009-AA88-420F-809D-C5C71B6F34A6}"/>
              </c:ext>
            </c:extLst>
          </c:dPt>
          <c:dPt>
            <c:idx val="5"/>
            <c:invertIfNegative val="1"/>
            <c:bubble3D val="0"/>
            <c:spPr>
              <a:solidFill>
                <a:schemeClr val="accent6"/>
              </a:solidFill>
              <a:ln>
                <a:noFill/>
              </a:ln>
              <a:effectLst/>
              <a:sp3d/>
            </c:spPr>
            <c:extLst>
              <c:ext xmlns:c16="http://schemas.microsoft.com/office/drawing/2014/chart" uri="{C3380CC4-5D6E-409C-BE32-E72D297353CC}">
                <c16:uniqueId val="{0000000B-AA88-420F-809D-C5C71B6F34A6}"/>
              </c:ext>
            </c:extLst>
          </c:dPt>
          <c:dPt>
            <c:idx val="6"/>
            <c:invertIfNegative val="1"/>
            <c:bubble3D val="0"/>
            <c:spPr>
              <a:solidFill>
                <a:schemeClr val="accent1">
                  <a:lumMod val="60000"/>
                </a:schemeClr>
              </a:solidFill>
              <a:ln>
                <a:noFill/>
              </a:ln>
              <a:effectLst/>
              <a:sp3d/>
            </c:spPr>
            <c:extLst>
              <c:ext xmlns:c16="http://schemas.microsoft.com/office/drawing/2014/chart" uri="{C3380CC4-5D6E-409C-BE32-E72D297353CC}">
                <c16:uniqueId val="{0000000D-AA88-420F-809D-C5C71B6F34A6}"/>
              </c:ext>
            </c:extLst>
          </c:dPt>
          <c:dPt>
            <c:idx val="7"/>
            <c:invertIfNegative val="1"/>
            <c:bubble3D val="0"/>
            <c:spPr>
              <a:solidFill>
                <a:schemeClr val="accent2">
                  <a:lumMod val="60000"/>
                </a:schemeClr>
              </a:solidFill>
              <a:ln>
                <a:noFill/>
              </a:ln>
              <a:effectLst/>
              <a:sp3d/>
            </c:spPr>
            <c:extLst>
              <c:ext xmlns:c16="http://schemas.microsoft.com/office/drawing/2014/chart" uri="{C3380CC4-5D6E-409C-BE32-E72D297353CC}">
                <c16:uniqueId val="{0000000F-AA88-420F-809D-C5C71B6F34A6}"/>
              </c:ext>
            </c:extLst>
          </c:dPt>
          <c:dPt>
            <c:idx val="8"/>
            <c:invertIfNegative val="1"/>
            <c:bubble3D val="0"/>
            <c:spPr>
              <a:solidFill>
                <a:schemeClr val="accent3">
                  <a:lumMod val="60000"/>
                </a:schemeClr>
              </a:solidFill>
              <a:ln>
                <a:noFill/>
              </a:ln>
              <a:effectLst/>
              <a:sp3d/>
            </c:spPr>
            <c:extLst>
              <c:ext xmlns:c16="http://schemas.microsoft.com/office/drawing/2014/chart" uri="{C3380CC4-5D6E-409C-BE32-E72D297353CC}">
                <c16:uniqueId val="{00000011-AA88-420F-809D-C5C71B6F34A6}"/>
              </c:ext>
            </c:extLst>
          </c:dPt>
          <c:dPt>
            <c:idx val="9"/>
            <c:invertIfNegative val="1"/>
            <c:bubble3D val="0"/>
            <c:spPr>
              <a:solidFill>
                <a:schemeClr val="accent4">
                  <a:lumMod val="60000"/>
                </a:schemeClr>
              </a:solidFill>
              <a:ln>
                <a:noFill/>
              </a:ln>
              <a:effectLst/>
              <a:sp3d/>
            </c:spPr>
            <c:extLst>
              <c:ext xmlns:c16="http://schemas.microsoft.com/office/drawing/2014/chart" uri="{C3380CC4-5D6E-409C-BE32-E72D297353CC}">
                <c16:uniqueId val="{00000013-AA88-420F-809D-C5C71B6F34A6}"/>
              </c:ext>
            </c:extLst>
          </c:dPt>
          <c:dPt>
            <c:idx val="10"/>
            <c:invertIfNegative val="1"/>
            <c:bubble3D val="0"/>
            <c:spPr>
              <a:solidFill>
                <a:schemeClr val="accent5">
                  <a:lumMod val="60000"/>
                </a:schemeClr>
              </a:solidFill>
              <a:ln>
                <a:noFill/>
              </a:ln>
              <a:effectLst/>
              <a:sp3d/>
            </c:spPr>
            <c:extLst>
              <c:ext xmlns:c16="http://schemas.microsoft.com/office/drawing/2014/chart" uri="{C3380CC4-5D6E-409C-BE32-E72D297353CC}">
                <c16:uniqueId val="{00000015-AA88-420F-809D-C5C71B6F34A6}"/>
              </c:ext>
            </c:extLst>
          </c:dPt>
          <c:dPt>
            <c:idx val="11"/>
            <c:invertIfNegative val="1"/>
            <c:bubble3D val="0"/>
            <c:spPr>
              <a:solidFill>
                <a:schemeClr val="accent6">
                  <a:lumMod val="60000"/>
                </a:schemeClr>
              </a:solidFill>
              <a:ln>
                <a:noFill/>
              </a:ln>
              <a:effectLst/>
              <a:sp3d/>
            </c:spPr>
            <c:extLst>
              <c:ext xmlns:c16="http://schemas.microsoft.com/office/drawing/2014/chart" uri="{C3380CC4-5D6E-409C-BE32-E72D297353CC}">
                <c16:uniqueId val="{00000017-AA88-420F-809D-C5C71B6F34A6}"/>
              </c:ext>
            </c:extLst>
          </c:dPt>
          <c:dPt>
            <c:idx val="12"/>
            <c:invertIfNegative val="1"/>
            <c:bubble3D val="0"/>
            <c:spPr>
              <a:solidFill>
                <a:schemeClr val="accent1">
                  <a:lumMod val="80000"/>
                  <a:lumOff val="20000"/>
                </a:schemeClr>
              </a:solidFill>
              <a:ln>
                <a:noFill/>
              </a:ln>
              <a:effectLst/>
              <a:sp3d/>
            </c:spPr>
            <c:extLst>
              <c:ext xmlns:c16="http://schemas.microsoft.com/office/drawing/2014/chart" uri="{C3380CC4-5D6E-409C-BE32-E72D297353CC}">
                <c16:uniqueId val="{00000019-AA88-420F-809D-C5C71B6F34A6}"/>
              </c:ext>
            </c:extLst>
          </c:dPt>
          <c:dPt>
            <c:idx val="13"/>
            <c:invertIfNegative val="1"/>
            <c:bubble3D val="0"/>
            <c:spPr>
              <a:solidFill>
                <a:schemeClr val="accent2">
                  <a:lumMod val="80000"/>
                  <a:lumOff val="20000"/>
                </a:schemeClr>
              </a:solidFill>
              <a:ln>
                <a:noFill/>
              </a:ln>
              <a:effectLst/>
              <a:sp3d/>
            </c:spPr>
            <c:extLst>
              <c:ext xmlns:c16="http://schemas.microsoft.com/office/drawing/2014/chart" uri="{C3380CC4-5D6E-409C-BE32-E72D297353CC}">
                <c16:uniqueId val="{0000001B-AA88-420F-809D-C5C71B6F34A6}"/>
              </c:ext>
            </c:extLst>
          </c:dPt>
          <c:dPt>
            <c:idx val="14"/>
            <c:invertIfNegative val="1"/>
            <c:bubble3D val="0"/>
            <c:spPr>
              <a:solidFill>
                <a:schemeClr val="accent3">
                  <a:lumMod val="80000"/>
                  <a:lumOff val="20000"/>
                </a:schemeClr>
              </a:solidFill>
              <a:ln>
                <a:noFill/>
              </a:ln>
              <a:effectLst/>
              <a:sp3d/>
            </c:spPr>
            <c:extLst>
              <c:ext xmlns:c16="http://schemas.microsoft.com/office/drawing/2014/chart" uri="{C3380CC4-5D6E-409C-BE32-E72D297353CC}">
                <c16:uniqueId val="{0000001D-AA88-420F-809D-C5C71B6F34A6}"/>
              </c:ext>
            </c:extLst>
          </c:dPt>
          <c:dPt>
            <c:idx val="15"/>
            <c:invertIfNegative val="1"/>
            <c:bubble3D val="0"/>
            <c:spPr>
              <a:solidFill>
                <a:schemeClr val="accent4">
                  <a:lumMod val="80000"/>
                  <a:lumOff val="20000"/>
                </a:schemeClr>
              </a:solidFill>
              <a:ln>
                <a:noFill/>
              </a:ln>
              <a:effectLst/>
              <a:sp3d/>
            </c:spPr>
            <c:extLst>
              <c:ext xmlns:c16="http://schemas.microsoft.com/office/drawing/2014/chart" uri="{C3380CC4-5D6E-409C-BE32-E72D297353CC}">
                <c16:uniqueId val="{0000001F-AA88-420F-809D-C5C71B6F34A6}"/>
              </c:ext>
            </c:extLst>
          </c:dPt>
          <c:dPt>
            <c:idx val="16"/>
            <c:invertIfNegative val="1"/>
            <c:bubble3D val="0"/>
            <c:spPr>
              <a:solidFill>
                <a:schemeClr val="accent5">
                  <a:lumMod val="80000"/>
                  <a:lumOff val="20000"/>
                </a:schemeClr>
              </a:solidFill>
              <a:ln>
                <a:noFill/>
              </a:ln>
              <a:effectLst/>
              <a:sp3d/>
            </c:spPr>
            <c:extLst>
              <c:ext xmlns:c16="http://schemas.microsoft.com/office/drawing/2014/chart" uri="{C3380CC4-5D6E-409C-BE32-E72D297353CC}">
                <c16:uniqueId val="{00000021-AA88-420F-809D-C5C71B6F34A6}"/>
              </c:ext>
            </c:extLst>
          </c:dPt>
          <c:dPt>
            <c:idx val="17"/>
            <c:invertIfNegative val="1"/>
            <c:bubble3D val="0"/>
            <c:spPr>
              <a:solidFill>
                <a:schemeClr val="accent6">
                  <a:lumMod val="80000"/>
                  <a:lumOff val="20000"/>
                </a:schemeClr>
              </a:solidFill>
              <a:ln>
                <a:noFill/>
              </a:ln>
              <a:effectLst/>
              <a:sp3d/>
            </c:spPr>
            <c:extLst>
              <c:ext xmlns:c16="http://schemas.microsoft.com/office/drawing/2014/chart" uri="{C3380CC4-5D6E-409C-BE32-E72D297353CC}">
                <c16:uniqueId val="{00000023-AA88-420F-809D-C5C71B6F34A6}"/>
              </c:ext>
            </c:extLst>
          </c:dPt>
          <c:dPt>
            <c:idx val="18"/>
            <c:invertIfNegative val="1"/>
            <c:bubble3D val="0"/>
            <c:spPr>
              <a:solidFill>
                <a:schemeClr val="accent1">
                  <a:lumMod val="80000"/>
                </a:schemeClr>
              </a:solidFill>
              <a:ln>
                <a:noFill/>
              </a:ln>
              <a:effectLst/>
              <a:sp3d/>
            </c:spPr>
            <c:extLst>
              <c:ext xmlns:c16="http://schemas.microsoft.com/office/drawing/2014/chart" uri="{C3380CC4-5D6E-409C-BE32-E72D297353CC}">
                <c16:uniqueId val="{00000025-AA88-420F-809D-C5C71B6F34A6}"/>
              </c:ext>
            </c:extLst>
          </c:dPt>
          <c:dPt>
            <c:idx val="19"/>
            <c:invertIfNegative val="1"/>
            <c:bubble3D val="0"/>
            <c:spPr>
              <a:solidFill>
                <a:schemeClr val="accent2">
                  <a:lumMod val="80000"/>
                </a:schemeClr>
              </a:solidFill>
              <a:ln>
                <a:noFill/>
              </a:ln>
              <a:effectLst/>
              <a:sp3d/>
            </c:spPr>
            <c:extLst>
              <c:ext xmlns:c16="http://schemas.microsoft.com/office/drawing/2014/chart" uri="{C3380CC4-5D6E-409C-BE32-E72D297353CC}">
                <c16:uniqueId val="{00000027-AA88-420F-809D-C5C71B6F34A6}"/>
              </c:ext>
            </c:extLst>
          </c:dPt>
          <c:dPt>
            <c:idx val="20"/>
            <c:invertIfNegative val="1"/>
            <c:bubble3D val="0"/>
            <c:spPr>
              <a:solidFill>
                <a:schemeClr val="accent3">
                  <a:lumMod val="80000"/>
                </a:schemeClr>
              </a:solidFill>
              <a:ln>
                <a:noFill/>
              </a:ln>
              <a:effectLst/>
              <a:sp3d/>
            </c:spPr>
            <c:extLst>
              <c:ext xmlns:c16="http://schemas.microsoft.com/office/drawing/2014/chart" uri="{C3380CC4-5D6E-409C-BE32-E72D297353CC}">
                <c16:uniqueId val="{00000029-AA88-420F-809D-C5C71B6F34A6}"/>
              </c:ext>
            </c:extLst>
          </c:dPt>
          <c:dPt>
            <c:idx val="21"/>
            <c:invertIfNegative val="1"/>
            <c:bubble3D val="0"/>
            <c:spPr>
              <a:solidFill>
                <a:schemeClr val="accent4">
                  <a:lumMod val="80000"/>
                </a:schemeClr>
              </a:solidFill>
              <a:ln>
                <a:noFill/>
              </a:ln>
              <a:effectLst/>
              <a:sp3d/>
            </c:spPr>
            <c:extLst>
              <c:ext xmlns:c16="http://schemas.microsoft.com/office/drawing/2014/chart" uri="{C3380CC4-5D6E-409C-BE32-E72D297353CC}">
                <c16:uniqueId val="{0000002B-AA88-420F-809D-C5C71B6F34A6}"/>
              </c:ext>
            </c:extLst>
          </c:dPt>
          <c:dPt>
            <c:idx val="22"/>
            <c:invertIfNegative val="1"/>
            <c:bubble3D val="0"/>
            <c:spPr>
              <a:solidFill>
                <a:schemeClr val="accent5">
                  <a:lumMod val="80000"/>
                </a:schemeClr>
              </a:solidFill>
              <a:ln>
                <a:noFill/>
              </a:ln>
              <a:effectLst/>
              <a:sp3d/>
            </c:spPr>
            <c:extLst>
              <c:ext xmlns:c16="http://schemas.microsoft.com/office/drawing/2014/chart" uri="{C3380CC4-5D6E-409C-BE32-E72D297353CC}">
                <c16:uniqueId val="{0000002D-AA88-420F-809D-C5C71B6F34A6}"/>
              </c:ext>
            </c:extLst>
          </c:dPt>
          <c:dPt>
            <c:idx val="23"/>
            <c:invertIfNegative val="1"/>
            <c:bubble3D val="0"/>
            <c:spPr>
              <a:solidFill>
                <a:schemeClr val="accent6">
                  <a:lumMod val="80000"/>
                </a:schemeClr>
              </a:solidFill>
              <a:ln>
                <a:noFill/>
              </a:ln>
              <a:effectLst/>
              <a:sp3d/>
            </c:spPr>
            <c:extLst>
              <c:ext xmlns:c16="http://schemas.microsoft.com/office/drawing/2014/chart" uri="{C3380CC4-5D6E-409C-BE32-E72D297353CC}">
                <c16:uniqueId val="{0000002F-AA88-420F-809D-C5C71B6F34A6}"/>
              </c:ext>
            </c:extLst>
          </c:dPt>
          <c:dPt>
            <c:idx val="24"/>
            <c:invertIfNegative val="1"/>
            <c:bubble3D val="0"/>
            <c:spPr>
              <a:solidFill>
                <a:schemeClr val="accent1">
                  <a:lumMod val="60000"/>
                  <a:lumOff val="40000"/>
                </a:schemeClr>
              </a:solidFill>
              <a:ln>
                <a:noFill/>
              </a:ln>
              <a:effectLst/>
              <a:sp3d/>
            </c:spPr>
            <c:extLst>
              <c:ext xmlns:c16="http://schemas.microsoft.com/office/drawing/2014/chart" uri="{C3380CC4-5D6E-409C-BE32-E72D297353CC}">
                <c16:uniqueId val="{00000031-AA88-420F-809D-C5C71B6F34A6}"/>
              </c:ext>
            </c:extLst>
          </c:dPt>
          <c:dPt>
            <c:idx val="25"/>
            <c:invertIfNegative val="1"/>
            <c:bubble3D val="0"/>
            <c:spPr>
              <a:solidFill>
                <a:schemeClr val="accent2">
                  <a:lumMod val="60000"/>
                  <a:lumOff val="40000"/>
                </a:schemeClr>
              </a:solidFill>
              <a:ln>
                <a:noFill/>
              </a:ln>
              <a:effectLst/>
              <a:sp3d/>
            </c:spPr>
            <c:extLst>
              <c:ext xmlns:c16="http://schemas.microsoft.com/office/drawing/2014/chart" uri="{C3380CC4-5D6E-409C-BE32-E72D297353CC}">
                <c16:uniqueId val="{00000033-AA88-420F-809D-C5C71B6F34A6}"/>
              </c:ext>
            </c:extLst>
          </c:dPt>
          <c:dPt>
            <c:idx val="26"/>
            <c:invertIfNegative val="1"/>
            <c:bubble3D val="0"/>
            <c:spPr>
              <a:solidFill>
                <a:schemeClr val="accent3">
                  <a:lumMod val="60000"/>
                  <a:lumOff val="40000"/>
                </a:schemeClr>
              </a:solidFill>
              <a:ln>
                <a:noFill/>
              </a:ln>
              <a:effectLst/>
              <a:sp3d/>
            </c:spPr>
            <c:extLst>
              <c:ext xmlns:c16="http://schemas.microsoft.com/office/drawing/2014/chart" uri="{C3380CC4-5D6E-409C-BE32-E72D297353CC}">
                <c16:uniqueId val="{00000035-AA88-420F-809D-C5C71B6F34A6}"/>
              </c:ext>
            </c:extLst>
          </c:dPt>
          <c:dPt>
            <c:idx val="27"/>
            <c:invertIfNegative val="1"/>
            <c:bubble3D val="0"/>
            <c:spPr>
              <a:solidFill>
                <a:schemeClr val="accent4">
                  <a:lumMod val="60000"/>
                  <a:lumOff val="40000"/>
                </a:schemeClr>
              </a:solidFill>
              <a:ln>
                <a:noFill/>
              </a:ln>
              <a:effectLst/>
              <a:sp3d/>
            </c:spPr>
            <c:extLst>
              <c:ext xmlns:c16="http://schemas.microsoft.com/office/drawing/2014/chart" uri="{C3380CC4-5D6E-409C-BE32-E72D297353CC}">
                <c16:uniqueId val="{00000037-AA88-420F-809D-C5C71B6F34A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Sheet2!$A$4:$B$29</c:f>
              <c:multiLvlStrCache>
                <c:ptCount val="25"/>
                <c:lvl>
                  <c:pt idx="0">
                    <c:v>Faculty of Natural Sciences and Mathematics</c:v>
                  </c:pt>
                  <c:pt idx="1">
                    <c:v>Faculty of Civil Engineering</c:v>
                  </c:pt>
                  <c:pt idx="2">
                    <c:v>Institute of Earthquake Engineering and Engineering Seismology</c:v>
                  </c:pt>
                  <c:pt idx="3">
                    <c:v>Faculty of Electrical Engineering and Information Technologies</c:v>
                  </c:pt>
                  <c:pt idx="4">
                    <c:v>Faculty of Computer Science and Engineering</c:v>
                  </c:pt>
                  <c:pt idx="5">
                    <c:v>Faculty of Medicine </c:v>
                  </c:pt>
                  <c:pt idx="6">
                    <c:v>Faculty of Pharmacy </c:v>
                  </c:pt>
                  <c:pt idx="7">
                    <c:v>Faculty of Design and Furniture</c:v>
                  </c:pt>
                  <c:pt idx="8">
                    <c:v>Faculty of Veterinary Medicine</c:v>
                  </c:pt>
                  <c:pt idx="9">
                    <c:v>Faculty of Technology and Metallurgy </c:v>
                  </c:pt>
                  <c:pt idx="10">
                    <c:v>Faculty of Agricultural Sciences and Food</c:v>
                  </c:pt>
                  <c:pt idx="11">
                    <c:v>Institute of Agriculture</c:v>
                  </c:pt>
                  <c:pt idx="12">
                    <c:v>Institute of Animal Science</c:v>
                  </c:pt>
                  <c:pt idx="15">
                    <c:v>Faculty of Technical Sciences</c:v>
                  </c:pt>
                  <c:pt idx="16">
                    <c:v>Faculty of Technology and Technical Sciences </c:v>
                  </c:pt>
                  <c:pt idx="17">
                    <c:v>Faculty of Biotechnical Sciences </c:v>
                  </c:pt>
                  <c:pt idx="18">
                    <c:v>Hydrobiological Institute</c:v>
                  </c:pt>
                  <c:pt idx="19">
                    <c:v>PSI Institute of Old Slavic Culture</c:v>
                  </c:pt>
                  <c:pt idx="22">
                    <c:v>Faculty of Natural and Technical Sciences</c:v>
                  </c:pt>
                  <c:pt idx="24">
                    <c:v>MASA </c:v>
                  </c:pt>
                </c:lvl>
                <c:lvl>
                  <c:pt idx="0">
                    <c:v>UKIM</c:v>
                  </c:pt>
                  <c:pt idx="16">
                    <c:v>UKLO</c:v>
                  </c:pt>
                  <c:pt idx="22">
                    <c:v>UGD</c:v>
                  </c:pt>
                  <c:pt idx="24">
                    <c:v>MASA</c:v>
                  </c:pt>
                </c:lvl>
              </c:multiLvlStrCache>
            </c:multiLvlStrRef>
          </c:cat>
          <c:val>
            <c:numRef>
              <c:f>Sheet2!$C$4:$C$32</c:f>
              <c:numCache>
                <c:formatCode>General</c:formatCode>
                <c:ptCount val="28"/>
                <c:pt idx="0">
                  <c:v>13</c:v>
                </c:pt>
                <c:pt idx="1">
                  <c:v>2</c:v>
                </c:pt>
                <c:pt idx="2">
                  <c:v>1</c:v>
                </c:pt>
                <c:pt idx="3">
                  <c:v>3</c:v>
                </c:pt>
                <c:pt idx="4">
                  <c:v>1</c:v>
                </c:pt>
                <c:pt idx="5">
                  <c:v>4</c:v>
                </c:pt>
                <c:pt idx="6">
                  <c:v>5</c:v>
                </c:pt>
                <c:pt idx="7">
                  <c:v>1</c:v>
                </c:pt>
                <c:pt idx="8">
                  <c:v>2</c:v>
                </c:pt>
                <c:pt idx="9">
                  <c:v>1</c:v>
                </c:pt>
                <c:pt idx="10">
                  <c:v>2</c:v>
                </c:pt>
                <c:pt idx="11">
                  <c:v>1</c:v>
                </c:pt>
                <c:pt idx="12">
                  <c:v>1</c:v>
                </c:pt>
                <c:pt idx="15">
                  <c:v>1</c:v>
                </c:pt>
                <c:pt idx="16">
                  <c:v>1</c:v>
                </c:pt>
                <c:pt idx="17">
                  <c:v>1</c:v>
                </c:pt>
                <c:pt idx="18">
                  <c:v>1</c:v>
                </c:pt>
                <c:pt idx="19">
                  <c:v>1</c:v>
                </c:pt>
                <c:pt idx="22">
                  <c:v>1</c:v>
                </c:pt>
                <c:pt idx="24">
                  <c:v>1</c:v>
                </c:pt>
              </c:numCache>
            </c:numRef>
          </c:val>
          <c:extLst>
            <c:ext xmlns:c16="http://schemas.microsoft.com/office/drawing/2014/chart" uri="{C3380CC4-5D6E-409C-BE32-E72D297353CC}">
              <c16:uniqueId val="{00000038-AA88-420F-809D-C5C71B6F34A6}"/>
            </c:ext>
          </c:extLst>
        </c:ser>
        <c:dLbls>
          <c:showLegendKey val="0"/>
          <c:showVal val="1"/>
          <c:showCatName val="0"/>
          <c:showSerName val="0"/>
          <c:showPercent val="0"/>
          <c:showBubbleSize val="0"/>
        </c:dLbls>
        <c:gapWidth val="0"/>
        <c:shape val="box"/>
        <c:axId val="15538448"/>
        <c:axId val="15532208"/>
        <c:axId val="0"/>
      </c:bar3DChart>
      <c:catAx>
        <c:axId val="1553844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15532208"/>
        <c:crosses val="autoZero"/>
        <c:auto val="1"/>
        <c:lblAlgn val="ctr"/>
        <c:lblOffset val="100"/>
        <c:noMultiLvlLbl val="0"/>
      </c:catAx>
      <c:valAx>
        <c:axId val="15532208"/>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538448"/>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n-US"/>
        </a:p>
      </c:txPr>
    </c:title>
    <c:autoTitleDeleted val="0"/>
    <c:view3D>
      <c:rotX val="50"/>
      <c:rotY val="0"/>
      <c:depthPercent val="100"/>
      <c:rAngAx val="0"/>
      <c:perspective val="6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Chart 4: Approved projects by scientific field</c:v>
                </c:pt>
              </c:strCache>
            </c:strRef>
          </c:tx>
          <c:dPt>
            <c:idx val="0"/>
            <c:bubble3D val="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1-7B14-436F-8D68-02B40F032721}"/>
              </c:ext>
            </c:extLst>
          </c:dPt>
          <c:dPt>
            <c:idx val="1"/>
            <c:bubble3D val="0"/>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3-7B14-436F-8D68-02B40F032721}"/>
              </c:ext>
            </c:extLst>
          </c:dPt>
          <c:dPt>
            <c:idx val="2"/>
            <c:bubble3D val="0"/>
            <c:spPr>
              <a:solidFill>
                <a:schemeClr val="accent3"/>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5-7B14-436F-8D68-02B40F032721}"/>
              </c:ext>
            </c:extLst>
          </c:dPt>
          <c:dPt>
            <c:idx val="3"/>
            <c:bubble3D val="0"/>
            <c:spPr>
              <a:solidFill>
                <a:schemeClr val="accent4"/>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7-7B14-436F-8D68-02B40F032721}"/>
              </c:ext>
            </c:extLst>
          </c:dPt>
          <c:dPt>
            <c:idx val="4"/>
            <c:bubble3D val="0"/>
            <c:spPr>
              <a:solidFill>
                <a:schemeClr val="accent5"/>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9-7B14-436F-8D68-02B40F032721}"/>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Natural Sciences and Mathematics </c:v>
                </c:pt>
                <c:pt idx="1">
                  <c:v>Medical Sciences and Health </c:v>
                </c:pt>
                <c:pt idx="2">
                  <c:v>Technical and Technological Sciences</c:v>
                </c:pt>
                <c:pt idx="3">
                  <c:v>Biotechnical Sciences</c:v>
                </c:pt>
                <c:pt idx="4">
                  <c:v>Humanities</c:v>
                </c:pt>
              </c:strCache>
            </c:strRef>
          </c:cat>
          <c:val>
            <c:numRef>
              <c:f>Sheet1!$B$2:$B$6</c:f>
              <c:numCache>
                <c:formatCode>General</c:formatCode>
                <c:ptCount val="5"/>
                <c:pt idx="0">
                  <c:v>16</c:v>
                </c:pt>
                <c:pt idx="1">
                  <c:v>10</c:v>
                </c:pt>
                <c:pt idx="2">
                  <c:v>10</c:v>
                </c:pt>
                <c:pt idx="3">
                  <c:v>7</c:v>
                </c:pt>
                <c:pt idx="4">
                  <c:v>1</c:v>
                </c:pt>
              </c:numCache>
            </c:numRef>
          </c:val>
          <c:extLst>
            <c:ext xmlns:c16="http://schemas.microsoft.com/office/drawing/2014/chart" uri="{C3380CC4-5D6E-409C-BE32-E72D297353CC}">
              <c16:uniqueId val="{00000000-958D-471C-B71E-117B21187CFA}"/>
            </c:ext>
          </c:extLst>
        </c:ser>
        <c:dLbls>
          <c:dLblPos val="inEnd"/>
          <c:showLegendKey val="0"/>
          <c:showVal val="0"/>
          <c:showCatName val="0"/>
          <c:showSerName val="0"/>
          <c:showPercent val="1"/>
          <c:showBubbleSize val="0"/>
          <c:showLeaderLines val="1"/>
        </c:dLbls>
      </c:pie3D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4">
  <a:schemeClr val="accent1"/>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Corbel">
      <a:maj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low Edge">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Placeholder1</b:Tag>
    <b:SourceType>Book</b:SourceType>
    <b:Guid>{09B61E72-0993-4731-81F1-88F1E4C8B989}</b:Guid>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AC96735-F9E7-4084-A89A-34B34E9B4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33</Pages>
  <Words>10176</Words>
  <Characters>58005</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РЕВИЗИЈА НА ПАТОКАЗОТ ЗА ИСТРАЖУВАЧКА ИНФРАСТРУКТУРА НА РЕПУБЛИКА СЕВЕРНА МАКЕДОНЈА</vt:lpstr>
    </vt:vector>
  </TitlesOfParts>
  <Company/>
  <LinksUpToDate>false</LinksUpToDate>
  <CharactersWithSpaces>68045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РЕВИЗИЈА НА ПАТОКАЗОТ ЗА ИСТРАЖУВАЧКА ИНФРАСТРУКТУРА НА РЕПУБЛИКА СЕВЕРНА МАКЕДОНЈА</dc:title>
  <dc:subject>Ревизија на Патоказот за истражувачка инфраструктура</dc:subject>
  <dc:creator>Svetlana Pineva</dc:creator>
  <cp:keywords/>
  <dc:description/>
  <cp:lastModifiedBy>mlade</cp:lastModifiedBy>
  <cp:revision>19</cp:revision>
  <cp:lastPrinted>2025-02-19T13:18:00Z</cp:lastPrinted>
  <dcterms:created xsi:type="dcterms:W3CDTF">2025-04-18T04:13:00Z</dcterms:created>
  <dcterms:modified xsi:type="dcterms:W3CDTF">2025-04-23T07:14:00Z</dcterms:modified>
</cp:coreProperties>
</file>