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63BCE" w14:textId="77777777" w:rsidR="007947BF" w:rsidRPr="008463F3" w:rsidRDefault="007947BF" w:rsidP="007947BF">
      <w:pPr>
        <w:rPr>
          <w:shd w:val="clear" w:color="auto" w:fill="FFFFFF"/>
          <w:lang w:val="en-GB"/>
        </w:rPr>
      </w:pPr>
      <w:bookmarkStart w:id="0" w:name="_Toc61096320"/>
      <w:bookmarkStart w:id="1" w:name="_GoBack"/>
      <w:bookmarkEnd w:id="1"/>
    </w:p>
    <w:p w14:paraId="48312F3E" w14:textId="77777777" w:rsidR="007947BF" w:rsidRPr="008463F3" w:rsidRDefault="007947BF" w:rsidP="007947BF">
      <w:pPr>
        <w:rPr>
          <w:shd w:val="clear" w:color="auto" w:fill="FFFFFF"/>
          <w:lang w:val="en-GB"/>
        </w:rPr>
      </w:pPr>
    </w:p>
    <w:p w14:paraId="21EE3C76" w14:textId="77777777" w:rsidR="007947BF" w:rsidRPr="008463F3" w:rsidRDefault="007947BF" w:rsidP="007947BF">
      <w:pPr>
        <w:rPr>
          <w:shd w:val="clear" w:color="auto" w:fill="FFFFFF"/>
          <w:lang w:val="en-GB"/>
        </w:rPr>
      </w:pPr>
    </w:p>
    <w:p w14:paraId="4B9233AA" w14:textId="77777777" w:rsidR="007947BF" w:rsidRPr="008463F3" w:rsidRDefault="007947BF" w:rsidP="007947BF">
      <w:pPr>
        <w:rPr>
          <w:shd w:val="clear" w:color="auto" w:fill="FFFFFF"/>
          <w:lang w:val="en-GB"/>
        </w:rPr>
      </w:pPr>
    </w:p>
    <w:p w14:paraId="42D4CE75" w14:textId="77777777" w:rsidR="007947BF" w:rsidRPr="008463F3" w:rsidRDefault="007947BF" w:rsidP="007947BF">
      <w:pPr>
        <w:rPr>
          <w:shd w:val="clear" w:color="auto" w:fill="FFFFFF"/>
          <w:lang w:val="en-GB"/>
        </w:rPr>
      </w:pPr>
    </w:p>
    <w:p w14:paraId="79014634" w14:textId="77777777" w:rsidR="007947BF" w:rsidRPr="008463F3" w:rsidRDefault="007947BF" w:rsidP="007947BF">
      <w:pPr>
        <w:rPr>
          <w:shd w:val="clear" w:color="auto" w:fill="FFFFFF"/>
          <w:lang w:val="en-GB"/>
        </w:rPr>
      </w:pPr>
    </w:p>
    <w:p w14:paraId="40EF21B7" w14:textId="77777777" w:rsidR="007947BF" w:rsidRPr="008463F3" w:rsidRDefault="007947BF" w:rsidP="007947BF">
      <w:pPr>
        <w:rPr>
          <w:shd w:val="clear" w:color="auto" w:fill="FFFFFF"/>
          <w:lang w:val="en-GB"/>
        </w:rPr>
      </w:pPr>
    </w:p>
    <w:p w14:paraId="30ED47D1" w14:textId="77777777" w:rsidR="007947BF" w:rsidRPr="008463F3" w:rsidRDefault="007947BF" w:rsidP="007947BF">
      <w:pPr>
        <w:rPr>
          <w:shd w:val="clear" w:color="auto" w:fill="FFFFFF"/>
          <w:lang w:val="en-GB"/>
        </w:rPr>
      </w:pPr>
    </w:p>
    <w:p w14:paraId="19E8EAB4" w14:textId="3A5EEEF1" w:rsidR="007947BF" w:rsidRPr="008463F3" w:rsidRDefault="007947BF" w:rsidP="007947BF">
      <w:pPr>
        <w:pStyle w:val="Heading4"/>
        <w:spacing w:after="240"/>
        <w:jc w:val="center"/>
        <w:rPr>
          <w:rFonts w:asciiTheme="minorHAnsi" w:hAnsiTheme="minorHAnsi"/>
          <w:i w:val="0"/>
          <w:color w:val="365F91"/>
          <w:sz w:val="28"/>
          <w:szCs w:val="28"/>
          <w:shd w:val="clear" w:color="auto" w:fill="FFFFFF"/>
          <w:lang w:val="en-GB"/>
        </w:rPr>
      </w:pPr>
      <w:r w:rsidRPr="008463F3">
        <w:rPr>
          <w:rFonts w:cstheme="minorHAnsi"/>
          <w:i w:val="0"/>
          <w:color w:val="C00000"/>
          <w:sz w:val="44"/>
          <w:lang w:val="en-GB"/>
        </w:rPr>
        <w:t xml:space="preserve">RESEARCH INFRASTRUCTURE ROADMAP OF </w:t>
      </w:r>
      <w:r w:rsidR="00141946">
        <w:rPr>
          <w:rFonts w:cstheme="minorHAnsi"/>
          <w:i w:val="0"/>
          <w:color w:val="C00000"/>
          <w:sz w:val="44"/>
          <w:lang w:val="en-GB"/>
        </w:rPr>
        <w:t xml:space="preserve">REPUBLIC OF </w:t>
      </w:r>
      <w:r w:rsidRPr="008463F3">
        <w:rPr>
          <w:rFonts w:cstheme="minorHAnsi"/>
          <w:i w:val="0"/>
          <w:color w:val="C00000"/>
          <w:sz w:val="44"/>
          <w:lang w:val="en-GB"/>
        </w:rPr>
        <w:t xml:space="preserve">NORTH MACEDONIA </w:t>
      </w:r>
      <w:bookmarkEnd w:id="0"/>
    </w:p>
    <w:p w14:paraId="1780C3B3" w14:textId="77777777" w:rsidR="007947BF" w:rsidRPr="008463F3" w:rsidRDefault="007947BF" w:rsidP="007947BF">
      <w:pPr>
        <w:jc w:val="center"/>
        <w:rPr>
          <w:b/>
          <w:color w:val="FF0000"/>
          <w:sz w:val="32"/>
          <w:lang w:val="en-GB"/>
        </w:rPr>
      </w:pPr>
    </w:p>
    <w:p w14:paraId="41E0685E" w14:textId="77777777" w:rsidR="007947BF" w:rsidRPr="008463F3" w:rsidRDefault="007947BF" w:rsidP="007947BF">
      <w:pPr>
        <w:rPr>
          <w:b/>
          <w:sz w:val="32"/>
          <w:lang w:val="en-GB"/>
        </w:rPr>
      </w:pPr>
    </w:p>
    <w:p w14:paraId="5910BCC8" w14:textId="77777777" w:rsidR="007947BF" w:rsidRPr="008463F3" w:rsidRDefault="007947BF" w:rsidP="007947BF">
      <w:pPr>
        <w:rPr>
          <w:b/>
          <w:sz w:val="32"/>
          <w:lang w:val="en-GB"/>
        </w:rPr>
      </w:pPr>
    </w:p>
    <w:p w14:paraId="72272E4D" w14:textId="77777777" w:rsidR="007947BF" w:rsidRPr="008463F3" w:rsidRDefault="007947BF" w:rsidP="007947BF">
      <w:pPr>
        <w:rPr>
          <w:b/>
          <w:sz w:val="32"/>
          <w:lang w:val="en-GB"/>
        </w:rPr>
      </w:pPr>
    </w:p>
    <w:p w14:paraId="64284485" w14:textId="77777777" w:rsidR="007947BF" w:rsidRPr="008463F3" w:rsidRDefault="007947BF" w:rsidP="007947BF">
      <w:pPr>
        <w:rPr>
          <w:b/>
          <w:sz w:val="32"/>
          <w:lang w:val="en-GB"/>
        </w:rPr>
      </w:pPr>
    </w:p>
    <w:p w14:paraId="77D98897" w14:textId="77777777" w:rsidR="007947BF" w:rsidRPr="008463F3" w:rsidRDefault="007947BF" w:rsidP="007947BF">
      <w:pPr>
        <w:rPr>
          <w:b/>
          <w:sz w:val="32"/>
          <w:lang w:val="en-GB"/>
        </w:rPr>
      </w:pPr>
    </w:p>
    <w:p w14:paraId="6F5A06BC" w14:textId="77777777" w:rsidR="007947BF" w:rsidRPr="008463F3" w:rsidRDefault="007947BF" w:rsidP="007947BF">
      <w:pPr>
        <w:rPr>
          <w:b/>
          <w:sz w:val="32"/>
          <w:lang w:val="en-GB"/>
        </w:rPr>
      </w:pPr>
    </w:p>
    <w:p w14:paraId="6BC13A21" w14:textId="77777777" w:rsidR="007947BF" w:rsidRPr="008463F3" w:rsidRDefault="007947BF" w:rsidP="007947BF">
      <w:pPr>
        <w:rPr>
          <w:b/>
          <w:sz w:val="32"/>
          <w:lang w:val="en-GB"/>
        </w:rPr>
      </w:pPr>
    </w:p>
    <w:p w14:paraId="6EDFEA1D" w14:textId="77777777" w:rsidR="007947BF" w:rsidRPr="008463F3" w:rsidRDefault="007947BF" w:rsidP="007947BF">
      <w:pPr>
        <w:rPr>
          <w:b/>
          <w:sz w:val="32"/>
          <w:lang w:val="en-GB"/>
        </w:rPr>
      </w:pPr>
    </w:p>
    <w:p w14:paraId="1F254A8E" w14:textId="77777777" w:rsidR="007947BF" w:rsidRPr="008463F3" w:rsidRDefault="007947BF" w:rsidP="007947BF">
      <w:pPr>
        <w:rPr>
          <w:b/>
          <w:sz w:val="32"/>
          <w:lang w:val="en-GB"/>
        </w:rPr>
      </w:pPr>
    </w:p>
    <w:p w14:paraId="74A9F257" w14:textId="77777777" w:rsidR="007947BF" w:rsidRPr="008463F3" w:rsidRDefault="007947BF" w:rsidP="007947BF">
      <w:pPr>
        <w:rPr>
          <w:b/>
          <w:sz w:val="32"/>
          <w:lang w:val="en-GB"/>
        </w:rPr>
      </w:pPr>
    </w:p>
    <w:p w14:paraId="36C2DBC2" w14:textId="77777777" w:rsidR="007947BF" w:rsidRDefault="007947BF" w:rsidP="007947BF">
      <w:pPr>
        <w:rPr>
          <w:b/>
          <w:sz w:val="32"/>
          <w:lang w:val="en-GB"/>
        </w:rPr>
      </w:pPr>
    </w:p>
    <w:p w14:paraId="6C756788" w14:textId="77777777" w:rsidR="007947BF" w:rsidRDefault="007947BF" w:rsidP="007947BF">
      <w:pPr>
        <w:rPr>
          <w:b/>
          <w:sz w:val="32"/>
          <w:lang w:val="en-GB"/>
        </w:rPr>
      </w:pPr>
    </w:p>
    <w:p w14:paraId="6F11C63D" w14:textId="77777777" w:rsidR="007947BF" w:rsidRDefault="007947BF" w:rsidP="007947BF">
      <w:pPr>
        <w:rPr>
          <w:shd w:val="clear" w:color="auto" w:fill="FFFFFF"/>
        </w:rPr>
      </w:pPr>
    </w:p>
    <w:p w14:paraId="17EEF97D" w14:textId="77777777" w:rsidR="007947BF" w:rsidRDefault="007947BF" w:rsidP="007947BF">
      <w:pPr>
        <w:rPr>
          <w:shd w:val="clear" w:color="auto" w:fill="FFFFFF"/>
        </w:rPr>
      </w:pPr>
    </w:p>
    <w:p w14:paraId="45E5F678" w14:textId="77777777" w:rsidR="007947BF" w:rsidRDefault="007947BF" w:rsidP="007947BF">
      <w:pPr>
        <w:rPr>
          <w:shd w:val="clear" w:color="auto" w:fill="FFFFFF"/>
        </w:rPr>
      </w:pPr>
    </w:p>
    <w:p w14:paraId="222D2D11" w14:textId="77777777" w:rsidR="007947BF" w:rsidRDefault="007947BF" w:rsidP="007947BF">
      <w:pPr>
        <w:rPr>
          <w:shd w:val="clear" w:color="auto" w:fill="FFFFFF"/>
        </w:rPr>
      </w:pPr>
    </w:p>
    <w:p w14:paraId="3A26A5FD" w14:textId="77777777" w:rsidR="007947BF" w:rsidRDefault="007947BF" w:rsidP="007947BF">
      <w:pPr>
        <w:rPr>
          <w:shd w:val="clear" w:color="auto" w:fill="FFFFFF"/>
        </w:rPr>
      </w:pPr>
    </w:p>
    <w:p w14:paraId="77BAB951" w14:textId="77777777" w:rsidR="007947BF" w:rsidRDefault="007947BF" w:rsidP="007947BF">
      <w:pPr>
        <w:rPr>
          <w:shd w:val="clear" w:color="auto" w:fill="FFFFFF"/>
        </w:rPr>
      </w:pPr>
    </w:p>
    <w:p w14:paraId="51645388" w14:textId="77777777" w:rsidR="007947BF" w:rsidRDefault="007947BF" w:rsidP="007947BF">
      <w:pPr>
        <w:rPr>
          <w:shd w:val="clear" w:color="auto" w:fill="FFFFFF"/>
        </w:rPr>
      </w:pPr>
    </w:p>
    <w:p w14:paraId="10E57308" w14:textId="77777777" w:rsidR="007947BF" w:rsidRDefault="007947BF" w:rsidP="007947BF">
      <w:pPr>
        <w:rPr>
          <w:shd w:val="clear" w:color="auto" w:fill="FFFFFF"/>
        </w:rPr>
      </w:pPr>
    </w:p>
    <w:p w14:paraId="4D7ABF97" w14:textId="77777777" w:rsidR="007947BF" w:rsidRDefault="007947BF" w:rsidP="007947BF">
      <w:pPr>
        <w:rPr>
          <w:shd w:val="clear" w:color="auto" w:fill="FFFFFF"/>
        </w:rPr>
      </w:pPr>
    </w:p>
    <w:p w14:paraId="7914DAD8" w14:textId="77777777" w:rsidR="007947BF" w:rsidRDefault="007947BF" w:rsidP="007947BF">
      <w:pPr>
        <w:rPr>
          <w:shd w:val="clear" w:color="auto" w:fill="FFFFFF"/>
        </w:rPr>
      </w:pPr>
    </w:p>
    <w:p w14:paraId="301C8C40" w14:textId="77777777" w:rsidR="007947BF" w:rsidRDefault="007947BF" w:rsidP="007947BF">
      <w:pPr>
        <w:rPr>
          <w:shd w:val="clear" w:color="auto" w:fill="FFFFFF"/>
        </w:rPr>
      </w:pPr>
    </w:p>
    <w:p w14:paraId="523D4FC9" w14:textId="77777777" w:rsidR="007947BF" w:rsidRDefault="007947BF" w:rsidP="007947BF">
      <w:pPr>
        <w:rPr>
          <w:shd w:val="clear" w:color="auto" w:fill="FFFFFF"/>
        </w:rPr>
      </w:pPr>
    </w:p>
    <w:p w14:paraId="152AB860" w14:textId="77777777" w:rsidR="007947BF" w:rsidRDefault="007947BF" w:rsidP="007947BF">
      <w:pPr>
        <w:rPr>
          <w:shd w:val="clear" w:color="auto" w:fill="FFFFFF"/>
        </w:rPr>
      </w:pPr>
    </w:p>
    <w:p w14:paraId="22EFF300" w14:textId="77777777" w:rsidR="007947BF" w:rsidRDefault="007947BF" w:rsidP="007947BF">
      <w:pPr>
        <w:rPr>
          <w:shd w:val="clear" w:color="auto" w:fill="FFFFFF"/>
        </w:rPr>
      </w:pPr>
    </w:p>
    <w:p w14:paraId="6A49FC59" w14:textId="77777777" w:rsidR="007947BF" w:rsidRDefault="007947BF" w:rsidP="007947BF">
      <w:pPr>
        <w:rPr>
          <w:shd w:val="clear" w:color="auto" w:fill="FFFFFF"/>
        </w:rPr>
      </w:pPr>
    </w:p>
    <w:p w14:paraId="3362C8C3" w14:textId="77777777" w:rsidR="007947BF" w:rsidRDefault="007947BF" w:rsidP="007947BF">
      <w:pPr>
        <w:rPr>
          <w:shd w:val="clear" w:color="auto" w:fill="FFFFFF"/>
        </w:rPr>
      </w:pPr>
    </w:p>
    <w:p w14:paraId="6FBC9FED" w14:textId="77777777" w:rsidR="007947BF" w:rsidRDefault="007947BF" w:rsidP="007947BF">
      <w:pPr>
        <w:rPr>
          <w:shd w:val="clear" w:color="auto" w:fill="FFFFFF"/>
        </w:rPr>
      </w:pPr>
    </w:p>
    <w:p w14:paraId="3250450E" w14:textId="77777777" w:rsidR="007947BF" w:rsidRPr="0036299C" w:rsidRDefault="007947BF" w:rsidP="007947BF">
      <w:pPr>
        <w:jc w:val="both"/>
        <w:rPr>
          <w:sz w:val="24"/>
          <w:shd w:val="clear" w:color="auto" w:fill="FFFFFF"/>
        </w:rPr>
      </w:pPr>
      <w:r w:rsidRPr="0036299C">
        <w:rPr>
          <w:sz w:val="24"/>
          <w:shd w:val="clear" w:color="auto" w:fill="FFFFFF"/>
        </w:rPr>
        <w:t>(c)RCC2021 All rights reserved. The content of this publication may be used for non-commercial purposes, with the appropriate credit attributed to the source.</w:t>
      </w:r>
    </w:p>
    <w:p w14:paraId="4C75EA99" w14:textId="77777777" w:rsidR="007947BF" w:rsidRPr="0036299C" w:rsidRDefault="007947BF" w:rsidP="007947BF">
      <w:pPr>
        <w:jc w:val="both"/>
        <w:rPr>
          <w:sz w:val="24"/>
          <w:shd w:val="clear" w:color="auto" w:fill="FFFFFF"/>
        </w:rPr>
      </w:pPr>
    </w:p>
    <w:p w14:paraId="62B5D87B" w14:textId="77777777" w:rsidR="007947BF" w:rsidRPr="0036299C" w:rsidRDefault="007947BF" w:rsidP="007947BF">
      <w:pPr>
        <w:jc w:val="both"/>
        <w:rPr>
          <w:sz w:val="24"/>
          <w:shd w:val="clear" w:color="auto" w:fill="FFFFFF"/>
        </w:rPr>
      </w:pPr>
      <w:r w:rsidRPr="0036299C">
        <w:rPr>
          <w:sz w:val="24"/>
          <w:shd w:val="clear" w:color="auto" w:fill="FFFFFF"/>
        </w:rPr>
        <w:t>The views and opinions expressed in this report are those of the author(s) and do not necessarily reflect the official policy or position of the Regional Cooperation Council and the European Union</w:t>
      </w:r>
    </w:p>
    <w:p w14:paraId="753ECBE9" w14:textId="77777777" w:rsidR="007947BF" w:rsidRDefault="007947BF" w:rsidP="007947BF">
      <w:pPr>
        <w:rPr>
          <w:b/>
          <w:sz w:val="32"/>
          <w:lang w:val="en-GB"/>
        </w:rPr>
      </w:pPr>
      <w:r>
        <w:rPr>
          <w:b/>
          <w:sz w:val="32"/>
          <w:lang w:val="en-GB"/>
        </w:rPr>
        <w:br w:type="page"/>
      </w:r>
    </w:p>
    <w:p w14:paraId="052192B3" w14:textId="77777777" w:rsidR="007947BF" w:rsidRPr="008463F3" w:rsidRDefault="007947BF" w:rsidP="007947BF">
      <w:pPr>
        <w:rPr>
          <w:b/>
          <w:sz w:val="32"/>
          <w:lang w:val="en-GB"/>
        </w:rPr>
      </w:pPr>
    </w:p>
    <w:p w14:paraId="7405839D" w14:textId="77777777" w:rsidR="007947BF" w:rsidRPr="008463F3" w:rsidRDefault="007947BF" w:rsidP="007947BF">
      <w:pPr>
        <w:rPr>
          <w:b/>
          <w:sz w:val="32"/>
          <w:lang w:val="en-GB"/>
        </w:rPr>
      </w:pPr>
      <w:r w:rsidRPr="008463F3">
        <w:rPr>
          <w:b/>
          <w:sz w:val="32"/>
          <w:lang w:val="en-GB"/>
        </w:rPr>
        <w:t>Contents</w:t>
      </w:r>
    </w:p>
    <w:p w14:paraId="12970CC8" w14:textId="77777777" w:rsidR="007947BF" w:rsidRDefault="007947BF" w:rsidP="007947BF">
      <w:pPr>
        <w:pStyle w:val="TOC1"/>
        <w:tabs>
          <w:tab w:val="right" w:leader="dot" w:pos="9062"/>
        </w:tabs>
        <w:rPr>
          <w:rFonts w:eastAsiaTheme="minorEastAsia"/>
          <w:noProof/>
          <w:lang w:val="en-GB" w:eastAsia="en-GB"/>
        </w:rPr>
      </w:pPr>
      <w:r w:rsidRPr="008463F3">
        <w:rPr>
          <w:lang w:val="en-GB"/>
        </w:rPr>
        <w:fldChar w:fldCharType="begin"/>
      </w:r>
      <w:r w:rsidRPr="008463F3">
        <w:rPr>
          <w:lang w:val="en-GB"/>
        </w:rPr>
        <w:instrText xml:space="preserve"> TOC \o "1-3" \h \z \u </w:instrText>
      </w:r>
      <w:r w:rsidRPr="008463F3">
        <w:rPr>
          <w:lang w:val="en-GB"/>
        </w:rPr>
        <w:fldChar w:fldCharType="separate"/>
      </w:r>
      <w:hyperlink w:anchor="_Toc77322018" w:history="1">
        <w:r w:rsidRPr="000663E1">
          <w:rPr>
            <w:rStyle w:val="Hyperlink"/>
            <w:noProof/>
            <w:shd w:val="clear" w:color="auto" w:fill="FFFFFF"/>
          </w:rPr>
          <w:t>Abbreviations</w:t>
        </w:r>
        <w:r>
          <w:rPr>
            <w:noProof/>
            <w:webHidden/>
          </w:rPr>
          <w:tab/>
        </w:r>
        <w:r>
          <w:rPr>
            <w:noProof/>
            <w:webHidden/>
          </w:rPr>
          <w:fldChar w:fldCharType="begin"/>
        </w:r>
        <w:r>
          <w:rPr>
            <w:noProof/>
            <w:webHidden/>
          </w:rPr>
          <w:instrText xml:space="preserve"> PAGEREF _Toc77322018 \h </w:instrText>
        </w:r>
        <w:r>
          <w:rPr>
            <w:noProof/>
            <w:webHidden/>
          </w:rPr>
        </w:r>
        <w:r>
          <w:rPr>
            <w:noProof/>
            <w:webHidden/>
          </w:rPr>
          <w:fldChar w:fldCharType="separate"/>
        </w:r>
        <w:r>
          <w:rPr>
            <w:noProof/>
            <w:webHidden/>
          </w:rPr>
          <w:t>5</w:t>
        </w:r>
        <w:r>
          <w:rPr>
            <w:noProof/>
            <w:webHidden/>
          </w:rPr>
          <w:fldChar w:fldCharType="end"/>
        </w:r>
      </w:hyperlink>
    </w:p>
    <w:p w14:paraId="47D21A1D" w14:textId="77777777" w:rsidR="007947BF" w:rsidRDefault="001E6D5A" w:rsidP="007947BF">
      <w:pPr>
        <w:pStyle w:val="TOC1"/>
        <w:tabs>
          <w:tab w:val="right" w:leader="dot" w:pos="9062"/>
        </w:tabs>
        <w:rPr>
          <w:rFonts w:eastAsiaTheme="minorEastAsia"/>
          <w:noProof/>
          <w:lang w:val="en-GB" w:eastAsia="en-GB"/>
        </w:rPr>
      </w:pPr>
      <w:hyperlink w:anchor="_Toc77322019" w:history="1">
        <w:r w:rsidR="007947BF" w:rsidRPr="000663E1">
          <w:rPr>
            <w:rStyle w:val="Hyperlink"/>
            <w:noProof/>
            <w:shd w:val="clear" w:color="auto" w:fill="FFFFFF"/>
          </w:rPr>
          <w:t>EXECUTIVE SUMMARY</w:t>
        </w:r>
        <w:r w:rsidR="007947BF">
          <w:rPr>
            <w:noProof/>
            <w:webHidden/>
          </w:rPr>
          <w:tab/>
        </w:r>
        <w:r w:rsidR="007947BF">
          <w:rPr>
            <w:noProof/>
            <w:webHidden/>
          </w:rPr>
          <w:fldChar w:fldCharType="begin"/>
        </w:r>
        <w:r w:rsidR="007947BF">
          <w:rPr>
            <w:noProof/>
            <w:webHidden/>
          </w:rPr>
          <w:instrText xml:space="preserve"> PAGEREF _Toc77322019 \h </w:instrText>
        </w:r>
        <w:r w:rsidR="007947BF">
          <w:rPr>
            <w:noProof/>
            <w:webHidden/>
          </w:rPr>
        </w:r>
        <w:r w:rsidR="007947BF">
          <w:rPr>
            <w:noProof/>
            <w:webHidden/>
          </w:rPr>
          <w:fldChar w:fldCharType="separate"/>
        </w:r>
        <w:r w:rsidR="007947BF">
          <w:rPr>
            <w:noProof/>
            <w:webHidden/>
          </w:rPr>
          <w:t>6</w:t>
        </w:r>
        <w:r w:rsidR="007947BF">
          <w:rPr>
            <w:noProof/>
            <w:webHidden/>
          </w:rPr>
          <w:fldChar w:fldCharType="end"/>
        </w:r>
      </w:hyperlink>
    </w:p>
    <w:p w14:paraId="6240B2FC" w14:textId="77777777" w:rsidR="007947BF" w:rsidRDefault="001E6D5A" w:rsidP="007947BF">
      <w:pPr>
        <w:pStyle w:val="TOC1"/>
        <w:tabs>
          <w:tab w:val="right" w:leader="dot" w:pos="9062"/>
        </w:tabs>
        <w:rPr>
          <w:rFonts w:eastAsiaTheme="minorEastAsia"/>
          <w:noProof/>
          <w:lang w:val="en-GB" w:eastAsia="en-GB"/>
        </w:rPr>
      </w:pPr>
      <w:hyperlink w:anchor="_Toc77322020" w:history="1">
        <w:r w:rsidR="007947BF" w:rsidRPr="000663E1">
          <w:rPr>
            <w:rStyle w:val="Hyperlink"/>
            <w:noProof/>
            <w:shd w:val="clear" w:color="auto" w:fill="FFFFFF"/>
          </w:rPr>
          <w:t>1. Introduction</w:t>
        </w:r>
        <w:r w:rsidR="007947BF">
          <w:rPr>
            <w:noProof/>
            <w:webHidden/>
          </w:rPr>
          <w:tab/>
        </w:r>
        <w:r w:rsidR="007947BF">
          <w:rPr>
            <w:noProof/>
            <w:webHidden/>
          </w:rPr>
          <w:fldChar w:fldCharType="begin"/>
        </w:r>
        <w:r w:rsidR="007947BF">
          <w:rPr>
            <w:noProof/>
            <w:webHidden/>
          </w:rPr>
          <w:instrText xml:space="preserve"> PAGEREF _Toc77322020 \h </w:instrText>
        </w:r>
        <w:r w:rsidR="007947BF">
          <w:rPr>
            <w:noProof/>
            <w:webHidden/>
          </w:rPr>
        </w:r>
        <w:r w:rsidR="007947BF">
          <w:rPr>
            <w:noProof/>
            <w:webHidden/>
          </w:rPr>
          <w:fldChar w:fldCharType="separate"/>
        </w:r>
        <w:r w:rsidR="007947BF">
          <w:rPr>
            <w:noProof/>
            <w:webHidden/>
          </w:rPr>
          <w:t>10</w:t>
        </w:r>
        <w:r w:rsidR="007947BF">
          <w:rPr>
            <w:noProof/>
            <w:webHidden/>
          </w:rPr>
          <w:fldChar w:fldCharType="end"/>
        </w:r>
      </w:hyperlink>
    </w:p>
    <w:p w14:paraId="671F4F54" w14:textId="77777777" w:rsidR="007947BF" w:rsidRDefault="001E6D5A" w:rsidP="007947BF">
      <w:pPr>
        <w:pStyle w:val="TOC2"/>
        <w:tabs>
          <w:tab w:val="right" w:leader="dot" w:pos="9062"/>
        </w:tabs>
        <w:rPr>
          <w:rFonts w:eastAsiaTheme="minorEastAsia"/>
          <w:noProof/>
          <w:lang w:val="en-GB" w:eastAsia="en-GB"/>
        </w:rPr>
      </w:pPr>
      <w:hyperlink w:anchor="_Toc77322021" w:history="1">
        <w:r w:rsidR="007947BF" w:rsidRPr="000663E1">
          <w:rPr>
            <w:rStyle w:val="Hyperlink"/>
            <w:noProof/>
            <w:shd w:val="clear" w:color="auto" w:fill="FFFFFF"/>
          </w:rPr>
          <w:t>1.1. Scope and purpose of the document</w:t>
        </w:r>
        <w:r w:rsidR="007947BF">
          <w:rPr>
            <w:noProof/>
            <w:webHidden/>
          </w:rPr>
          <w:tab/>
        </w:r>
        <w:r w:rsidR="007947BF">
          <w:rPr>
            <w:noProof/>
            <w:webHidden/>
          </w:rPr>
          <w:fldChar w:fldCharType="begin"/>
        </w:r>
        <w:r w:rsidR="007947BF">
          <w:rPr>
            <w:noProof/>
            <w:webHidden/>
          </w:rPr>
          <w:instrText xml:space="preserve"> PAGEREF _Toc77322021 \h </w:instrText>
        </w:r>
        <w:r w:rsidR="007947BF">
          <w:rPr>
            <w:noProof/>
            <w:webHidden/>
          </w:rPr>
        </w:r>
        <w:r w:rsidR="007947BF">
          <w:rPr>
            <w:noProof/>
            <w:webHidden/>
          </w:rPr>
          <w:fldChar w:fldCharType="separate"/>
        </w:r>
        <w:r w:rsidR="007947BF">
          <w:rPr>
            <w:noProof/>
            <w:webHidden/>
          </w:rPr>
          <w:t>10</w:t>
        </w:r>
        <w:r w:rsidR="007947BF">
          <w:rPr>
            <w:noProof/>
            <w:webHidden/>
          </w:rPr>
          <w:fldChar w:fldCharType="end"/>
        </w:r>
      </w:hyperlink>
    </w:p>
    <w:p w14:paraId="373324EE" w14:textId="77777777" w:rsidR="007947BF" w:rsidRDefault="001E6D5A" w:rsidP="007947BF">
      <w:pPr>
        <w:pStyle w:val="TOC2"/>
        <w:tabs>
          <w:tab w:val="right" w:leader="dot" w:pos="9062"/>
        </w:tabs>
        <w:rPr>
          <w:rFonts w:eastAsiaTheme="minorEastAsia"/>
          <w:noProof/>
          <w:lang w:val="en-GB" w:eastAsia="en-GB"/>
        </w:rPr>
      </w:pPr>
      <w:hyperlink w:anchor="_Toc77322022" w:history="1">
        <w:r w:rsidR="007947BF" w:rsidRPr="000663E1">
          <w:rPr>
            <w:rStyle w:val="Hyperlink"/>
            <w:noProof/>
            <w:shd w:val="clear" w:color="auto" w:fill="FFFFFF"/>
          </w:rPr>
          <w:t>1.2. What are Research Infrastructures?</w:t>
        </w:r>
        <w:r w:rsidR="007947BF">
          <w:rPr>
            <w:noProof/>
            <w:webHidden/>
          </w:rPr>
          <w:tab/>
        </w:r>
        <w:r w:rsidR="007947BF">
          <w:rPr>
            <w:noProof/>
            <w:webHidden/>
          </w:rPr>
          <w:fldChar w:fldCharType="begin"/>
        </w:r>
        <w:r w:rsidR="007947BF">
          <w:rPr>
            <w:noProof/>
            <w:webHidden/>
          </w:rPr>
          <w:instrText xml:space="preserve"> PAGEREF _Toc77322022 \h </w:instrText>
        </w:r>
        <w:r w:rsidR="007947BF">
          <w:rPr>
            <w:noProof/>
            <w:webHidden/>
          </w:rPr>
        </w:r>
        <w:r w:rsidR="007947BF">
          <w:rPr>
            <w:noProof/>
            <w:webHidden/>
          </w:rPr>
          <w:fldChar w:fldCharType="separate"/>
        </w:r>
        <w:r w:rsidR="007947BF">
          <w:rPr>
            <w:noProof/>
            <w:webHidden/>
          </w:rPr>
          <w:t>11</w:t>
        </w:r>
        <w:r w:rsidR="007947BF">
          <w:rPr>
            <w:noProof/>
            <w:webHidden/>
          </w:rPr>
          <w:fldChar w:fldCharType="end"/>
        </w:r>
      </w:hyperlink>
    </w:p>
    <w:p w14:paraId="401C8904" w14:textId="77777777" w:rsidR="007947BF" w:rsidRDefault="001E6D5A" w:rsidP="007947BF">
      <w:pPr>
        <w:pStyle w:val="TOC2"/>
        <w:tabs>
          <w:tab w:val="right" w:leader="dot" w:pos="9062"/>
        </w:tabs>
        <w:rPr>
          <w:rFonts w:eastAsiaTheme="minorEastAsia"/>
          <w:noProof/>
          <w:lang w:val="en-GB" w:eastAsia="en-GB"/>
        </w:rPr>
      </w:pPr>
      <w:hyperlink w:anchor="_Toc77322023" w:history="1">
        <w:r w:rsidR="007947BF" w:rsidRPr="000663E1">
          <w:rPr>
            <w:rStyle w:val="Hyperlink"/>
            <w:noProof/>
          </w:rPr>
          <w:t>1.3. The background and methodology of creating the Research Infrastructure Roadmap</w:t>
        </w:r>
        <w:r w:rsidR="007947BF">
          <w:rPr>
            <w:noProof/>
            <w:webHidden/>
          </w:rPr>
          <w:tab/>
        </w:r>
        <w:r w:rsidR="007947BF">
          <w:rPr>
            <w:noProof/>
            <w:webHidden/>
          </w:rPr>
          <w:fldChar w:fldCharType="begin"/>
        </w:r>
        <w:r w:rsidR="007947BF">
          <w:rPr>
            <w:noProof/>
            <w:webHidden/>
          </w:rPr>
          <w:instrText xml:space="preserve"> PAGEREF _Toc77322023 \h </w:instrText>
        </w:r>
        <w:r w:rsidR="007947BF">
          <w:rPr>
            <w:noProof/>
            <w:webHidden/>
          </w:rPr>
        </w:r>
        <w:r w:rsidR="007947BF">
          <w:rPr>
            <w:noProof/>
            <w:webHidden/>
          </w:rPr>
          <w:fldChar w:fldCharType="separate"/>
        </w:r>
        <w:r w:rsidR="007947BF">
          <w:rPr>
            <w:noProof/>
            <w:webHidden/>
          </w:rPr>
          <w:t>12</w:t>
        </w:r>
        <w:r w:rsidR="007947BF">
          <w:rPr>
            <w:noProof/>
            <w:webHidden/>
          </w:rPr>
          <w:fldChar w:fldCharType="end"/>
        </w:r>
      </w:hyperlink>
    </w:p>
    <w:p w14:paraId="21C12E07" w14:textId="77777777" w:rsidR="007947BF" w:rsidRDefault="001E6D5A" w:rsidP="007947BF">
      <w:pPr>
        <w:pStyle w:val="TOC1"/>
        <w:tabs>
          <w:tab w:val="right" w:leader="dot" w:pos="9062"/>
        </w:tabs>
        <w:rPr>
          <w:rFonts w:eastAsiaTheme="minorEastAsia"/>
          <w:noProof/>
          <w:lang w:val="en-GB" w:eastAsia="en-GB"/>
        </w:rPr>
      </w:pPr>
      <w:hyperlink w:anchor="_Toc77322024" w:history="1">
        <w:r w:rsidR="007947BF" w:rsidRPr="000663E1">
          <w:rPr>
            <w:rStyle w:val="Hyperlink"/>
            <w:noProof/>
            <w:shd w:val="clear" w:color="auto" w:fill="FFFFFF"/>
          </w:rPr>
          <w:t>2. The current legal and policy framework for the development of research infrastructures</w:t>
        </w:r>
        <w:r w:rsidR="007947BF">
          <w:rPr>
            <w:noProof/>
            <w:webHidden/>
          </w:rPr>
          <w:tab/>
        </w:r>
        <w:r w:rsidR="007947BF">
          <w:rPr>
            <w:noProof/>
            <w:webHidden/>
          </w:rPr>
          <w:fldChar w:fldCharType="begin"/>
        </w:r>
        <w:r w:rsidR="007947BF">
          <w:rPr>
            <w:noProof/>
            <w:webHidden/>
          </w:rPr>
          <w:instrText xml:space="preserve"> PAGEREF _Toc77322024 \h </w:instrText>
        </w:r>
        <w:r w:rsidR="007947BF">
          <w:rPr>
            <w:noProof/>
            <w:webHidden/>
          </w:rPr>
        </w:r>
        <w:r w:rsidR="007947BF">
          <w:rPr>
            <w:noProof/>
            <w:webHidden/>
          </w:rPr>
          <w:fldChar w:fldCharType="separate"/>
        </w:r>
        <w:r w:rsidR="007947BF">
          <w:rPr>
            <w:noProof/>
            <w:webHidden/>
          </w:rPr>
          <w:t>13</w:t>
        </w:r>
        <w:r w:rsidR="007947BF">
          <w:rPr>
            <w:noProof/>
            <w:webHidden/>
          </w:rPr>
          <w:fldChar w:fldCharType="end"/>
        </w:r>
      </w:hyperlink>
    </w:p>
    <w:p w14:paraId="0B0F98A4" w14:textId="77777777" w:rsidR="007947BF" w:rsidRDefault="001E6D5A" w:rsidP="007947BF">
      <w:pPr>
        <w:pStyle w:val="TOC2"/>
        <w:tabs>
          <w:tab w:val="right" w:leader="dot" w:pos="9062"/>
        </w:tabs>
        <w:rPr>
          <w:rFonts w:eastAsiaTheme="minorEastAsia"/>
          <w:noProof/>
          <w:lang w:val="en-GB" w:eastAsia="en-GB"/>
        </w:rPr>
      </w:pPr>
      <w:hyperlink w:anchor="_Toc77322025" w:history="1">
        <w:r w:rsidR="007947BF" w:rsidRPr="000663E1">
          <w:rPr>
            <w:rStyle w:val="Hyperlink"/>
            <w:noProof/>
            <w:shd w:val="clear" w:color="auto" w:fill="FFFFFF"/>
          </w:rPr>
          <w:t>2.1. Financing research activities and research infrastructures</w:t>
        </w:r>
        <w:r w:rsidR="007947BF">
          <w:rPr>
            <w:noProof/>
            <w:webHidden/>
          </w:rPr>
          <w:tab/>
        </w:r>
        <w:r w:rsidR="007947BF">
          <w:rPr>
            <w:noProof/>
            <w:webHidden/>
          </w:rPr>
          <w:fldChar w:fldCharType="begin"/>
        </w:r>
        <w:r w:rsidR="007947BF">
          <w:rPr>
            <w:noProof/>
            <w:webHidden/>
          </w:rPr>
          <w:instrText xml:space="preserve"> PAGEREF _Toc77322025 \h </w:instrText>
        </w:r>
        <w:r w:rsidR="007947BF">
          <w:rPr>
            <w:noProof/>
            <w:webHidden/>
          </w:rPr>
        </w:r>
        <w:r w:rsidR="007947BF">
          <w:rPr>
            <w:noProof/>
            <w:webHidden/>
          </w:rPr>
          <w:fldChar w:fldCharType="separate"/>
        </w:r>
        <w:r w:rsidR="007947BF">
          <w:rPr>
            <w:noProof/>
            <w:webHidden/>
          </w:rPr>
          <w:t>14</w:t>
        </w:r>
        <w:r w:rsidR="007947BF">
          <w:rPr>
            <w:noProof/>
            <w:webHidden/>
          </w:rPr>
          <w:fldChar w:fldCharType="end"/>
        </w:r>
      </w:hyperlink>
    </w:p>
    <w:p w14:paraId="705F73BD" w14:textId="77777777" w:rsidR="007947BF" w:rsidRDefault="001E6D5A" w:rsidP="007947BF">
      <w:pPr>
        <w:pStyle w:val="TOC2"/>
        <w:tabs>
          <w:tab w:val="right" w:leader="dot" w:pos="9062"/>
        </w:tabs>
        <w:rPr>
          <w:rFonts w:eastAsiaTheme="minorEastAsia"/>
          <w:noProof/>
          <w:lang w:val="en-GB" w:eastAsia="en-GB"/>
        </w:rPr>
      </w:pPr>
      <w:hyperlink w:anchor="_Toc77322026" w:history="1">
        <w:r w:rsidR="007947BF" w:rsidRPr="000663E1">
          <w:rPr>
            <w:rStyle w:val="Hyperlink"/>
            <w:noProof/>
          </w:rPr>
          <w:t>2.2. Current state of development of Smart Specialisation Strategy</w:t>
        </w:r>
        <w:r w:rsidR="007947BF">
          <w:rPr>
            <w:noProof/>
            <w:webHidden/>
          </w:rPr>
          <w:tab/>
        </w:r>
        <w:r w:rsidR="007947BF">
          <w:rPr>
            <w:noProof/>
            <w:webHidden/>
          </w:rPr>
          <w:fldChar w:fldCharType="begin"/>
        </w:r>
        <w:r w:rsidR="007947BF">
          <w:rPr>
            <w:noProof/>
            <w:webHidden/>
          </w:rPr>
          <w:instrText xml:space="preserve"> PAGEREF _Toc77322026 \h </w:instrText>
        </w:r>
        <w:r w:rsidR="007947BF">
          <w:rPr>
            <w:noProof/>
            <w:webHidden/>
          </w:rPr>
        </w:r>
        <w:r w:rsidR="007947BF">
          <w:rPr>
            <w:noProof/>
            <w:webHidden/>
          </w:rPr>
          <w:fldChar w:fldCharType="separate"/>
        </w:r>
        <w:r w:rsidR="007947BF">
          <w:rPr>
            <w:noProof/>
            <w:webHidden/>
          </w:rPr>
          <w:t>15</w:t>
        </w:r>
        <w:r w:rsidR="007947BF">
          <w:rPr>
            <w:noProof/>
            <w:webHidden/>
          </w:rPr>
          <w:fldChar w:fldCharType="end"/>
        </w:r>
      </w:hyperlink>
    </w:p>
    <w:p w14:paraId="18E8014A" w14:textId="77777777" w:rsidR="007947BF" w:rsidRDefault="001E6D5A" w:rsidP="007947BF">
      <w:pPr>
        <w:pStyle w:val="TOC1"/>
        <w:tabs>
          <w:tab w:val="right" w:leader="dot" w:pos="9062"/>
        </w:tabs>
        <w:rPr>
          <w:rFonts w:eastAsiaTheme="minorEastAsia"/>
          <w:noProof/>
          <w:lang w:val="en-GB" w:eastAsia="en-GB"/>
        </w:rPr>
      </w:pPr>
      <w:hyperlink w:anchor="_Toc77322027" w:history="1">
        <w:r w:rsidR="007947BF" w:rsidRPr="000663E1">
          <w:rPr>
            <w:rStyle w:val="Hyperlink"/>
            <w:noProof/>
            <w:shd w:val="clear" w:color="auto" w:fill="FFFFFF"/>
          </w:rPr>
          <w:t>3. Participation of North Macedonia in EU research programmes</w:t>
        </w:r>
        <w:r w:rsidR="007947BF">
          <w:rPr>
            <w:noProof/>
            <w:webHidden/>
          </w:rPr>
          <w:tab/>
        </w:r>
        <w:r w:rsidR="007947BF">
          <w:rPr>
            <w:noProof/>
            <w:webHidden/>
          </w:rPr>
          <w:fldChar w:fldCharType="begin"/>
        </w:r>
        <w:r w:rsidR="007947BF">
          <w:rPr>
            <w:noProof/>
            <w:webHidden/>
          </w:rPr>
          <w:instrText xml:space="preserve"> PAGEREF _Toc77322027 \h </w:instrText>
        </w:r>
        <w:r w:rsidR="007947BF">
          <w:rPr>
            <w:noProof/>
            <w:webHidden/>
          </w:rPr>
        </w:r>
        <w:r w:rsidR="007947BF">
          <w:rPr>
            <w:noProof/>
            <w:webHidden/>
          </w:rPr>
          <w:fldChar w:fldCharType="separate"/>
        </w:r>
        <w:r w:rsidR="007947BF">
          <w:rPr>
            <w:noProof/>
            <w:webHidden/>
          </w:rPr>
          <w:t>17</w:t>
        </w:r>
        <w:r w:rsidR="007947BF">
          <w:rPr>
            <w:noProof/>
            <w:webHidden/>
          </w:rPr>
          <w:fldChar w:fldCharType="end"/>
        </w:r>
      </w:hyperlink>
    </w:p>
    <w:p w14:paraId="17862F74" w14:textId="77777777" w:rsidR="007947BF" w:rsidRDefault="001E6D5A" w:rsidP="007947BF">
      <w:pPr>
        <w:pStyle w:val="TOC1"/>
        <w:tabs>
          <w:tab w:val="right" w:leader="dot" w:pos="9062"/>
        </w:tabs>
        <w:rPr>
          <w:rFonts w:eastAsiaTheme="minorEastAsia"/>
          <w:noProof/>
          <w:lang w:val="en-GB" w:eastAsia="en-GB"/>
        </w:rPr>
      </w:pPr>
      <w:hyperlink w:anchor="_Toc77322028" w:history="1">
        <w:r w:rsidR="007947BF" w:rsidRPr="000663E1">
          <w:rPr>
            <w:rStyle w:val="Hyperlink"/>
            <w:noProof/>
            <w:shd w:val="clear" w:color="auto" w:fill="FFFFFF"/>
          </w:rPr>
          <w:t>4. Analysis of the existing research infrastructures in North Macedonia</w:t>
        </w:r>
        <w:r w:rsidR="007947BF">
          <w:rPr>
            <w:noProof/>
            <w:webHidden/>
          </w:rPr>
          <w:tab/>
        </w:r>
        <w:r w:rsidR="007947BF">
          <w:rPr>
            <w:noProof/>
            <w:webHidden/>
          </w:rPr>
          <w:fldChar w:fldCharType="begin"/>
        </w:r>
        <w:r w:rsidR="007947BF">
          <w:rPr>
            <w:noProof/>
            <w:webHidden/>
          </w:rPr>
          <w:instrText xml:space="preserve"> PAGEREF _Toc77322028 \h </w:instrText>
        </w:r>
        <w:r w:rsidR="007947BF">
          <w:rPr>
            <w:noProof/>
            <w:webHidden/>
          </w:rPr>
        </w:r>
        <w:r w:rsidR="007947BF">
          <w:rPr>
            <w:noProof/>
            <w:webHidden/>
          </w:rPr>
          <w:fldChar w:fldCharType="separate"/>
        </w:r>
        <w:r w:rsidR="007947BF">
          <w:rPr>
            <w:noProof/>
            <w:webHidden/>
          </w:rPr>
          <w:t>18</w:t>
        </w:r>
        <w:r w:rsidR="007947BF">
          <w:rPr>
            <w:noProof/>
            <w:webHidden/>
          </w:rPr>
          <w:fldChar w:fldCharType="end"/>
        </w:r>
      </w:hyperlink>
    </w:p>
    <w:p w14:paraId="11D73821" w14:textId="77777777" w:rsidR="007947BF" w:rsidRDefault="001E6D5A" w:rsidP="007947BF">
      <w:pPr>
        <w:pStyle w:val="TOC2"/>
        <w:tabs>
          <w:tab w:val="right" w:leader="dot" w:pos="9062"/>
        </w:tabs>
        <w:rPr>
          <w:rFonts w:eastAsiaTheme="minorEastAsia"/>
          <w:noProof/>
          <w:lang w:val="en-GB" w:eastAsia="en-GB"/>
        </w:rPr>
      </w:pPr>
      <w:hyperlink w:anchor="_Toc77322029" w:history="1">
        <w:r w:rsidR="007947BF" w:rsidRPr="000663E1">
          <w:rPr>
            <w:rStyle w:val="Hyperlink"/>
            <w:noProof/>
            <w:shd w:val="clear" w:color="auto" w:fill="FFFFFF"/>
          </w:rPr>
          <w:t>4.1. Overview of research infrastructures</w:t>
        </w:r>
        <w:r w:rsidR="007947BF">
          <w:rPr>
            <w:noProof/>
            <w:webHidden/>
          </w:rPr>
          <w:tab/>
        </w:r>
        <w:r w:rsidR="007947BF">
          <w:rPr>
            <w:noProof/>
            <w:webHidden/>
          </w:rPr>
          <w:fldChar w:fldCharType="begin"/>
        </w:r>
        <w:r w:rsidR="007947BF">
          <w:rPr>
            <w:noProof/>
            <w:webHidden/>
          </w:rPr>
          <w:instrText xml:space="preserve"> PAGEREF _Toc77322029 \h </w:instrText>
        </w:r>
        <w:r w:rsidR="007947BF">
          <w:rPr>
            <w:noProof/>
            <w:webHidden/>
          </w:rPr>
        </w:r>
        <w:r w:rsidR="007947BF">
          <w:rPr>
            <w:noProof/>
            <w:webHidden/>
          </w:rPr>
          <w:fldChar w:fldCharType="separate"/>
        </w:r>
        <w:r w:rsidR="007947BF">
          <w:rPr>
            <w:noProof/>
            <w:webHidden/>
          </w:rPr>
          <w:t>18</w:t>
        </w:r>
        <w:r w:rsidR="007947BF">
          <w:rPr>
            <w:noProof/>
            <w:webHidden/>
          </w:rPr>
          <w:fldChar w:fldCharType="end"/>
        </w:r>
      </w:hyperlink>
    </w:p>
    <w:p w14:paraId="08910C4E" w14:textId="77777777" w:rsidR="007947BF" w:rsidRDefault="001E6D5A" w:rsidP="007947BF">
      <w:pPr>
        <w:pStyle w:val="TOC3"/>
        <w:tabs>
          <w:tab w:val="right" w:leader="dot" w:pos="9062"/>
        </w:tabs>
        <w:rPr>
          <w:rFonts w:eastAsiaTheme="minorEastAsia"/>
          <w:noProof/>
          <w:lang w:val="en-GB" w:eastAsia="en-GB"/>
        </w:rPr>
      </w:pPr>
      <w:hyperlink w:anchor="_Toc77322030" w:history="1">
        <w:r w:rsidR="007947BF" w:rsidRPr="000663E1">
          <w:rPr>
            <w:rStyle w:val="Hyperlink"/>
            <w:noProof/>
          </w:rPr>
          <w:t>4.1.1. Ss. Cyril and Methodius University of Skopje (UKIM)</w:t>
        </w:r>
        <w:r w:rsidR="007947BF">
          <w:rPr>
            <w:noProof/>
            <w:webHidden/>
          </w:rPr>
          <w:tab/>
        </w:r>
        <w:r w:rsidR="007947BF">
          <w:rPr>
            <w:noProof/>
            <w:webHidden/>
          </w:rPr>
          <w:fldChar w:fldCharType="begin"/>
        </w:r>
        <w:r w:rsidR="007947BF">
          <w:rPr>
            <w:noProof/>
            <w:webHidden/>
          </w:rPr>
          <w:instrText xml:space="preserve"> PAGEREF _Toc77322030 \h </w:instrText>
        </w:r>
        <w:r w:rsidR="007947BF">
          <w:rPr>
            <w:noProof/>
            <w:webHidden/>
          </w:rPr>
        </w:r>
        <w:r w:rsidR="007947BF">
          <w:rPr>
            <w:noProof/>
            <w:webHidden/>
          </w:rPr>
          <w:fldChar w:fldCharType="separate"/>
        </w:r>
        <w:r w:rsidR="007947BF">
          <w:rPr>
            <w:noProof/>
            <w:webHidden/>
          </w:rPr>
          <w:t>19</w:t>
        </w:r>
        <w:r w:rsidR="007947BF">
          <w:rPr>
            <w:noProof/>
            <w:webHidden/>
          </w:rPr>
          <w:fldChar w:fldCharType="end"/>
        </w:r>
      </w:hyperlink>
    </w:p>
    <w:p w14:paraId="3F91B64C" w14:textId="77777777" w:rsidR="007947BF" w:rsidRDefault="001E6D5A" w:rsidP="007947BF">
      <w:pPr>
        <w:pStyle w:val="TOC3"/>
        <w:tabs>
          <w:tab w:val="right" w:leader="dot" w:pos="9062"/>
        </w:tabs>
        <w:rPr>
          <w:rFonts w:eastAsiaTheme="minorEastAsia"/>
          <w:noProof/>
          <w:lang w:val="en-GB" w:eastAsia="en-GB"/>
        </w:rPr>
      </w:pPr>
      <w:hyperlink w:anchor="_Toc77322031" w:history="1">
        <w:r w:rsidR="007947BF" w:rsidRPr="000663E1">
          <w:rPr>
            <w:rStyle w:val="Hyperlink"/>
            <w:noProof/>
          </w:rPr>
          <w:t>4.1.2. Goce Delchev University</w:t>
        </w:r>
        <w:r w:rsidR="007947BF">
          <w:rPr>
            <w:noProof/>
            <w:webHidden/>
          </w:rPr>
          <w:tab/>
        </w:r>
        <w:r w:rsidR="007947BF">
          <w:rPr>
            <w:noProof/>
            <w:webHidden/>
          </w:rPr>
          <w:fldChar w:fldCharType="begin"/>
        </w:r>
        <w:r w:rsidR="007947BF">
          <w:rPr>
            <w:noProof/>
            <w:webHidden/>
          </w:rPr>
          <w:instrText xml:space="preserve"> PAGEREF _Toc77322031 \h </w:instrText>
        </w:r>
        <w:r w:rsidR="007947BF">
          <w:rPr>
            <w:noProof/>
            <w:webHidden/>
          </w:rPr>
        </w:r>
        <w:r w:rsidR="007947BF">
          <w:rPr>
            <w:noProof/>
            <w:webHidden/>
          </w:rPr>
          <w:fldChar w:fldCharType="separate"/>
        </w:r>
        <w:r w:rsidR="007947BF">
          <w:rPr>
            <w:noProof/>
            <w:webHidden/>
          </w:rPr>
          <w:t>37</w:t>
        </w:r>
        <w:r w:rsidR="007947BF">
          <w:rPr>
            <w:noProof/>
            <w:webHidden/>
          </w:rPr>
          <w:fldChar w:fldCharType="end"/>
        </w:r>
      </w:hyperlink>
    </w:p>
    <w:p w14:paraId="540B50A8" w14:textId="77777777" w:rsidR="007947BF" w:rsidRDefault="001E6D5A" w:rsidP="007947BF">
      <w:pPr>
        <w:pStyle w:val="TOC3"/>
        <w:tabs>
          <w:tab w:val="right" w:leader="dot" w:pos="9062"/>
        </w:tabs>
        <w:rPr>
          <w:rFonts w:eastAsiaTheme="minorEastAsia"/>
          <w:noProof/>
          <w:lang w:val="en-GB" w:eastAsia="en-GB"/>
        </w:rPr>
      </w:pPr>
      <w:hyperlink w:anchor="_Toc77322032" w:history="1">
        <w:r w:rsidR="007947BF" w:rsidRPr="000663E1">
          <w:rPr>
            <w:rStyle w:val="Hyperlink"/>
            <w:noProof/>
          </w:rPr>
          <w:t>4.1.3. St Kliment Ohridski University, Bitola</w:t>
        </w:r>
        <w:r w:rsidR="007947BF">
          <w:rPr>
            <w:noProof/>
            <w:webHidden/>
          </w:rPr>
          <w:tab/>
        </w:r>
        <w:r w:rsidR="007947BF">
          <w:rPr>
            <w:noProof/>
            <w:webHidden/>
          </w:rPr>
          <w:fldChar w:fldCharType="begin"/>
        </w:r>
        <w:r w:rsidR="007947BF">
          <w:rPr>
            <w:noProof/>
            <w:webHidden/>
          </w:rPr>
          <w:instrText xml:space="preserve"> PAGEREF _Toc77322032 \h </w:instrText>
        </w:r>
        <w:r w:rsidR="007947BF">
          <w:rPr>
            <w:noProof/>
            <w:webHidden/>
          </w:rPr>
        </w:r>
        <w:r w:rsidR="007947BF">
          <w:rPr>
            <w:noProof/>
            <w:webHidden/>
          </w:rPr>
          <w:fldChar w:fldCharType="separate"/>
        </w:r>
        <w:r w:rsidR="007947BF">
          <w:rPr>
            <w:noProof/>
            <w:webHidden/>
          </w:rPr>
          <w:t>39</w:t>
        </w:r>
        <w:r w:rsidR="007947BF">
          <w:rPr>
            <w:noProof/>
            <w:webHidden/>
          </w:rPr>
          <w:fldChar w:fldCharType="end"/>
        </w:r>
      </w:hyperlink>
    </w:p>
    <w:p w14:paraId="51222F12" w14:textId="77777777" w:rsidR="007947BF" w:rsidRDefault="001E6D5A" w:rsidP="007947BF">
      <w:pPr>
        <w:pStyle w:val="TOC3"/>
        <w:tabs>
          <w:tab w:val="right" w:leader="dot" w:pos="9062"/>
        </w:tabs>
        <w:rPr>
          <w:rFonts w:eastAsiaTheme="minorEastAsia"/>
          <w:noProof/>
          <w:lang w:val="en-GB" w:eastAsia="en-GB"/>
        </w:rPr>
      </w:pPr>
      <w:hyperlink w:anchor="_Toc77322033" w:history="1">
        <w:r w:rsidR="007947BF" w:rsidRPr="000663E1">
          <w:rPr>
            <w:rStyle w:val="Hyperlink"/>
            <w:noProof/>
          </w:rPr>
          <w:t>4.1.4. Mother Teresa University, Skopje</w:t>
        </w:r>
        <w:r w:rsidR="007947BF">
          <w:rPr>
            <w:noProof/>
            <w:webHidden/>
          </w:rPr>
          <w:tab/>
        </w:r>
        <w:r w:rsidR="007947BF">
          <w:rPr>
            <w:noProof/>
            <w:webHidden/>
          </w:rPr>
          <w:fldChar w:fldCharType="begin"/>
        </w:r>
        <w:r w:rsidR="007947BF">
          <w:rPr>
            <w:noProof/>
            <w:webHidden/>
          </w:rPr>
          <w:instrText xml:space="preserve"> PAGEREF _Toc77322033 \h </w:instrText>
        </w:r>
        <w:r w:rsidR="007947BF">
          <w:rPr>
            <w:noProof/>
            <w:webHidden/>
          </w:rPr>
        </w:r>
        <w:r w:rsidR="007947BF">
          <w:rPr>
            <w:noProof/>
            <w:webHidden/>
          </w:rPr>
          <w:fldChar w:fldCharType="separate"/>
        </w:r>
        <w:r w:rsidR="007947BF">
          <w:rPr>
            <w:noProof/>
            <w:webHidden/>
          </w:rPr>
          <w:t>43</w:t>
        </w:r>
        <w:r w:rsidR="007947BF">
          <w:rPr>
            <w:noProof/>
            <w:webHidden/>
          </w:rPr>
          <w:fldChar w:fldCharType="end"/>
        </w:r>
      </w:hyperlink>
    </w:p>
    <w:p w14:paraId="2774B0EA" w14:textId="77777777" w:rsidR="007947BF" w:rsidRDefault="001E6D5A" w:rsidP="007947BF">
      <w:pPr>
        <w:pStyle w:val="TOC3"/>
        <w:tabs>
          <w:tab w:val="right" w:leader="dot" w:pos="9062"/>
        </w:tabs>
        <w:rPr>
          <w:rFonts w:eastAsiaTheme="minorEastAsia"/>
          <w:noProof/>
          <w:lang w:val="en-GB" w:eastAsia="en-GB"/>
        </w:rPr>
      </w:pPr>
      <w:hyperlink w:anchor="_Toc77322034" w:history="1">
        <w:r w:rsidR="007947BF" w:rsidRPr="000663E1">
          <w:rPr>
            <w:rStyle w:val="Hyperlink"/>
            <w:noProof/>
          </w:rPr>
          <w:t>4.1.5. Institute for Advanced Composites and Robotics</w:t>
        </w:r>
        <w:r w:rsidR="007947BF">
          <w:rPr>
            <w:noProof/>
            <w:webHidden/>
          </w:rPr>
          <w:tab/>
        </w:r>
        <w:r w:rsidR="007947BF">
          <w:rPr>
            <w:noProof/>
            <w:webHidden/>
          </w:rPr>
          <w:fldChar w:fldCharType="begin"/>
        </w:r>
        <w:r w:rsidR="007947BF">
          <w:rPr>
            <w:noProof/>
            <w:webHidden/>
          </w:rPr>
          <w:instrText xml:space="preserve"> PAGEREF _Toc77322034 \h </w:instrText>
        </w:r>
        <w:r w:rsidR="007947BF">
          <w:rPr>
            <w:noProof/>
            <w:webHidden/>
          </w:rPr>
        </w:r>
        <w:r w:rsidR="007947BF">
          <w:rPr>
            <w:noProof/>
            <w:webHidden/>
          </w:rPr>
          <w:fldChar w:fldCharType="separate"/>
        </w:r>
        <w:r w:rsidR="007947BF">
          <w:rPr>
            <w:noProof/>
            <w:webHidden/>
          </w:rPr>
          <w:t>44</w:t>
        </w:r>
        <w:r w:rsidR="007947BF">
          <w:rPr>
            <w:noProof/>
            <w:webHidden/>
          </w:rPr>
          <w:fldChar w:fldCharType="end"/>
        </w:r>
      </w:hyperlink>
    </w:p>
    <w:p w14:paraId="42B3BFA6" w14:textId="77777777" w:rsidR="007947BF" w:rsidRDefault="001E6D5A" w:rsidP="007947BF">
      <w:pPr>
        <w:pStyle w:val="TOC3"/>
        <w:tabs>
          <w:tab w:val="right" w:leader="dot" w:pos="9062"/>
        </w:tabs>
        <w:rPr>
          <w:rFonts w:eastAsiaTheme="minorEastAsia"/>
          <w:noProof/>
          <w:lang w:val="en-GB" w:eastAsia="en-GB"/>
        </w:rPr>
      </w:pPr>
      <w:hyperlink w:anchor="_Toc77322035" w:history="1">
        <w:r w:rsidR="007947BF" w:rsidRPr="000663E1">
          <w:rPr>
            <w:rStyle w:val="Hyperlink"/>
            <w:noProof/>
          </w:rPr>
          <w:t>4.1.6. South East European University</w:t>
        </w:r>
        <w:r w:rsidR="007947BF">
          <w:rPr>
            <w:noProof/>
            <w:webHidden/>
          </w:rPr>
          <w:tab/>
        </w:r>
        <w:r w:rsidR="007947BF">
          <w:rPr>
            <w:noProof/>
            <w:webHidden/>
          </w:rPr>
          <w:fldChar w:fldCharType="begin"/>
        </w:r>
        <w:r w:rsidR="007947BF">
          <w:rPr>
            <w:noProof/>
            <w:webHidden/>
          </w:rPr>
          <w:instrText xml:space="preserve"> PAGEREF _Toc77322035 \h </w:instrText>
        </w:r>
        <w:r w:rsidR="007947BF">
          <w:rPr>
            <w:noProof/>
            <w:webHidden/>
          </w:rPr>
        </w:r>
        <w:r w:rsidR="007947BF">
          <w:rPr>
            <w:noProof/>
            <w:webHidden/>
          </w:rPr>
          <w:fldChar w:fldCharType="separate"/>
        </w:r>
        <w:r w:rsidR="007947BF">
          <w:rPr>
            <w:noProof/>
            <w:webHidden/>
          </w:rPr>
          <w:t>44</w:t>
        </w:r>
        <w:r w:rsidR="007947BF">
          <w:rPr>
            <w:noProof/>
            <w:webHidden/>
          </w:rPr>
          <w:fldChar w:fldCharType="end"/>
        </w:r>
      </w:hyperlink>
    </w:p>
    <w:p w14:paraId="04CC1774" w14:textId="77777777" w:rsidR="007947BF" w:rsidRDefault="001E6D5A" w:rsidP="007947BF">
      <w:pPr>
        <w:pStyle w:val="TOC2"/>
        <w:tabs>
          <w:tab w:val="right" w:leader="dot" w:pos="9062"/>
        </w:tabs>
        <w:rPr>
          <w:rFonts w:eastAsiaTheme="minorEastAsia"/>
          <w:noProof/>
          <w:lang w:val="en-GB" w:eastAsia="en-GB"/>
        </w:rPr>
      </w:pPr>
      <w:hyperlink w:anchor="_Toc77322036" w:history="1">
        <w:r w:rsidR="007947BF" w:rsidRPr="000663E1">
          <w:rPr>
            <w:rStyle w:val="Hyperlink"/>
            <w:noProof/>
            <w:shd w:val="clear" w:color="auto" w:fill="FFFFFF"/>
          </w:rPr>
          <w:t>4.2. Access Policy</w:t>
        </w:r>
        <w:r w:rsidR="007947BF">
          <w:rPr>
            <w:noProof/>
            <w:webHidden/>
          </w:rPr>
          <w:tab/>
        </w:r>
        <w:r w:rsidR="007947BF">
          <w:rPr>
            <w:noProof/>
            <w:webHidden/>
          </w:rPr>
          <w:fldChar w:fldCharType="begin"/>
        </w:r>
        <w:r w:rsidR="007947BF">
          <w:rPr>
            <w:noProof/>
            <w:webHidden/>
          </w:rPr>
          <w:instrText xml:space="preserve"> PAGEREF _Toc77322036 \h </w:instrText>
        </w:r>
        <w:r w:rsidR="007947BF">
          <w:rPr>
            <w:noProof/>
            <w:webHidden/>
          </w:rPr>
        </w:r>
        <w:r w:rsidR="007947BF">
          <w:rPr>
            <w:noProof/>
            <w:webHidden/>
          </w:rPr>
          <w:fldChar w:fldCharType="separate"/>
        </w:r>
        <w:r w:rsidR="007947BF">
          <w:rPr>
            <w:noProof/>
            <w:webHidden/>
          </w:rPr>
          <w:t>48</w:t>
        </w:r>
        <w:r w:rsidR="007947BF">
          <w:rPr>
            <w:noProof/>
            <w:webHidden/>
          </w:rPr>
          <w:fldChar w:fldCharType="end"/>
        </w:r>
      </w:hyperlink>
    </w:p>
    <w:p w14:paraId="24AC6FF2" w14:textId="77777777" w:rsidR="007947BF" w:rsidRDefault="001E6D5A" w:rsidP="007947BF">
      <w:pPr>
        <w:pStyle w:val="TOC2"/>
        <w:tabs>
          <w:tab w:val="right" w:leader="dot" w:pos="9062"/>
        </w:tabs>
        <w:rPr>
          <w:rFonts w:eastAsiaTheme="minorEastAsia"/>
          <w:noProof/>
          <w:lang w:val="en-GB" w:eastAsia="en-GB"/>
        </w:rPr>
      </w:pPr>
      <w:hyperlink w:anchor="_Toc77322037" w:history="1">
        <w:r w:rsidR="007947BF" w:rsidRPr="000663E1">
          <w:rPr>
            <w:rStyle w:val="Hyperlink"/>
            <w:noProof/>
          </w:rPr>
          <w:t>4.3. Research e-Infrastructures</w:t>
        </w:r>
        <w:r w:rsidR="007947BF">
          <w:rPr>
            <w:noProof/>
            <w:webHidden/>
          </w:rPr>
          <w:tab/>
        </w:r>
        <w:r w:rsidR="007947BF">
          <w:rPr>
            <w:noProof/>
            <w:webHidden/>
          </w:rPr>
          <w:fldChar w:fldCharType="begin"/>
        </w:r>
        <w:r w:rsidR="007947BF">
          <w:rPr>
            <w:noProof/>
            <w:webHidden/>
          </w:rPr>
          <w:instrText xml:space="preserve"> PAGEREF _Toc77322037 \h </w:instrText>
        </w:r>
        <w:r w:rsidR="007947BF">
          <w:rPr>
            <w:noProof/>
            <w:webHidden/>
          </w:rPr>
        </w:r>
        <w:r w:rsidR="007947BF">
          <w:rPr>
            <w:noProof/>
            <w:webHidden/>
          </w:rPr>
          <w:fldChar w:fldCharType="separate"/>
        </w:r>
        <w:r w:rsidR="007947BF">
          <w:rPr>
            <w:noProof/>
            <w:webHidden/>
          </w:rPr>
          <w:t>51</w:t>
        </w:r>
        <w:r w:rsidR="007947BF">
          <w:rPr>
            <w:noProof/>
            <w:webHidden/>
          </w:rPr>
          <w:fldChar w:fldCharType="end"/>
        </w:r>
      </w:hyperlink>
    </w:p>
    <w:p w14:paraId="064F503D" w14:textId="77777777" w:rsidR="007947BF" w:rsidRDefault="001E6D5A" w:rsidP="007947BF">
      <w:pPr>
        <w:pStyle w:val="TOC3"/>
        <w:tabs>
          <w:tab w:val="right" w:leader="dot" w:pos="9062"/>
        </w:tabs>
        <w:rPr>
          <w:rFonts w:eastAsiaTheme="minorEastAsia"/>
          <w:noProof/>
          <w:lang w:val="en-GB" w:eastAsia="en-GB"/>
        </w:rPr>
      </w:pPr>
      <w:hyperlink w:anchor="_Toc77322038" w:history="1">
        <w:r w:rsidR="007947BF" w:rsidRPr="000663E1">
          <w:rPr>
            <w:rStyle w:val="Hyperlink"/>
            <w:noProof/>
          </w:rPr>
          <w:t>4.3.1. Faculty of Computer Sciences and Engineering, Ss. Cyril and Methodius University in Skopje</w:t>
        </w:r>
        <w:r w:rsidR="007947BF">
          <w:rPr>
            <w:noProof/>
            <w:webHidden/>
          </w:rPr>
          <w:tab/>
        </w:r>
        <w:r w:rsidR="007947BF">
          <w:rPr>
            <w:noProof/>
            <w:webHidden/>
          </w:rPr>
          <w:fldChar w:fldCharType="begin"/>
        </w:r>
        <w:r w:rsidR="007947BF">
          <w:rPr>
            <w:noProof/>
            <w:webHidden/>
          </w:rPr>
          <w:instrText xml:space="preserve"> PAGEREF _Toc77322038 \h </w:instrText>
        </w:r>
        <w:r w:rsidR="007947BF">
          <w:rPr>
            <w:noProof/>
            <w:webHidden/>
          </w:rPr>
        </w:r>
        <w:r w:rsidR="007947BF">
          <w:rPr>
            <w:noProof/>
            <w:webHidden/>
          </w:rPr>
          <w:fldChar w:fldCharType="separate"/>
        </w:r>
        <w:r w:rsidR="007947BF">
          <w:rPr>
            <w:noProof/>
            <w:webHidden/>
          </w:rPr>
          <w:t>51</w:t>
        </w:r>
        <w:r w:rsidR="007947BF">
          <w:rPr>
            <w:noProof/>
            <w:webHidden/>
          </w:rPr>
          <w:fldChar w:fldCharType="end"/>
        </w:r>
      </w:hyperlink>
    </w:p>
    <w:p w14:paraId="2BC5E5EA" w14:textId="77777777" w:rsidR="007947BF" w:rsidRDefault="001E6D5A" w:rsidP="007947BF">
      <w:pPr>
        <w:pStyle w:val="TOC3"/>
        <w:tabs>
          <w:tab w:val="right" w:leader="dot" w:pos="9062"/>
        </w:tabs>
        <w:rPr>
          <w:rFonts w:eastAsiaTheme="minorEastAsia"/>
          <w:noProof/>
          <w:lang w:val="en-GB" w:eastAsia="en-GB"/>
        </w:rPr>
      </w:pPr>
      <w:hyperlink w:anchor="_Toc77322039" w:history="1">
        <w:r w:rsidR="007947BF" w:rsidRPr="000663E1">
          <w:rPr>
            <w:rStyle w:val="Hyperlink"/>
            <w:noProof/>
          </w:rPr>
          <w:t>4.3.2. National Research and Academic Network of North Macedonia – MARNet</w:t>
        </w:r>
        <w:r w:rsidR="007947BF">
          <w:rPr>
            <w:noProof/>
            <w:webHidden/>
          </w:rPr>
          <w:tab/>
        </w:r>
        <w:r w:rsidR="007947BF">
          <w:rPr>
            <w:noProof/>
            <w:webHidden/>
          </w:rPr>
          <w:fldChar w:fldCharType="begin"/>
        </w:r>
        <w:r w:rsidR="007947BF">
          <w:rPr>
            <w:noProof/>
            <w:webHidden/>
          </w:rPr>
          <w:instrText xml:space="preserve"> PAGEREF _Toc77322039 \h </w:instrText>
        </w:r>
        <w:r w:rsidR="007947BF">
          <w:rPr>
            <w:noProof/>
            <w:webHidden/>
          </w:rPr>
        </w:r>
        <w:r w:rsidR="007947BF">
          <w:rPr>
            <w:noProof/>
            <w:webHidden/>
          </w:rPr>
          <w:fldChar w:fldCharType="separate"/>
        </w:r>
        <w:r w:rsidR="007947BF">
          <w:rPr>
            <w:noProof/>
            <w:webHidden/>
          </w:rPr>
          <w:t>52</w:t>
        </w:r>
        <w:r w:rsidR="007947BF">
          <w:rPr>
            <w:noProof/>
            <w:webHidden/>
          </w:rPr>
          <w:fldChar w:fldCharType="end"/>
        </w:r>
      </w:hyperlink>
    </w:p>
    <w:p w14:paraId="62120CDC" w14:textId="77777777" w:rsidR="007947BF" w:rsidRDefault="001E6D5A" w:rsidP="007947BF">
      <w:pPr>
        <w:pStyle w:val="TOC3"/>
        <w:tabs>
          <w:tab w:val="right" w:leader="dot" w:pos="9062"/>
        </w:tabs>
        <w:rPr>
          <w:rFonts w:eastAsiaTheme="minorEastAsia"/>
          <w:noProof/>
          <w:lang w:val="en-GB" w:eastAsia="en-GB"/>
        </w:rPr>
      </w:pPr>
      <w:hyperlink w:anchor="_Toc77322040" w:history="1">
        <w:r w:rsidR="007947BF" w:rsidRPr="000663E1">
          <w:rPr>
            <w:rStyle w:val="Hyperlink"/>
            <w:noProof/>
          </w:rPr>
          <w:t>4.3.3. COBISS.MK network</w:t>
        </w:r>
        <w:r w:rsidR="007947BF">
          <w:rPr>
            <w:noProof/>
            <w:webHidden/>
          </w:rPr>
          <w:tab/>
        </w:r>
        <w:r w:rsidR="007947BF">
          <w:rPr>
            <w:noProof/>
            <w:webHidden/>
          </w:rPr>
          <w:fldChar w:fldCharType="begin"/>
        </w:r>
        <w:r w:rsidR="007947BF">
          <w:rPr>
            <w:noProof/>
            <w:webHidden/>
          </w:rPr>
          <w:instrText xml:space="preserve"> PAGEREF _Toc77322040 \h </w:instrText>
        </w:r>
        <w:r w:rsidR="007947BF">
          <w:rPr>
            <w:noProof/>
            <w:webHidden/>
          </w:rPr>
        </w:r>
        <w:r w:rsidR="007947BF">
          <w:rPr>
            <w:noProof/>
            <w:webHidden/>
          </w:rPr>
          <w:fldChar w:fldCharType="separate"/>
        </w:r>
        <w:r w:rsidR="007947BF">
          <w:rPr>
            <w:noProof/>
            <w:webHidden/>
          </w:rPr>
          <w:t>52</w:t>
        </w:r>
        <w:r w:rsidR="007947BF">
          <w:rPr>
            <w:noProof/>
            <w:webHidden/>
          </w:rPr>
          <w:fldChar w:fldCharType="end"/>
        </w:r>
      </w:hyperlink>
    </w:p>
    <w:p w14:paraId="69843F5E" w14:textId="77777777" w:rsidR="007947BF" w:rsidRDefault="001E6D5A" w:rsidP="007947BF">
      <w:pPr>
        <w:pStyle w:val="TOC2"/>
        <w:tabs>
          <w:tab w:val="right" w:leader="dot" w:pos="9062"/>
        </w:tabs>
        <w:rPr>
          <w:rFonts w:eastAsiaTheme="minorEastAsia"/>
          <w:noProof/>
          <w:lang w:val="en-GB" w:eastAsia="en-GB"/>
        </w:rPr>
      </w:pPr>
      <w:hyperlink w:anchor="_Toc77322041" w:history="1">
        <w:r w:rsidR="007947BF" w:rsidRPr="000663E1">
          <w:rPr>
            <w:rStyle w:val="Hyperlink"/>
            <w:noProof/>
          </w:rPr>
          <w:t>4.4. Participation of institutions from North Macedonia in RI projects</w:t>
        </w:r>
        <w:r w:rsidR="007947BF">
          <w:rPr>
            <w:noProof/>
            <w:webHidden/>
          </w:rPr>
          <w:tab/>
        </w:r>
        <w:r w:rsidR="007947BF">
          <w:rPr>
            <w:noProof/>
            <w:webHidden/>
          </w:rPr>
          <w:fldChar w:fldCharType="begin"/>
        </w:r>
        <w:r w:rsidR="007947BF">
          <w:rPr>
            <w:noProof/>
            <w:webHidden/>
          </w:rPr>
          <w:instrText xml:space="preserve"> PAGEREF _Toc77322041 \h </w:instrText>
        </w:r>
        <w:r w:rsidR="007947BF">
          <w:rPr>
            <w:noProof/>
            <w:webHidden/>
          </w:rPr>
        </w:r>
        <w:r w:rsidR="007947BF">
          <w:rPr>
            <w:noProof/>
            <w:webHidden/>
          </w:rPr>
          <w:fldChar w:fldCharType="separate"/>
        </w:r>
        <w:r w:rsidR="007947BF">
          <w:rPr>
            <w:noProof/>
            <w:webHidden/>
          </w:rPr>
          <w:t>54</w:t>
        </w:r>
        <w:r w:rsidR="007947BF">
          <w:rPr>
            <w:noProof/>
            <w:webHidden/>
          </w:rPr>
          <w:fldChar w:fldCharType="end"/>
        </w:r>
      </w:hyperlink>
    </w:p>
    <w:p w14:paraId="117FE520" w14:textId="77777777" w:rsidR="007947BF" w:rsidRDefault="001E6D5A" w:rsidP="007947BF">
      <w:pPr>
        <w:pStyle w:val="TOC2"/>
        <w:tabs>
          <w:tab w:val="right" w:leader="dot" w:pos="9062"/>
        </w:tabs>
        <w:rPr>
          <w:rFonts w:eastAsiaTheme="minorEastAsia"/>
          <w:noProof/>
          <w:lang w:val="en-GB" w:eastAsia="en-GB"/>
        </w:rPr>
      </w:pPr>
      <w:hyperlink w:anchor="_Toc77322042" w:history="1">
        <w:r w:rsidR="007947BF" w:rsidRPr="000663E1">
          <w:rPr>
            <w:rStyle w:val="Hyperlink"/>
            <w:noProof/>
            <w:shd w:val="clear" w:color="auto" w:fill="FFFFFF"/>
          </w:rPr>
          <w:t>4.5. Membership in ESFRI Roadmap and other Large European Research Infrastructures</w:t>
        </w:r>
        <w:r w:rsidR="007947BF">
          <w:rPr>
            <w:noProof/>
            <w:webHidden/>
          </w:rPr>
          <w:tab/>
        </w:r>
        <w:r w:rsidR="007947BF">
          <w:rPr>
            <w:noProof/>
            <w:webHidden/>
          </w:rPr>
          <w:fldChar w:fldCharType="begin"/>
        </w:r>
        <w:r w:rsidR="007947BF">
          <w:rPr>
            <w:noProof/>
            <w:webHidden/>
          </w:rPr>
          <w:instrText xml:space="preserve"> PAGEREF _Toc77322042 \h </w:instrText>
        </w:r>
        <w:r w:rsidR="007947BF">
          <w:rPr>
            <w:noProof/>
            <w:webHidden/>
          </w:rPr>
        </w:r>
        <w:r w:rsidR="007947BF">
          <w:rPr>
            <w:noProof/>
            <w:webHidden/>
          </w:rPr>
          <w:fldChar w:fldCharType="separate"/>
        </w:r>
        <w:r w:rsidR="007947BF">
          <w:rPr>
            <w:noProof/>
            <w:webHidden/>
          </w:rPr>
          <w:t>64</w:t>
        </w:r>
        <w:r w:rsidR="007947BF">
          <w:rPr>
            <w:noProof/>
            <w:webHidden/>
          </w:rPr>
          <w:fldChar w:fldCharType="end"/>
        </w:r>
      </w:hyperlink>
    </w:p>
    <w:p w14:paraId="7285A648" w14:textId="77777777" w:rsidR="007947BF" w:rsidRDefault="001E6D5A" w:rsidP="007947BF">
      <w:pPr>
        <w:pStyle w:val="TOC3"/>
        <w:tabs>
          <w:tab w:val="right" w:leader="dot" w:pos="9062"/>
        </w:tabs>
        <w:rPr>
          <w:rFonts w:eastAsiaTheme="minorEastAsia"/>
          <w:noProof/>
          <w:lang w:val="en-GB" w:eastAsia="en-GB"/>
        </w:rPr>
      </w:pPr>
      <w:hyperlink w:anchor="_Toc77322043" w:history="1">
        <w:r w:rsidR="007947BF" w:rsidRPr="000663E1">
          <w:rPr>
            <w:rStyle w:val="Hyperlink"/>
            <w:noProof/>
          </w:rPr>
          <w:t>METROFOOD-RI Infrastructure for Promoting Metrology in Food and Nutrition</w:t>
        </w:r>
        <w:r w:rsidR="007947BF">
          <w:rPr>
            <w:noProof/>
            <w:webHidden/>
          </w:rPr>
          <w:tab/>
        </w:r>
        <w:r w:rsidR="007947BF">
          <w:rPr>
            <w:noProof/>
            <w:webHidden/>
          </w:rPr>
          <w:fldChar w:fldCharType="begin"/>
        </w:r>
        <w:r w:rsidR="007947BF">
          <w:rPr>
            <w:noProof/>
            <w:webHidden/>
          </w:rPr>
          <w:instrText xml:space="preserve"> PAGEREF _Toc77322043 \h </w:instrText>
        </w:r>
        <w:r w:rsidR="007947BF">
          <w:rPr>
            <w:noProof/>
            <w:webHidden/>
          </w:rPr>
        </w:r>
        <w:r w:rsidR="007947BF">
          <w:rPr>
            <w:noProof/>
            <w:webHidden/>
          </w:rPr>
          <w:fldChar w:fldCharType="separate"/>
        </w:r>
        <w:r w:rsidR="007947BF">
          <w:rPr>
            <w:noProof/>
            <w:webHidden/>
          </w:rPr>
          <w:t>64</w:t>
        </w:r>
        <w:r w:rsidR="007947BF">
          <w:rPr>
            <w:noProof/>
            <w:webHidden/>
          </w:rPr>
          <w:fldChar w:fldCharType="end"/>
        </w:r>
      </w:hyperlink>
    </w:p>
    <w:p w14:paraId="0C491810" w14:textId="77777777" w:rsidR="007947BF" w:rsidRDefault="001E6D5A" w:rsidP="007947BF">
      <w:pPr>
        <w:pStyle w:val="TOC3"/>
        <w:tabs>
          <w:tab w:val="right" w:leader="dot" w:pos="9062"/>
        </w:tabs>
        <w:rPr>
          <w:rFonts w:eastAsiaTheme="minorEastAsia"/>
          <w:noProof/>
          <w:lang w:val="en-GB" w:eastAsia="en-GB"/>
        </w:rPr>
      </w:pPr>
      <w:hyperlink w:anchor="_Toc77322044" w:history="1">
        <w:r w:rsidR="007947BF" w:rsidRPr="000663E1">
          <w:rPr>
            <w:rStyle w:val="Hyperlink"/>
            <w:noProof/>
          </w:rPr>
          <w:t>GEANT Pan-European Network</w:t>
        </w:r>
        <w:r w:rsidR="007947BF">
          <w:rPr>
            <w:noProof/>
            <w:webHidden/>
          </w:rPr>
          <w:tab/>
        </w:r>
        <w:r w:rsidR="007947BF">
          <w:rPr>
            <w:noProof/>
            <w:webHidden/>
          </w:rPr>
          <w:fldChar w:fldCharType="begin"/>
        </w:r>
        <w:r w:rsidR="007947BF">
          <w:rPr>
            <w:noProof/>
            <w:webHidden/>
          </w:rPr>
          <w:instrText xml:space="preserve"> PAGEREF _Toc77322044 \h </w:instrText>
        </w:r>
        <w:r w:rsidR="007947BF">
          <w:rPr>
            <w:noProof/>
            <w:webHidden/>
          </w:rPr>
        </w:r>
        <w:r w:rsidR="007947BF">
          <w:rPr>
            <w:noProof/>
            <w:webHidden/>
          </w:rPr>
          <w:fldChar w:fldCharType="separate"/>
        </w:r>
        <w:r w:rsidR="007947BF">
          <w:rPr>
            <w:noProof/>
            <w:webHidden/>
          </w:rPr>
          <w:t>65</w:t>
        </w:r>
        <w:r w:rsidR="007947BF">
          <w:rPr>
            <w:noProof/>
            <w:webHidden/>
          </w:rPr>
          <w:fldChar w:fldCharType="end"/>
        </w:r>
      </w:hyperlink>
    </w:p>
    <w:p w14:paraId="6B2CD3AF" w14:textId="77777777" w:rsidR="007947BF" w:rsidRDefault="001E6D5A" w:rsidP="007947BF">
      <w:pPr>
        <w:pStyle w:val="TOC3"/>
        <w:tabs>
          <w:tab w:val="right" w:leader="dot" w:pos="9062"/>
        </w:tabs>
        <w:rPr>
          <w:rFonts w:eastAsiaTheme="minorEastAsia"/>
          <w:noProof/>
          <w:lang w:val="en-GB" w:eastAsia="en-GB"/>
        </w:rPr>
      </w:pPr>
      <w:hyperlink w:anchor="_Toc77322045" w:history="1">
        <w:r w:rsidR="007947BF" w:rsidRPr="000663E1">
          <w:rPr>
            <w:rStyle w:val="Hyperlink"/>
            <w:noProof/>
          </w:rPr>
          <w:t>EOSC Association – European Open Science Cloud</w:t>
        </w:r>
        <w:r w:rsidR="007947BF">
          <w:rPr>
            <w:noProof/>
            <w:webHidden/>
          </w:rPr>
          <w:tab/>
        </w:r>
        <w:r w:rsidR="007947BF">
          <w:rPr>
            <w:noProof/>
            <w:webHidden/>
          </w:rPr>
          <w:fldChar w:fldCharType="begin"/>
        </w:r>
        <w:r w:rsidR="007947BF">
          <w:rPr>
            <w:noProof/>
            <w:webHidden/>
          </w:rPr>
          <w:instrText xml:space="preserve"> PAGEREF _Toc77322045 \h </w:instrText>
        </w:r>
        <w:r w:rsidR="007947BF">
          <w:rPr>
            <w:noProof/>
            <w:webHidden/>
          </w:rPr>
        </w:r>
        <w:r w:rsidR="007947BF">
          <w:rPr>
            <w:noProof/>
            <w:webHidden/>
          </w:rPr>
          <w:fldChar w:fldCharType="separate"/>
        </w:r>
        <w:r w:rsidR="007947BF">
          <w:rPr>
            <w:noProof/>
            <w:webHidden/>
          </w:rPr>
          <w:t>65</w:t>
        </w:r>
        <w:r w:rsidR="007947BF">
          <w:rPr>
            <w:noProof/>
            <w:webHidden/>
          </w:rPr>
          <w:fldChar w:fldCharType="end"/>
        </w:r>
      </w:hyperlink>
    </w:p>
    <w:p w14:paraId="31C1D16B" w14:textId="77777777" w:rsidR="007947BF" w:rsidRDefault="001E6D5A" w:rsidP="007947BF">
      <w:pPr>
        <w:pStyle w:val="TOC3"/>
        <w:tabs>
          <w:tab w:val="right" w:leader="dot" w:pos="9062"/>
        </w:tabs>
        <w:rPr>
          <w:rFonts w:eastAsiaTheme="minorEastAsia"/>
          <w:noProof/>
          <w:lang w:val="en-GB" w:eastAsia="en-GB"/>
        </w:rPr>
      </w:pPr>
      <w:hyperlink w:anchor="_Toc77322046" w:history="1">
        <w:r w:rsidR="007947BF" w:rsidRPr="000663E1">
          <w:rPr>
            <w:rStyle w:val="Hyperlink"/>
            <w:noProof/>
          </w:rPr>
          <w:t>CEESDA</w:t>
        </w:r>
        <w:r w:rsidR="007947BF">
          <w:rPr>
            <w:noProof/>
            <w:webHidden/>
          </w:rPr>
          <w:tab/>
        </w:r>
        <w:r w:rsidR="007947BF">
          <w:rPr>
            <w:noProof/>
            <w:webHidden/>
          </w:rPr>
          <w:fldChar w:fldCharType="begin"/>
        </w:r>
        <w:r w:rsidR="007947BF">
          <w:rPr>
            <w:noProof/>
            <w:webHidden/>
          </w:rPr>
          <w:instrText xml:space="preserve"> PAGEREF _Toc77322046 \h </w:instrText>
        </w:r>
        <w:r w:rsidR="007947BF">
          <w:rPr>
            <w:noProof/>
            <w:webHidden/>
          </w:rPr>
        </w:r>
        <w:r w:rsidR="007947BF">
          <w:rPr>
            <w:noProof/>
            <w:webHidden/>
          </w:rPr>
          <w:fldChar w:fldCharType="separate"/>
        </w:r>
        <w:r w:rsidR="007947BF">
          <w:rPr>
            <w:noProof/>
            <w:webHidden/>
          </w:rPr>
          <w:t>65</w:t>
        </w:r>
        <w:r w:rsidR="007947BF">
          <w:rPr>
            <w:noProof/>
            <w:webHidden/>
          </w:rPr>
          <w:fldChar w:fldCharType="end"/>
        </w:r>
      </w:hyperlink>
    </w:p>
    <w:p w14:paraId="738BBEA0" w14:textId="77777777" w:rsidR="007947BF" w:rsidRDefault="001E6D5A" w:rsidP="007947BF">
      <w:pPr>
        <w:pStyle w:val="TOC3"/>
        <w:tabs>
          <w:tab w:val="right" w:leader="dot" w:pos="9062"/>
        </w:tabs>
        <w:rPr>
          <w:rFonts w:eastAsiaTheme="minorEastAsia"/>
          <w:noProof/>
          <w:lang w:val="en-GB" w:eastAsia="en-GB"/>
        </w:rPr>
      </w:pPr>
      <w:hyperlink w:anchor="_Toc77322047" w:history="1">
        <w:r w:rsidR="007947BF" w:rsidRPr="000663E1">
          <w:rPr>
            <w:rStyle w:val="Hyperlink"/>
            <w:noProof/>
          </w:rPr>
          <w:t>EGI: Advanced computing for research</w:t>
        </w:r>
        <w:r w:rsidR="007947BF">
          <w:rPr>
            <w:noProof/>
            <w:webHidden/>
          </w:rPr>
          <w:tab/>
        </w:r>
        <w:r w:rsidR="007947BF">
          <w:rPr>
            <w:noProof/>
            <w:webHidden/>
          </w:rPr>
          <w:fldChar w:fldCharType="begin"/>
        </w:r>
        <w:r w:rsidR="007947BF">
          <w:rPr>
            <w:noProof/>
            <w:webHidden/>
          </w:rPr>
          <w:instrText xml:space="preserve"> PAGEREF _Toc77322047 \h </w:instrText>
        </w:r>
        <w:r w:rsidR="007947BF">
          <w:rPr>
            <w:noProof/>
            <w:webHidden/>
          </w:rPr>
        </w:r>
        <w:r w:rsidR="007947BF">
          <w:rPr>
            <w:noProof/>
            <w:webHidden/>
          </w:rPr>
          <w:fldChar w:fldCharType="separate"/>
        </w:r>
        <w:r w:rsidR="007947BF">
          <w:rPr>
            <w:noProof/>
            <w:webHidden/>
          </w:rPr>
          <w:t>66</w:t>
        </w:r>
        <w:r w:rsidR="007947BF">
          <w:rPr>
            <w:noProof/>
            <w:webHidden/>
          </w:rPr>
          <w:fldChar w:fldCharType="end"/>
        </w:r>
      </w:hyperlink>
    </w:p>
    <w:p w14:paraId="531CE846" w14:textId="77777777" w:rsidR="007947BF" w:rsidRDefault="001E6D5A" w:rsidP="007947BF">
      <w:pPr>
        <w:pStyle w:val="TOC3"/>
        <w:tabs>
          <w:tab w:val="right" w:leader="dot" w:pos="9062"/>
        </w:tabs>
        <w:rPr>
          <w:rFonts w:eastAsiaTheme="minorEastAsia"/>
          <w:noProof/>
          <w:lang w:val="en-GB" w:eastAsia="en-GB"/>
        </w:rPr>
      </w:pPr>
      <w:hyperlink w:anchor="_Toc77322048" w:history="1">
        <w:r w:rsidR="007947BF" w:rsidRPr="000663E1">
          <w:rPr>
            <w:rStyle w:val="Hyperlink"/>
            <w:noProof/>
          </w:rPr>
          <w:t>OpenAIRE</w:t>
        </w:r>
        <w:r w:rsidR="007947BF">
          <w:rPr>
            <w:noProof/>
            <w:webHidden/>
          </w:rPr>
          <w:tab/>
        </w:r>
        <w:r w:rsidR="007947BF">
          <w:rPr>
            <w:noProof/>
            <w:webHidden/>
          </w:rPr>
          <w:fldChar w:fldCharType="begin"/>
        </w:r>
        <w:r w:rsidR="007947BF">
          <w:rPr>
            <w:noProof/>
            <w:webHidden/>
          </w:rPr>
          <w:instrText xml:space="preserve"> PAGEREF _Toc77322048 \h </w:instrText>
        </w:r>
        <w:r w:rsidR="007947BF">
          <w:rPr>
            <w:noProof/>
            <w:webHidden/>
          </w:rPr>
        </w:r>
        <w:r w:rsidR="007947BF">
          <w:rPr>
            <w:noProof/>
            <w:webHidden/>
          </w:rPr>
          <w:fldChar w:fldCharType="separate"/>
        </w:r>
        <w:r w:rsidR="007947BF">
          <w:rPr>
            <w:noProof/>
            <w:webHidden/>
          </w:rPr>
          <w:t>66</w:t>
        </w:r>
        <w:r w:rsidR="007947BF">
          <w:rPr>
            <w:noProof/>
            <w:webHidden/>
          </w:rPr>
          <w:fldChar w:fldCharType="end"/>
        </w:r>
      </w:hyperlink>
    </w:p>
    <w:p w14:paraId="1707B1DB" w14:textId="77777777" w:rsidR="007947BF" w:rsidRDefault="001E6D5A" w:rsidP="007947BF">
      <w:pPr>
        <w:pStyle w:val="TOC3"/>
        <w:tabs>
          <w:tab w:val="right" w:leader="dot" w:pos="9062"/>
        </w:tabs>
        <w:rPr>
          <w:rFonts w:eastAsiaTheme="minorEastAsia"/>
          <w:noProof/>
          <w:lang w:val="en-GB" w:eastAsia="en-GB"/>
        </w:rPr>
      </w:pPr>
      <w:hyperlink w:anchor="_Toc77322049" w:history="1">
        <w:r w:rsidR="007947BF" w:rsidRPr="000663E1">
          <w:rPr>
            <w:rStyle w:val="Hyperlink"/>
            <w:noProof/>
          </w:rPr>
          <w:t>EuroHPC JU</w:t>
        </w:r>
        <w:r w:rsidR="007947BF">
          <w:rPr>
            <w:noProof/>
            <w:webHidden/>
          </w:rPr>
          <w:tab/>
        </w:r>
        <w:r w:rsidR="007947BF">
          <w:rPr>
            <w:noProof/>
            <w:webHidden/>
          </w:rPr>
          <w:fldChar w:fldCharType="begin"/>
        </w:r>
        <w:r w:rsidR="007947BF">
          <w:rPr>
            <w:noProof/>
            <w:webHidden/>
          </w:rPr>
          <w:instrText xml:space="preserve"> PAGEREF _Toc77322049 \h </w:instrText>
        </w:r>
        <w:r w:rsidR="007947BF">
          <w:rPr>
            <w:noProof/>
            <w:webHidden/>
          </w:rPr>
        </w:r>
        <w:r w:rsidR="007947BF">
          <w:rPr>
            <w:noProof/>
            <w:webHidden/>
          </w:rPr>
          <w:fldChar w:fldCharType="separate"/>
        </w:r>
        <w:r w:rsidR="007947BF">
          <w:rPr>
            <w:noProof/>
            <w:webHidden/>
          </w:rPr>
          <w:t>67</w:t>
        </w:r>
        <w:r w:rsidR="007947BF">
          <w:rPr>
            <w:noProof/>
            <w:webHidden/>
          </w:rPr>
          <w:fldChar w:fldCharType="end"/>
        </w:r>
      </w:hyperlink>
    </w:p>
    <w:p w14:paraId="1D3ECBAB" w14:textId="77777777" w:rsidR="007947BF" w:rsidRDefault="001E6D5A" w:rsidP="007947BF">
      <w:pPr>
        <w:pStyle w:val="TOC3"/>
        <w:tabs>
          <w:tab w:val="right" w:leader="dot" w:pos="9062"/>
        </w:tabs>
        <w:rPr>
          <w:rFonts w:eastAsiaTheme="minorEastAsia"/>
          <w:noProof/>
          <w:lang w:val="en-GB" w:eastAsia="en-GB"/>
        </w:rPr>
      </w:pPr>
      <w:hyperlink w:anchor="_Toc77322050" w:history="1">
        <w:r w:rsidR="007947BF" w:rsidRPr="000663E1">
          <w:rPr>
            <w:rStyle w:val="Hyperlink"/>
            <w:noProof/>
          </w:rPr>
          <w:t>ESS - European Social Survey</w:t>
        </w:r>
        <w:r w:rsidR="007947BF">
          <w:rPr>
            <w:noProof/>
            <w:webHidden/>
          </w:rPr>
          <w:tab/>
        </w:r>
        <w:r w:rsidR="007947BF">
          <w:rPr>
            <w:noProof/>
            <w:webHidden/>
          </w:rPr>
          <w:fldChar w:fldCharType="begin"/>
        </w:r>
        <w:r w:rsidR="007947BF">
          <w:rPr>
            <w:noProof/>
            <w:webHidden/>
          </w:rPr>
          <w:instrText xml:space="preserve"> PAGEREF _Toc77322050 \h </w:instrText>
        </w:r>
        <w:r w:rsidR="007947BF">
          <w:rPr>
            <w:noProof/>
            <w:webHidden/>
          </w:rPr>
        </w:r>
        <w:r w:rsidR="007947BF">
          <w:rPr>
            <w:noProof/>
            <w:webHidden/>
          </w:rPr>
          <w:fldChar w:fldCharType="separate"/>
        </w:r>
        <w:r w:rsidR="007947BF">
          <w:rPr>
            <w:noProof/>
            <w:webHidden/>
          </w:rPr>
          <w:t>68</w:t>
        </w:r>
        <w:r w:rsidR="007947BF">
          <w:rPr>
            <w:noProof/>
            <w:webHidden/>
          </w:rPr>
          <w:fldChar w:fldCharType="end"/>
        </w:r>
      </w:hyperlink>
    </w:p>
    <w:p w14:paraId="0D181FF0" w14:textId="77777777" w:rsidR="007947BF" w:rsidRDefault="001E6D5A" w:rsidP="007947BF">
      <w:pPr>
        <w:pStyle w:val="TOC3"/>
        <w:tabs>
          <w:tab w:val="right" w:leader="dot" w:pos="9062"/>
        </w:tabs>
        <w:rPr>
          <w:rFonts w:eastAsiaTheme="minorEastAsia"/>
          <w:noProof/>
          <w:lang w:val="en-GB" w:eastAsia="en-GB"/>
        </w:rPr>
      </w:pPr>
      <w:hyperlink w:anchor="_Toc77322051" w:history="1">
        <w:r w:rsidR="007947BF" w:rsidRPr="000663E1">
          <w:rPr>
            <w:rStyle w:val="Hyperlink"/>
            <w:rFonts w:eastAsia="Calibri"/>
            <w:noProof/>
          </w:rPr>
          <w:t>SEEIST- The South East European International Institute for Sustainable Technologies</w:t>
        </w:r>
        <w:r w:rsidR="007947BF">
          <w:rPr>
            <w:noProof/>
            <w:webHidden/>
          </w:rPr>
          <w:tab/>
        </w:r>
        <w:r w:rsidR="007947BF">
          <w:rPr>
            <w:noProof/>
            <w:webHidden/>
          </w:rPr>
          <w:fldChar w:fldCharType="begin"/>
        </w:r>
        <w:r w:rsidR="007947BF">
          <w:rPr>
            <w:noProof/>
            <w:webHidden/>
          </w:rPr>
          <w:instrText xml:space="preserve"> PAGEREF _Toc77322051 \h </w:instrText>
        </w:r>
        <w:r w:rsidR="007947BF">
          <w:rPr>
            <w:noProof/>
            <w:webHidden/>
          </w:rPr>
        </w:r>
        <w:r w:rsidR="007947BF">
          <w:rPr>
            <w:noProof/>
            <w:webHidden/>
          </w:rPr>
          <w:fldChar w:fldCharType="separate"/>
        </w:r>
        <w:r w:rsidR="007947BF">
          <w:rPr>
            <w:noProof/>
            <w:webHidden/>
          </w:rPr>
          <w:t>68</w:t>
        </w:r>
        <w:r w:rsidR="007947BF">
          <w:rPr>
            <w:noProof/>
            <w:webHidden/>
          </w:rPr>
          <w:fldChar w:fldCharType="end"/>
        </w:r>
      </w:hyperlink>
    </w:p>
    <w:p w14:paraId="718DF23B" w14:textId="77777777" w:rsidR="007947BF" w:rsidRDefault="001E6D5A" w:rsidP="007947BF">
      <w:pPr>
        <w:pStyle w:val="TOC1"/>
        <w:tabs>
          <w:tab w:val="right" w:leader="dot" w:pos="9062"/>
        </w:tabs>
        <w:rPr>
          <w:rFonts w:eastAsiaTheme="minorEastAsia"/>
          <w:noProof/>
          <w:lang w:val="en-GB" w:eastAsia="en-GB"/>
        </w:rPr>
      </w:pPr>
      <w:hyperlink w:anchor="_Toc77322052" w:history="1">
        <w:r w:rsidR="007947BF" w:rsidRPr="000663E1">
          <w:rPr>
            <w:rStyle w:val="Hyperlink"/>
            <w:noProof/>
            <w:shd w:val="clear" w:color="auto" w:fill="FFFFFF"/>
          </w:rPr>
          <w:t>5. Concluding remarks and policy recommendations</w:t>
        </w:r>
        <w:r w:rsidR="007947BF">
          <w:rPr>
            <w:noProof/>
            <w:webHidden/>
          </w:rPr>
          <w:tab/>
        </w:r>
        <w:r w:rsidR="007947BF">
          <w:rPr>
            <w:noProof/>
            <w:webHidden/>
          </w:rPr>
          <w:fldChar w:fldCharType="begin"/>
        </w:r>
        <w:r w:rsidR="007947BF">
          <w:rPr>
            <w:noProof/>
            <w:webHidden/>
          </w:rPr>
          <w:instrText xml:space="preserve"> PAGEREF _Toc77322052 \h </w:instrText>
        </w:r>
        <w:r w:rsidR="007947BF">
          <w:rPr>
            <w:noProof/>
            <w:webHidden/>
          </w:rPr>
        </w:r>
        <w:r w:rsidR="007947BF">
          <w:rPr>
            <w:noProof/>
            <w:webHidden/>
          </w:rPr>
          <w:fldChar w:fldCharType="separate"/>
        </w:r>
        <w:r w:rsidR="007947BF">
          <w:rPr>
            <w:noProof/>
            <w:webHidden/>
          </w:rPr>
          <w:t>70</w:t>
        </w:r>
        <w:r w:rsidR="007947BF">
          <w:rPr>
            <w:noProof/>
            <w:webHidden/>
          </w:rPr>
          <w:fldChar w:fldCharType="end"/>
        </w:r>
      </w:hyperlink>
    </w:p>
    <w:p w14:paraId="6D92BC8A" w14:textId="77777777" w:rsidR="007947BF" w:rsidRDefault="001E6D5A" w:rsidP="007947BF">
      <w:pPr>
        <w:pStyle w:val="TOC1"/>
        <w:tabs>
          <w:tab w:val="right" w:leader="dot" w:pos="9062"/>
        </w:tabs>
        <w:rPr>
          <w:rFonts w:eastAsiaTheme="minorEastAsia"/>
          <w:noProof/>
          <w:lang w:val="en-GB" w:eastAsia="en-GB"/>
        </w:rPr>
      </w:pPr>
      <w:hyperlink w:anchor="_Toc77322053" w:history="1">
        <w:r w:rsidR="007947BF" w:rsidRPr="000663E1">
          <w:rPr>
            <w:rStyle w:val="Hyperlink"/>
            <w:rFonts w:cstheme="minorHAnsi"/>
            <w:noProof/>
          </w:rPr>
          <w:t>APPENDIX 1: List of capital equipment at purchase price higher than 50.000 euro</w:t>
        </w:r>
        <w:r w:rsidR="007947BF">
          <w:rPr>
            <w:noProof/>
            <w:webHidden/>
          </w:rPr>
          <w:tab/>
        </w:r>
        <w:r w:rsidR="007947BF">
          <w:rPr>
            <w:noProof/>
            <w:webHidden/>
          </w:rPr>
          <w:fldChar w:fldCharType="begin"/>
        </w:r>
        <w:r w:rsidR="007947BF">
          <w:rPr>
            <w:noProof/>
            <w:webHidden/>
          </w:rPr>
          <w:instrText xml:space="preserve"> PAGEREF _Toc77322053 \h </w:instrText>
        </w:r>
        <w:r w:rsidR="007947BF">
          <w:rPr>
            <w:noProof/>
            <w:webHidden/>
          </w:rPr>
        </w:r>
        <w:r w:rsidR="007947BF">
          <w:rPr>
            <w:noProof/>
            <w:webHidden/>
          </w:rPr>
          <w:fldChar w:fldCharType="separate"/>
        </w:r>
        <w:r w:rsidR="007947BF">
          <w:rPr>
            <w:noProof/>
            <w:webHidden/>
          </w:rPr>
          <w:t>73</w:t>
        </w:r>
        <w:r w:rsidR="007947BF">
          <w:rPr>
            <w:noProof/>
            <w:webHidden/>
          </w:rPr>
          <w:fldChar w:fldCharType="end"/>
        </w:r>
      </w:hyperlink>
    </w:p>
    <w:p w14:paraId="3157E4C2" w14:textId="77777777" w:rsidR="007947BF" w:rsidRDefault="001E6D5A" w:rsidP="007947BF">
      <w:pPr>
        <w:pStyle w:val="TOC1"/>
        <w:tabs>
          <w:tab w:val="right" w:leader="dot" w:pos="9062"/>
        </w:tabs>
        <w:rPr>
          <w:rFonts w:eastAsiaTheme="minorEastAsia"/>
          <w:noProof/>
          <w:lang w:val="en-GB" w:eastAsia="en-GB"/>
        </w:rPr>
      </w:pPr>
      <w:hyperlink w:anchor="_Toc77322054" w:history="1">
        <w:r w:rsidR="007947BF" w:rsidRPr="000663E1">
          <w:rPr>
            <w:rStyle w:val="Hyperlink"/>
            <w:rFonts w:cstheme="minorHAnsi"/>
            <w:noProof/>
          </w:rPr>
          <w:t>APPENDIX 2: Survey Questionnaire</w:t>
        </w:r>
        <w:r w:rsidR="007947BF">
          <w:rPr>
            <w:noProof/>
            <w:webHidden/>
          </w:rPr>
          <w:tab/>
        </w:r>
        <w:r w:rsidR="007947BF">
          <w:rPr>
            <w:noProof/>
            <w:webHidden/>
          </w:rPr>
          <w:fldChar w:fldCharType="begin"/>
        </w:r>
        <w:r w:rsidR="007947BF">
          <w:rPr>
            <w:noProof/>
            <w:webHidden/>
          </w:rPr>
          <w:instrText xml:space="preserve"> PAGEREF _Toc77322054 \h </w:instrText>
        </w:r>
        <w:r w:rsidR="007947BF">
          <w:rPr>
            <w:noProof/>
            <w:webHidden/>
          </w:rPr>
        </w:r>
        <w:r w:rsidR="007947BF">
          <w:rPr>
            <w:noProof/>
            <w:webHidden/>
          </w:rPr>
          <w:fldChar w:fldCharType="separate"/>
        </w:r>
        <w:r w:rsidR="007947BF">
          <w:rPr>
            <w:noProof/>
            <w:webHidden/>
          </w:rPr>
          <w:t>80</w:t>
        </w:r>
        <w:r w:rsidR="007947BF">
          <w:rPr>
            <w:noProof/>
            <w:webHidden/>
          </w:rPr>
          <w:fldChar w:fldCharType="end"/>
        </w:r>
      </w:hyperlink>
    </w:p>
    <w:p w14:paraId="13EFAC3D" w14:textId="77777777" w:rsidR="007947BF" w:rsidRDefault="001E6D5A" w:rsidP="007947BF">
      <w:pPr>
        <w:pStyle w:val="TOC1"/>
        <w:tabs>
          <w:tab w:val="right" w:leader="dot" w:pos="9062"/>
        </w:tabs>
        <w:rPr>
          <w:rFonts w:eastAsiaTheme="minorEastAsia"/>
          <w:noProof/>
          <w:lang w:val="en-GB" w:eastAsia="en-GB"/>
        </w:rPr>
      </w:pPr>
      <w:hyperlink w:anchor="_Toc77322055" w:history="1">
        <w:r w:rsidR="007947BF" w:rsidRPr="000663E1">
          <w:rPr>
            <w:rStyle w:val="Hyperlink"/>
            <w:rFonts w:cstheme="minorHAnsi"/>
            <w:noProof/>
          </w:rPr>
          <w:t>APPENDIX 3: Detailed instructions for completing the survey</w:t>
        </w:r>
        <w:r w:rsidR="007947BF">
          <w:rPr>
            <w:noProof/>
            <w:webHidden/>
          </w:rPr>
          <w:tab/>
        </w:r>
        <w:r w:rsidR="007947BF">
          <w:rPr>
            <w:noProof/>
            <w:webHidden/>
          </w:rPr>
          <w:fldChar w:fldCharType="begin"/>
        </w:r>
        <w:r w:rsidR="007947BF">
          <w:rPr>
            <w:noProof/>
            <w:webHidden/>
          </w:rPr>
          <w:instrText xml:space="preserve"> PAGEREF _Toc77322055 \h </w:instrText>
        </w:r>
        <w:r w:rsidR="007947BF">
          <w:rPr>
            <w:noProof/>
            <w:webHidden/>
          </w:rPr>
        </w:r>
        <w:r w:rsidR="007947BF">
          <w:rPr>
            <w:noProof/>
            <w:webHidden/>
          </w:rPr>
          <w:fldChar w:fldCharType="separate"/>
        </w:r>
        <w:r w:rsidR="007947BF">
          <w:rPr>
            <w:noProof/>
            <w:webHidden/>
          </w:rPr>
          <w:t>84</w:t>
        </w:r>
        <w:r w:rsidR="007947BF">
          <w:rPr>
            <w:noProof/>
            <w:webHidden/>
          </w:rPr>
          <w:fldChar w:fldCharType="end"/>
        </w:r>
      </w:hyperlink>
    </w:p>
    <w:p w14:paraId="6CAF57C1" w14:textId="77777777" w:rsidR="007947BF" w:rsidRPr="008463F3" w:rsidRDefault="007947BF" w:rsidP="007947BF">
      <w:pPr>
        <w:spacing w:after="0"/>
        <w:rPr>
          <w:sz w:val="2"/>
          <w:lang w:val="en-GB"/>
        </w:rPr>
      </w:pPr>
      <w:r w:rsidRPr="008463F3">
        <w:rPr>
          <w:lang w:val="en-GB"/>
        </w:rPr>
        <w:fldChar w:fldCharType="end"/>
      </w:r>
    </w:p>
    <w:p w14:paraId="1DC67EC7" w14:textId="77777777" w:rsidR="007947BF" w:rsidRPr="008463F3" w:rsidRDefault="007947BF" w:rsidP="007947BF">
      <w:pPr>
        <w:rPr>
          <w:shd w:val="clear" w:color="auto" w:fill="FFFFFF"/>
          <w:lang w:val="en-GB"/>
        </w:rPr>
      </w:pPr>
      <w:bookmarkStart w:id="2" w:name="_Toc61096321"/>
    </w:p>
    <w:p w14:paraId="62FA4EEA" w14:textId="77777777" w:rsidR="007947BF" w:rsidRPr="008463F3" w:rsidRDefault="007947BF" w:rsidP="007947BF">
      <w:pPr>
        <w:rPr>
          <w:shd w:val="clear" w:color="auto" w:fill="FFFFFF"/>
          <w:lang w:val="en-GB"/>
        </w:rPr>
      </w:pPr>
    </w:p>
    <w:p w14:paraId="37B250CF" w14:textId="77777777" w:rsidR="007947BF" w:rsidRPr="008463F3" w:rsidRDefault="007947BF" w:rsidP="007947BF">
      <w:pPr>
        <w:rPr>
          <w:shd w:val="clear" w:color="auto" w:fill="FFFFFF"/>
          <w:lang w:val="en-GB"/>
        </w:rPr>
      </w:pPr>
    </w:p>
    <w:p w14:paraId="4ED2DAF5" w14:textId="77777777" w:rsidR="007947BF" w:rsidRPr="008463F3" w:rsidRDefault="007947BF" w:rsidP="007947BF">
      <w:pPr>
        <w:rPr>
          <w:shd w:val="clear" w:color="auto" w:fill="FFFFFF"/>
          <w:lang w:val="en-GB"/>
        </w:rPr>
      </w:pPr>
    </w:p>
    <w:p w14:paraId="0A26C6F8" w14:textId="77777777" w:rsidR="007947BF" w:rsidRPr="008463F3" w:rsidRDefault="007947BF" w:rsidP="007947BF">
      <w:pPr>
        <w:rPr>
          <w:shd w:val="clear" w:color="auto" w:fill="FFFFFF"/>
          <w:lang w:val="en-GB"/>
        </w:rPr>
      </w:pPr>
    </w:p>
    <w:p w14:paraId="0CABC308" w14:textId="77777777" w:rsidR="007947BF" w:rsidRPr="008463F3" w:rsidRDefault="007947BF" w:rsidP="007947BF">
      <w:pPr>
        <w:rPr>
          <w:shd w:val="clear" w:color="auto" w:fill="FFFFFF"/>
          <w:lang w:val="en-GB"/>
        </w:rPr>
      </w:pPr>
    </w:p>
    <w:p w14:paraId="3465C075" w14:textId="77777777" w:rsidR="007947BF" w:rsidRPr="008463F3" w:rsidRDefault="007947BF" w:rsidP="007947BF">
      <w:pPr>
        <w:rPr>
          <w:shd w:val="clear" w:color="auto" w:fill="FFFFFF"/>
          <w:lang w:val="en-GB"/>
        </w:rPr>
      </w:pPr>
    </w:p>
    <w:p w14:paraId="3E9504F9" w14:textId="77777777" w:rsidR="007947BF" w:rsidRPr="008463F3" w:rsidRDefault="007947BF" w:rsidP="007947BF">
      <w:pPr>
        <w:rPr>
          <w:shd w:val="clear" w:color="auto" w:fill="FFFFFF"/>
          <w:lang w:val="en-GB"/>
        </w:rPr>
      </w:pPr>
    </w:p>
    <w:p w14:paraId="75EC8E55" w14:textId="77777777" w:rsidR="007947BF" w:rsidRPr="008463F3" w:rsidRDefault="007947BF" w:rsidP="007947BF">
      <w:pPr>
        <w:rPr>
          <w:shd w:val="clear" w:color="auto" w:fill="FFFFFF"/>
          <w:lang w:val="en-GB"/>
        </w:rPr>
      </w:pPr>
    </w:p>
    <w:p w14:paraId="0F1D56D5" w14:textId="77777777" w:rsidR="007947BF" w:rsidRPr="008463F3" w:rsidRDefault="007947BF" w:rsidP="007947BF">
      <w:pPr>
        <w:rPr>
          <w:shd w:val="clear" w:color="auto" w:fill="FFFFFF"/>
          <w:lang w:val="en-GB"/>
        </w:rPr>
      </w:pPr>
    </w:p>
    <w:p w14:paraId="7398D7E8" w14:textId="77777777" w:rsidR="007947BF" w:rsidRPr="008463F3" w:rsidRDefault="007947BF" w:rsidP="007947BF">
      <w:pPr>
        <w:rPr>
          <w:shd w:val="clear" w:color="auto" w:fill="FFFFFF"/>
          <w:lang w:val="en-GB"/>
        </w:rPr>
      </w:pPr>
    </w:p>
    <w:p w14:paraId="499FD7C4" w14:textId="77777777" w:rsidR="007947BF" w:rsidRPr="008463F3" w:rsidRDefault="007947BF" w:rsidP="007947BF">
      <w:pPr>
        <w:rPr>
          <w:shd w:val="clear" w:color="auto" w:fill="FFFFFF"/>
          <w:lang w:val="en-GB"/>
        </w:rPr>
      </w:pPr>
    </w:p>
    <w:p w14:paraId="1425570B" w14:textId="77777777" w:rsidR="007947BF" w:rsidRPr="008463F3" w:rsidRDefault="007947BF" w:rsidP="007947BF">
      <w:pPr>
        <w:rPr>
          <w:shd w:val="clear" w:color="auto" w:fill="FFFFFF"/>
          <w:lang w:val="en-GB"/>
        </w:rPr>
      </w:pPr>
    </w:p>
    <w:p w14:paraId="7788F67E" w14:textId="77777777" w:rsidR="007947BF" w:rsidRPr="008463F3" w:rsidRDefault="007947BF" w:rsidP="007947BF">
      <w:pPr>
        <w:rPr>
          <w:shd w:val="clear" w:color="auto" w:fill="FFFFFF"/>
          <w:lang w:val="en-GB"/>
        </w:rPr>
      </w:pPr>
    </w:p>
    <w:p w14:paraId="5C653423" w14:textId="77777777" w:rsidR="007947BF" w:rsidRPr="008463F3" w:rsidRDefault="007947BF" w:rsidP="007947BF">
      <w:pPr>
        <w:rPr>
          <w:shd w:val="clear" w:color="auto" w:fill="FFFFFF"/>
          <w:lang w:val="en-GB"/>
        </w:rPr>
      </w:pPr>
    </w:p>
    <w:p w14:paraId="318E0000" w14:textId="77777777" w:rsidR="007947BF" w:rsidRPr="008463F3" w:rsidRDefault="007947BF" w:rsidP="007947BF">
      <w:pPr>
        <w:rPr>
          <w:shd w:val="clear" w:color="auto" w:fill="FFFFFF"/>
          <w:lang w:val="en-GB"/>
        </w:rPr>
      </w:pPr>
    </w:p>
    <w:p w14:paraId="2FA2DF4F" w14:textId="77777777" w:rsidR="007947BF" w:rsidRPr="008463F3" w:rsidRDefault="007947BF" w:rsidP="007947BF">
      <w:pPr>
        <w:rPr>
          <w:shd w:val="clear" w:color="auto" w:fill="FFFFFF"/>
          <w:lang w:val="en-GB"/>
        </w:rPr>
      </w:pPr>
    </w:p>
    <w:p w14:paraId="165DB557" w14:textId="77777777" w:rsidR="007947BF" w:rsidRPr="008463F3" w:rsidRDefault="007947BF" w:rsidP="007947BF">
      <w:pPr>
        <w:rPr>
          <w:shd w:val="clear" w:color="auto" w:fill="FFFFFF"/>
          <w:lang w:val="en-GB"/>
        </w:rPr>
      </w:pPr>
    </w:p>
    <w:p w14:paraId="240283B4" w14:textId="77777777" w:rsidR="007947BF" w:rsidRPr="008463F3" w:rsidRDefault="007947BF" w:rsidP="007947BF">
      <w:pPr>
        <w:rPr>
          <w:shd w:val="clear" w:color="auto" w:fill="FFFFFF"/>
          <w:lang w:val="en-GB"/>
        </w:rPr>
      </w:pPr>
    </w:p>
    <w:p w14:paraId="0F83539B" w14:textId="77777777" w:rsidR="007947BF" w:rsidRPr="008463F3" w:rsidRDefault="007947BF" w:rsidP="007947BF">
      <w:pPr>
        <w:rPr>
          <w:rFonts w:eastAsiaTheme="majorEastAsia" w:cstheme="majorBidi"/>
          <w:b/>
          <w:bCs/>
          <w:color w:val="365F91" w:themeColor="accent1" w:themeShade="BF"/>
          <w:sz w:val="28"/>
          <w:szCs w:val="28"/>
          <w:shd w:val="clear" w:color="auto" w:fill="FFFFFF"/>
          <w:lang w:val="en-GB"/>
        </w:rPr>
      </w:pPr>
      <w:r w:rsidRPr="008463F3">
        <w:rPr>
          <w:shd w:val="clear" w:color="auto" w:fill="FFFFFF"/>
          <w:lang w:val="en-GB"/>
        </w:rPr>
        <w:br w:type="page"/>
      </w:r>
    </w:p>
    <w:p w14:paraId="3C2B122A" w14:textId="77777777" w:rsidR="007947BF" w:rsidRPr="008463F3" w:rsidRDefault="007947BF" w:rsidP="007947BF">
      <w:pPr>
        <w:pStyle w:val="Heading1"/>
        <w:spacing w:after="240"/>
        <w:rPr>
          <w:rFonts w:asciiTheme="minorHAnsi" w:hAnsiTheme="minorHAnsi"/>
          <w:shd w:val="clear" w:color="auto" w:fill="FFFFFF"/>
        </w:rPr>
      </w:pPr>
      <w:bookmarkStart w:id="3" w:name="_Toc77322018"/>
      <w:r w:rsidRPr="008463F3">
        <w:rPr>
          <w:rFonts w:asciiTheme="minorHAnsi" w:hAnsiTheme="minorHAnsi"/>
          <w:shd w:val="clear" w:color="auto" w:fill="FFFFFF"/>
        </w:rPr>
        <w:t>Abbreviations</w:t>
      </w:r>
      <w:bookmarkEnd w:id="3"/>
    </w:p>
    <w:p w14:paraId="5B649937" w14:textId="77777777" w:rsidR="007947BF" w:rsidRPr="008463F3" w:rsidRDefault="007947BF" w:rsidP="007947BF">
      <w:pPr>
        <w:spacing w:after="0"/>
        <w:rPr>
          <w:shd w:val="clear" w:color="auto" w:fill="FFFFFF"/>
          <w:lang w:val="en-GB"/>
        </w:rPr>
      </w:pPr>
      <w:r w:rsidRPr="008463F3">
        <w:rPr>
          <w:shd w:val="clear" w:color="auto" w:fill="FFFFFF"/>
          <w:lang w:val="en-GB"/>
        </w:rPr>
        <w:t>CESAER – Conference of European Schools for Advanced Engineering Education and Research</w:t>
      </w:r>
    </w:p>
    <w:p w14:paraId="3D56C984" w14:textId="77777777" w:rsidR="007947BF" w:rsidRPr="008463F3" w:rsidRDefault="007947BF" w:rsidP="007947BF">
      <w:pPr>
        <w:spacing w:after="0"/>
        <w:rPr>
          <w:shd w:val="clear" w:color="auto" w:fill="FFFFFF"/>
          <w:lang w:val="en-GB"/>
        </w:rPr>
      </w:pPr>
      <w:r w:rsidRPr="008463F3">
        <w:rPr>
          <w:shd w:val="clear" w:color="auto" w:fill="FFFFFF"/>
          <w:lang w:val="en-GB"/>
        </w:rPr>
        <w:t>CESSDA – Consortium of European Social Science Data Archives</w:t>
      </w:r>
    </w:p>
    <w:p w14:paraId="457DB46E" w14:textId="77777777" w:rsidR="007947BF" w:rsidRPr="008463F3" w:rsidRDefault="007947BF" w:rsidP="007947BF">
      <w:pPr>
        <w:spacing w:after="0"/>
        <w:rPr>
          <w:shd w:val="clear" w:color="auto" w:fill="FFFFFF"/>
          <w:lang w:val="en-GB"/>
        </w:rPr>
      </w:pPr>
      <w:r w:rsidRPr="008463F3">
        <w:rPr>
          <w:shd w:val="clear" w:color="auto" w:fill="FFFFFF"/>
          <w:lang w:val="en-GB"/>
        </w:rPr>
        <w:t>CSIC – The Spanish National Research Council</w:t>
      </w:r>
    </w:p>
    <w:p w14:paraId="027FB3E2" w14:textId="77777777" w:rsidR="007947BF" w:rsidRPr="008463F3" w:rsidRDefault="007947BF" w:rsidP="007947BF">
      <w:pPr>
        <w:spacing w:after="0"/>
        <w:rPr>
          <w:shd w:val="clear" w:color="auto" w:fill="FFFFFF"/>
          <w:lang w:val="en-GB"/>
        </w:rPr>
      </w:pPr>
      <w:r w:rsidRPr="008463F3">
        <w:rPr>
          <w:shd w:val="clear" w:color="auto" w:fill="FFFFFF"/>
          <w:lang w:val="en-GB"/>
        </w:rPr>
        <w:t>E-CRIS – Current Research Information Systems</w:t>
      </w:r>
    </w:p>
    <w:p w14:paraId="7824A95C" w14:textId="77777777" w:rsidR="007947BF" w:rsidRPr="008463F3" w:rsidRDefault="007947BF" w:rsidP="007947BF">
      <w:pPr>
        <w:spacing w:after="0"/>
        <w:rPr>
          <w:shd w:val="clear" w:color="auto" w:fill="FFFFFF"/>
          <w:lang w:val="en-GB"/>
        </w:rPr>
      </w:pPr>
      <w:r w:rsidRPr="008463F3">
        <w:rPr>
          <w:shd w:val="clear" w:color="auto" w:fill="FFFFFF"/>
          <w:lang w:val="en-GB"/>
        </w:rPr>
        <w:t>EOSC Association – European Open Science Cloud</w:t>
      </w:r>
    </w:p>
    <w:p w14:paraId="31821A79" w14:textId="77777777" w:rsidR="007947BF" w:rsidRPr="008463F3" w:rsidRDefault="007947BF" w:rsidP="007947BF">
      <w:pPr>
        <w:spacing w:after="0"/>
        <w:rPr>
          <w:shd w:val="clear" w:color="auto" w:fill="FFFFFF"/>
          <w:lang w:val="en-GB"/>
        </w:rPr>
      </w:pPr>
      <w:r w:rsidRPr="008463F3">
        <w:rPr>
          <w:shd w:val="clear" w:color="auto" w:fill="FFFFFF"/>
          <w:lang w:val="en-GB"/>
        </w:rPr>
        <w:t>ERA – European Research Area</w:t>
      </w:r>
    </w:p>
    <w:p w14:paraId="673E5BA9" w14:textId="77777777" w:rsidR="007947BF" w:rsidRPr="008463F3" w:rsidRDefault="007947BF" w:rsidP="007947BF">
      <w:pPr>
        <w:spacing w:after="0"/>
        <w:rPr>
          <w:shd w:val="clear" w:color="auto" w:fill="FFFFFF"/>
          <w:lang w:val="en-GB"/>
        </w:rPr>
      </w:pPr>
      <w:r w:rsidRPr="008463F3">
        <w:rPr>
          <w:shd w:val="clear" w:color="auto" w:fill="FFFFFF"/>
          <w:lang w:val="en-GB"/>
        </w:rPr>
        <w:t xml:space="preserve">ERIC – European Research Infrastructure Consortium </w:t>
      </w:r>
    </w:p>
    <w:p w14:paraId="5E4F5C14" w14:textId="77777777" w:rsidR="007947BF" w:rsidRPr="008463F3" w:rsidRDefault="007947BF" w:rsidP="007947BF">
      <w:pPr>
        <w:spacing w:after="0"/>
        <w:rPr>
          <w:shd w:val="clear" w:color="auto" w:fill="FFFFFF"/>
          <w:lang w:val="en-GB"/>
        </w:rPr>
      </w:pPr>
      <w:r w:rsidRPr="008463F3">
        <w:rPr>
          <w:shd w:val="clear" w:color="auto" w:fill="FFFFFF"/>
          <w:lang w:val="en-GB"/>
        </w:rPr>
        <w:t>ESFRI – European Strategy Forum on Research Infrastructures</w:t>
      </w:r>
    </w:p>
    <w:p w14:paraId="258C4482" w14:textId="77777777" w:rsidR="007947BF" w:rsidRPr="008463F3" w:rsidRDefault="007947BF" w:rsidP="007947BF">
      <w:pPr>
        <w:spacing w:after="0"/>
        <w:rPr>
          <w:shd w:val="clear" w:color="auto" w:fill="FFFFFF"/>
          <w:lang w:val="en-GB"/>
        </w:rPr>
      </w:pPr>
      <w:r w:rsidRPr="008463F3">
        <w:rPr>
          <w:shd w:val="clear" w:color="auto" w:fill="FFFFFF"/>
          <w:lang w:val="en-GB"/>
        </w:rPr>
        <w:t xml:space="preserve">ESS – European social survey </w:t>
      </w:r>
    </w:p>
    <w:p w14:paraId="112CEF85" w14:textId="77777777" w:rsidR="007947BF" w:rsidRPr="008463F3" w:rsidRDefault="007947BF" w:rsidP="007947BF">
      <w:pPr>
        <w:spacing w:after="0"/>
        <w:rPr>
          <w:shd w:val="clear" w:color="auto" w:fill="FFFFFF"/>
          <w:lang w:val="en-GB"/>
        </w:rPr>
      </w:pPr>
      <w:proofErr w:type="spellStart"/>
      <w:r w:rsidRPr="008463F3">
        <w:rPr>
          <w:shd w:val="clear" w:color="auto" w:fill="FFFFFF"/>
          <w:lang w:val="en-GB"/>
        </w:rPr>
        <w:t>EuroHPC</w:t>
      </w:r>
      <w:proofErr w:type="spellEnd"/>
      <w:r w:rsidRPr="008463F3">
        <w:rPr>
          <w:shd w:val="clear" w:color="auto" w:fill="FFFFFF"/>
          <w:lang w:val="en-GB"/>
        </w:rPr>
        <w:t xml:space="preserve"> JU – European High Performance Computing Joint Undertaking</w:t>
      </w:r>
    </w:p>
    <w:p w14:paraId="03ED6EF4" w14:textId="77777777" w:rsidR="007947BF" w:rsidRPr="008463F3" w:rsidRDefault="007947BF" w:rsidP="007947BF">
      <w:pPr>
        <w:spacing w:after="0"/>
        <w:rPr>
          <w:shd w:val="clear" w:color="auto" w:fill="FFFFFF"/>
          <w:lang w:val="en-GB"/>
        </w:rPr>
      </w:pPr>
      <w:r w:rsidRPr="008463F3">
        <w:rPr>
          <w:shd w:val="clear" w:color="auto" w:fill="FFFFFF"/>
          <w:lang w:val="en-GB"/>
        </w:rPr>
        <w:t xml:space="preserve">FASF – Faculty of Agricultural Sciences and Food </w:t>
      </w:r>
    </w:p>
    <w:p w14:paraId="46C62B81" w14:textId="77777777" w:rsidR="007947BF" w:rsidRPr="008463F3" w:rsidRDefault="007947BF" w:rsidP="007947BF">
      <w:pPr>
        <w:spacing w:after="0"/>
        <w:rPr>
          <w:shd w:val="clear" w:color="auto" w:fill="FFFFFF"/>
          <w:lang w:val="en-GB"/>
        </w:rPr>
      </w:pPr>
      <w:r w:rsidRPr="008463F3">
        <w:rPr>
          <w:shd w:val="clear" w:color="auto" w:fill="FFFFFF"/>
          <w:lang w:val="en-GB"/>
        </w:rPr>
        <w:t>FCSE – Faculty of Computer Science and Engineering</w:t>
      </w:r>
    </w:p>
    <w:p w14:paraId="3B7FDBCA" w14:textId="77777777" w:rsidR="007947BF" w:rsidRPr="008463F3" w:rsidRDefault="007947BF" w:rsidP="007947BF">
      <w:pPr>
        <w:spacing w:after="0"/>
        <w:rPr>
          <w:shd w:val="clear" w:color="auto" w:fill="FFFFFF"/>
          <w:lang w:val="en-GB"/>
        </w:rPr>
      </w:pPr>
      <w:r w:rsidRPr="008463F3">
        <w:rPr>
          <w:shd w:val="clear" w:color="auto" w:fill="FFFFFF"/>
          <w:lang w:val="en-GB"/>
        </w:rPr>
        <w:t>FEEIT– Faculty of Electrical Engineering and Information Technologies</w:t>
      </w:r>
    </w:p>
    <w:p w14:paraId="331FABC0" w14:textId="77777777" w:rsidR="007947BF" w:rsidRPr="008463F3" w:rsidRDefault="007947BF" w:rsidP="007947BF">
      <w:pPr>
        <w:spacing w:after="0"/>
        <w:rPr>
          <w:shd w:val="clear" w:color="auto" w:fill="FFFFFF"/>
          <w:lang w:val="en-GB"/>
        </w:rPr>
      </w:pPr>
      <w:r w:rsidRPr="008463F3">
        <w:rPr>
          <w:shd w:val="clear" w:color="auto" w:fill="FFFFFF"/>
          <w:lang w:val="en-GB"/>
        </w:rPr>
        <w:t xml:space="preserve">FP7 – Seventh Framework Programme </w:t>
      </w:r>
    </w:p>
    <w:p w14:paraId="610CB6A5" w14:textId="77777777" w:rsidR="007947BF" w:rsidRPr="008463F3" w:rsidRDefault="007947BF" w:rsidP="007947BF">
      <w:pPr>
        <w:spacing w:after="0"/>
        <w:rPr>
          <w:shd w:val="clear" w:color="auto" w:fill="FFFFFF"/>
          <w:lang w:val="en-GB"/>
        </w:rPr>
      </w:pPr>
      <w:r w:rsidRPr="008463F3">
        <w:rPr>
          <w:shd w:val="clear" w:color="auto" w:fill="FFFFFF"/>
          <w:lang w:val="en-GB"/>
        </w:rPr>
        <w:t>GARR – Italian National Computer Network for Universities and Research</w:t>
      </w:r>
    </w:p>
    <w:p w14:paraId="3FC7C63C" w14:textId="77777777" w:rsidR="007947BF" w:rsidRPr="008463F3" w:rsidRDefault="007947BF" w:rsidP="007947BF">
      <w:pPr>
        <w:spacing w:after="0"/>
        <w:rPr>
          <w:shd w:val="clear" w:color="auto" w:fill="FFFFFF"/>
          <w:lang w:val="en-GB"/>
        </w:rPr>
      </w:pPr>
      <w:r w:rsidRPr="008463F3">
        <w:rPr>
          <w:shd w:val="clear" w:color="auto" w:fill="FFFFFF"/>
          <w:lang w:val="en-GB"/>
        </w:rPr>
        <w:t>GDP – Gross Domestic Product</w:t>
      </w:r>
    </w:p>
    <w:p w14:paraId="6E0CD405" w14:textId="77777777" w:rsidR="007947BF" w:rsidRPr="008463F3" w:rsidRDefault="007947BF" w:rsidP="007947BF">
      <w:pPr>
        <w:spacing w:after="0"/>
        <w:rPr>
          <w:shd w:val="clear" w:color="auto" w:fill="FFFFFF"/>
          <w:lang w:val="en-GB"/>
        </w:rPr>
      </w:pPr>
      <w:r w:rsidRPr="008463F3">
        <w:rPr>
          <w:shd w:val="clear" w:color="auto" w:fill="FFFFFF"/>
          <w:lang w:val="en-GB"/>
        </w:rPr>
        <w:t xml:space="preserve">GERD – Gross Domestic Expenditures on Research and Development </w:t>
      </w:r>
    </w:p>
    <w:p w14:paraId="7D2EB70D" w14:textId="77777777" w:rsidR="007947BF" w:rsidRPr="008463F3" w:rsidRDefault="007947BF" w:rsidP="007947BF">
      <w:pPr>
        <w:spacing w:after="0"/>
        <w:rPr>
          <w:shd w:val="clear" w:color="auto" w:fill="FFFFFF"/>
          <w:lang w:val="en-GB"/>
        </w:rPr>
      </w:pPr>
      <w:r w:rsidRPr="008463F3">
        <w:rPr>
          <w:shd w:val="clear" w:color="auto" w:fill="FFFFFF"/>
          <w:lang w:val="en-GB"/>
        </w:rPr>
        <w:t>H2020 – Horizon 2020</w:t>
      </w:r>
    </w:p>
    <w:p w14:paraId="04317C04" w14:textId="77777777" w:rsidR="007947BF" w:rsidRPr="008463F3" w:rsidRDefault="007947BF" w:rsidP="007947BF">
      <w:pPr>
        <w:spacing w:after="0"/>
        <w:rPr>
          <w:shd w:val="clear" w:color="auto" w:fill="FFFFFF"/>
          <w:lang w:val="en-GB"/>
        </w:rPr>
      </w:pPr>
      <w:r w:rsidRPr="008463F3">
        <w:rPr>
          <w:shd w:val="clear" w:color="auto" w:fill="FFFFFF"/>
          <w:lang w:val="en-GB"/>
        </w:rPr>
        <w:t>HPC – High Performance Computing</w:t>
      </w:r>
    </w:p>
    <w:p w14:paraId="796F5687" w14:textId="77777777" w:rsidR="007947BF" w:rsidRPr="008463F3" w:rsidRDefault="007947BF" w:rsidP="007947BF">
      <w:pPr>
        <w:spacing w:after="0"/>
        <w:rPr>
          <w:shd w:val="clear" w:color="auto" w:fill="FFFFFF"/>
          <w:lang w:val="en-GB"/>
        </w:rPr>
      </w:pPr>
      <w:r w:rsidRPr="008463F3">
        <w:rPr>
          <w:shd w:val="clear" w:color="auto" w:fill="FFFFFF"/>
          <w:lang w:val="en-GB"/>
        </w:rPr>
        <w:t>HPDA – High Performance Data Analytics</w:t>
      </w:r>
    </w:p>
    <w:p w14:paraId="3F577846" w14:textId="77777777" w:rsidR="007947BF" w:rsidRPr="008463F3" w:rsidRDefault="007947BF" w:rsidP="007947BF">
      <w:pPr>
        <w:spacing w:after="0"/>
        <w:rPr>
          <w:shd w:val="clear" w:color="auto" w:fill="FFFFFF"/>
          <w:lang w:val="en-GB"/>
        </w:rPr>
      </w:pPr>
      <w:r w:rsidRPr="008463F3">
        <w:rPr>
          <w:shd w:val="clear" w:color="auto" w:fill="FFFFFF"/>
          <w:lang w:val="en-GB"/>
        </w:rPr>
        <w:t xml:space="preserve">INCF – International </w:t>
      </w:r>
      <w:proofErr w:type="spellStart"/>
      <w:r w:rsidRPr="008463F3">
        <w:rPr>
          <w:shd w:val="clear" w:color="auto" w:fill="FFFFFF"/>
          <w:lang w:val="en-GB"/>
        </w:rPr>
        <w:t>Neuroinformatics</w:t>
      </w:r>
      <w:proofErr w:type="spellEnd"/>
      <w:r w:rsidRPr="008463F3">
        <w:rPr>
          <w:shd w:val="clear" w:color="auto" w:fill="FFFFFF"/>
          <w:lang w:val="en-GB"/>
        </w:rPr>
        <w:t xml:space="preserve"> Coordinating Facility </w:t>
      </w:r>
    </w:p>
    <w:p w14:paraId="19ADD964" w14:textId="77777777" w:rsidR="007947BF" w:rsidRPr="008463F3" w:rsidRDefault="007947BF" w:rsidP="007947BF">
      <w:pPr>
        <w:spacing w:after="0"/>
        <w:rPr>
          <w:shd w:val="clear" w:color="auto" w:fill="FFFFFF"/>
          <w:lang w:val="en-GB"/>
        </w:rPr>
      </w:pPr>
      <w:r w:rsidRPr="008463F3">
        <w:rPr>
          <w:shd w:val="clear" w:color="auto" w:fill="FFFFFF"/>
          <w:lang w:val="en-GB"/>
        </w:rPr>
        <w:t>IZUM – Institute of Information Science in Maribor</w:t>
      </w:r>
    </w:p>
    <w:p w14:paraId="3D79A180" w14:textId="77777777" w:rsidR="007947BF" w:rsidRPr="008463F3" w:rsidRDefault="007947BF" w:rsidP="007947BF">
      <w:pPr>
        <w:spacing w:after="0"/>
        <w:rPr>
          <w:shd w:val="clear" w:color="auto" w:fill="FFFFFF"/>
          <w:lang w:val="en-GB"/>
        </w:rPr>
      </w:pPr>
      <w:r w:rsidRPr="008463F3">
        <w:rPr>
          <w:shd w:val="clear" w:color="auto" w:fill="FFFFFF"/>
          <w:lang w:val="en-GB"/>
        </w:rPr>
        <w:t>JRC – Joint Research Centr</w:t>
      </w:r>
      <w:r>
        <w:rPr>
          <w:shd w:val="clear" w:color="auto" w:fill="FFFFFF"/>
          <w:lang w:val="en-GB"/>
        </w:rPr>
        <w:t>e</w:t>
      </w:r>
      <w:r w:rsidRPr="008463F3">
        <w:rPr>
          <w:shd w:val="clear" w:color="auto" w:fill="FFFFFF"/>
          <w:lang w:val="en-GB"/>
        </w:rPr>
        <w:t xml:space="preserve"> </w:t>
      </w:r>
    </w:p>
    <w:p w14:paraId="7E3592F9" w14:textId="77777777" w:rsidR="007947BF" w:rsidRDefault="007947BF" w:rsidP="007947BF">
      <w:pPr>
        <w:spacing w:after="0"/>
        <w:rPr>
          <w:shd w:val="clear" w:color="auto" w:fill="FFFFFF"/>
          <w:lang w:val="en-GB"/>
        </w:rPr>
      </w:pPr>
      <w:proofErr w:type="spellStart"/>
      <w:r w:rsidRPr="008463F3">
        <w:rPr>
          <w:shd w:val="clear" w:color="auto" w:fill="FFFFFF"/>
          <w:lang w:val="en-GB"/>
        </w:rPr>
        <w:t>MARNet</w:t>
      </w:r>
      <w:proofErr w:type="spellEnd"/>
      <w:r w:rsidRPr="008463F3">
        <w:rPr>
          <w:shd w:val="clear" w:color="auto" w:fill="FFFFFF"/>
          <w:lang w:val="en-GB"/>
        </w:rPr>
        <w:t xml:space="preserve"> – Macedonian Research and Academic Network</w:t>
      </w:r>
    </w:p>
    <w:p w14:paraId="685454BD" w14:textId="77777777" w:rsidR="007947BF" w:rsidRPr="008463F3" w:rsidRDefault="007947BF" w:rsidP="007947BF">
      <w:pPr>
        <w:spacing w:after="0"/>
        <w:rPr>
          <w:shd w:val="clear" w:color="auto" w:fill="FFFFFF"/>
          <w:lang w:val="en-GB"/>
        </w:rPr>
      </w:pPr>
      <w:r w:rsidRPr="00B045BB">
        <w:rPr>
          <w:shd w:val="clear" w:color="auto" w:fill="FFFFFF"/>
          <w:lang w:val="en-GB"/>
        </w:rPr>
        <w:t xml:space="preserve">MASA </w:t>
      </w:r>
      <w:r>
        <w:rPr>
          <w:shd w:val="clear" w:color="auto" w:fill="FFFFFF"/>
          <w:lang w:val="en-GB"/>
        </w:rPr>
        <w:t xml:space="preserve">- </w:t>
      </w:r>
      <w:r w:rsidRPr="00B045BB">
        <w:rPr>
          <w:shd w:val="clear" w:color="auto" w:fill="FFFFFF"/>
          <w:lang w:val="en-GB"/>
        </w:rPr>
        <w:t>Macedonia</w:t>
      </w:r>
      <w:r>
        <w:rPr>
          <w:shd w:val="clear" w:color="auto" w:fill="FFFFFF"/>
          <w:lang w:val="en-GB"/>
        </w:rPr>
        <w:t xml:space="preserve">n Academy of Sciences and Arts </w:t>
      </w:r>
    </w:p>
    <w:p w14:paraId="0643C149" w14:textId="77777777" w:rsidR="007947BF" w:rsidRPr="008463F3" w:rsidRDefault="007947BF" w:rsidP="007947BF">
      <w:pPr>
        <w:spacing w:after="0"/>
        <w:rPr>
          <w:shd w:val="clear" w:color="auto" w:fill="FFFFFF"/>
          <w:lang w:val="en-GB"/>
        </w:rPr>
      </w:pPr>
      <w:r w:rsidRPr="008463F3">
        <w:rPr>
          <w:shd w:val="clear" w:color="auto" w:fill="FFFFFF"/>
          <w:lang w:val="en-GB"/>
        </w:rPr>
        <w:t xml:space="preserve">MVDSI – Max van der </w:t>
      </w:r>
      <w:proofErr w:type="spellStart"/>
      <w:r w:rsidRPr="008463F3">
        <w:rPr>
          <w:shd w:val="clear" w:color="auto" w:fill="FFFFFF"/>
          <w:lang w:val="en-GB"/>
        </w:rPr>
        <w:t>Stoel</w:t>
      </w:r>
      <w:proofErr w:type="spellEnd"/>
      <w:r w:rsidRPr="008463F3">
        <w:rPr>
          <w:shd w:val="clear" w:color="auto" w:fill="FFFFFF"/>
          <w:lang w:val="en-GB"/>
        </w:rPr>
        <w:t xml:space="preserve"> Institute </w:t>
      </w:r>
    </w:p>
    <w:p w14:paraId="705AD333" w14:textId="77777777" w:rsidR="007947BF" w:rsidRPr="008463F3" w:rsidRDefault="007947BF" w:rsidP="007947BF">
      <w:pPr>
        <w:spacing w:after="0"/>
        <w:rPr>
          <w:shd w:val="clear" w:color="auto" w:fill="FFFFFF"/>
          <w:lang w:val="en-GB"/>
        </w:rPr>
      </w:pPr>
      <w:r w:rsidRPr="008463F3">
        <w:rPr>
          <w:shd w:val="clear" w:color="auto" w:fill="FFFFFF"/>
          <w:lang w:val="en-GB"/>
        </w:rPr>
        <w:t>NOSCI – National Open Science Cloud Initiative</w:t>
      </w:r>
    </w:p>
    <w:p w14:paraId="676548E1" w14:textId="77777777" w:rsidR="007947BF" w:rsidRPr="008463F3" w:rsidRDefault="007947BF" w:rsidP="007947BF">
      <w:pPr>
        <w:spacing w:after="0"/>
        <w:rPr>
          <w:shd w:val="clear" w:color="auto" w:fill="FFFFFF"/>
          <w:lang w:val="en-GB"/>
        </w:rPr>
      </w:pPr>
      <w:r w:rsidRPr="008463F3">
        <w:rPr>
          <w:shd w:val="clear" w:color="auto" w:fill="FFFFFF"/>
          <w:lang w:val="en-GB"/>
        </w:rPr>
        <w:t>NRENs – National Research and Education Networks</w:t>
      </w:r>
    </w:p>
    <w:p w14:paraId="33A9DB99" w14:textId="77777777" w:rsidR="007947BF" w:rsidRPr="008463F3" w:rsidRDefault="007947BF" w:rsidP="007947BF">
      <w:pPr>
        <w:spacing w:after="0"/>
        <w:rPr>
          <w:shd w:val="clear" w:color="auto" w:fill="FFFFFF"/>
          <w:lang w:val="en-GB"/>
        </w:rPr>
      </w:pPr>
      <w:r w:rsidRPr="008463F3">
        <w:rPr>
          <w:shd w:val="clear" w:color="auto" w:fill="FFFFFF"/>
          <w:lang w:val="en-GB"/>
        </w:rPr>
        <w:t>R&amp;D – Research and Development</w:t>
      </w:r>
    </w:p>
    <w:p w14:paraId="165A39BA" w14:textId="77777777" w:rsidR="007947BF" w:rsidRPr="008463F3" w:rsidRDefault="007947BF" w:rsidP="007947BF">
      <w:pPr>
        <w:spacing w:after="0"/>
        <w:rPr>
          <w:shd w:val="clear" w:color="auto" w:fill="FFFFFF"/>
          <w:lang w:val="en-GB"/>
        </w:rPr>
      </w:pPr>
      <w:r w:rsidRPr="008463F3">
        <w:rPr>
          <w:shd w:val="clear" w:color="auto" w:fill="FFFFFF"/>
          <w:lang w:val="en-GB"/>
        </w:rPr>
        <w:t xml:space="preserve">RCC– Regional Cooperation Council </w:t>
      </w:r>
    </w:p>
    <w:p w14:paraId="1E655071" w14:textId="77777777" w:rsidR="007947BF" w:rsidRPr="008463F3" w:rsidRDefault="007947BF" w:rsidP="007947BF">
      <w:pPr>
        <w:spacing w:after="0"/>
        <w:rPr>
          <w:shd w:val="clear" w:color="auto" w:fill="FFFFFF"/>
          <w:lang w:val="en-GB"/>
        </w:rPr>
      </w:pPr>
      <w:r w:rsidRPr="008463F3">
        <w:rPr>
          <w:shd w:val="clear" w:color="auto" w:fill="FFFFFF"/>
          <w:lang w:val="en-GB"/>
        </w:rPr>
        <w:t>RI – Research Infrastructure</w:t>
      </w:r>
    </w:p>
    <w:p w14:paraId="2FCBB78C" w14:textId="77777777" w:rsidR="007947BF" w:rsidRPr="008463F3" w:rsidRDefault="007947BF" w:rsidP="007947BF">
      <w:pPr>
        <w:spacing w:after="0"/>
        <w:rPr>
          <w:shd w:val="clear" w:color="auto" w:fill="FFFFFF"/>
          <w:lang w:val="en-GB"/>
        </w:rPr>
      </w:pPr>
      <w:r w:rsidRPr="008463F3">
        <w:rPr>
          <w:shd w:val="clear" w:color="auto" w:fill="FFFFFF"/>
          <w:lang w:val="en-GB"/>
        </w:rPr>
        <w:t>R&amp;I – Research and Innovation</w:t>
      </w:r>
    </w:p>
    <w:p w14:paraId="354D4E0D" w14:textId="77777777" w:rsidR="007947BF" w:rsidRPr="008463F3" w:rsidRDefault="007947BF" w:rsidP="007947BF">
      <w:pPr>
        <w:spacing w:after="0"/>
        <w:rPr>
          <w:shd w:val="clear" w:color="auto" w:fill="FFFFFF"/>
          <w:lang w:val="en-GB"/>
        </w:rPr>
      </w:pPr>
      <w:r w:rsidRPr="008463F3">
        <w:rPr>
          <w:shd w:val="clear" w:color="auto" w:fill="FFFFFF"/>
          <w:lang w:val="en-GB"/>
        </w:rPr>
        <w:t>S3 – Smart Specialisation Strategy</w:t>
      </w:r>
    </w:p>
    <w:p w14:paraId="71B81A8B" w14:textId="77777777" w:rsidR="007947BF" w:rsidRPr="008463F3" w:rsidRDefault="007947BF" w:rsidP="007947BF">
      <w:pPr>
        <w:spacing w:after="0"/>
        <w:rPr>
          <w:shd w:val="clear" w:color="auto" w:fill="FFFFFF"/>
          <w:lang w:val="en-GB"/>
        </w:rPr>
      </w:pPr>
      <w:r w:rsidRPr="008463F3">
        <w:rPr>
          <w:shd w:val="clear" w:color="auto" w:fill="FFFFFF"/>
          <w:lang w:val="en-GB"/>
        </w:rPr>
        <w:t>SEE – South East Europe</w:t>
      </w:r>
    </w:p>
    <w:p w14:paraId="3EDF2DD3" w14:textId="77777777" w:rsidR="007947BF" w:rsidRPr="008463F3" w:rsidRDefault="007947BF" w:rsidP="007947BF">
      <w:pPr>
        <w:spacing w:after="0"/>
        <w:rPr>
          <w:shd w:val="clear" w:color="auto" w:fill="FFFFFF"/>
          <w:lang w:val="en-GB"/>
        </w:rPr>
      </w:pPr>
      <w:r w:rsidRPr="008463F3">
        <w:rPr>
          <w:shd w:val="clear" w:color="auto" w:fill="FFFFFF"/>
          <w:lang w:val="en-GB"/>
        </w:rPr>
        <w:t>SEEM – Southeast Europe and the Eastern Mediterranean</w:t>
      </w:r>
    </w:p>
    <w:p w14:paraId="12EDBDB7" w14:textId="77777777" w:rsidR="007947BF" w:rsidRPr="008463F3" w:rsidRDefault="007947BF" w:rsidP="007947BF">
      <w:pPr>
        <w:spacing w:after="0"/>
        <w:rPr>
          <w:shd w:val="clear" w:color="auto" w:fill="FFFFFF"/>
          <w:lang w:val="en-GB"/>
        </w:rPr>
      </w:pPr>
      <w:r w:rsidRPr="008463F3">
        <w:rPr>
          <w:shd w:val="clear" w:color="auto" w:fill="FFFFFF"/>
          <w:lang w:val="en-GB"/>
        </w:rPr>
        <w:t>VRE – Virtual Research Environment</w:t>
      </w:r>
    </w:p>
    <w:p w14:paraId="4593C296" w14:textId="77777777" w:rsidR="007947BF" w:rsidRPr="008463F3" w:rsidRDefault="007947BF" w:rsidP="007947BF">
      <w:pPr>
        <w:rPr>
          <w:shd w:val="clear" w:color="auto" w:fill="FFFFFF"/>
          <w:lang w:val="en-GB"/>
        </w:rPr>
      </w:pPr>
      <w:r w:rsidRPr="008463F3">
        <w:rPr>
          <w:shd w:val="clear" w:color="auto" w:fill="FFFFFF"/>
          <w:lang w:val="en-GB"/>
        </w:rPr>
        <w:br w:type="page"/>
      </w:r>
    </w:p>
    <w:p w14:paraId="509CDBAB" w14:textId="77777777" w:rsidR="007947BF" w:rsidRPr="008463F3" w:rsidRDefault="007947BF" w:rsidP="007947BF">
      <w:pPr>
        <w:pStyle w:val="Heading1"/>
        <w:spacing w:after="240"/>
        <w:rPr>
          <w:shd w:val="clear" w:color="auto" w:fill="FFFFFF"/>
        </w:rPr>
      </w:pPr>
      <w:bookmarkStart w:id="4" w:name="_Toc70583638"/>
      <w:bookmarkStart w:id="5" w:name="_Toc77322019"/>
      <w:r w:rsidRPr="008463F3">
        <w:rPr>
          <w:shd w:val="clear" w:color="auto" w:fill="FFFFFF"/>
        </w:rPr>
        <w:t>EXECUTIVE SUMMARY</w:t>
      </w:r>
      <w:bookmarkEnd w:id="4"/>
      <w:bookmarkEnd w:id="5"/>
    </w:p>
    <w:p w14:paraId="2CA40D88" w14:textId="4B6B4598" w:rsidR="007947BF" w:rsidRPr="008463F3" w:rsidRDefault="007947BF" w:rsidP="007947BF">
      <w:pPr>
        <w:jc w:val="both"/>
        <w:rPr>
          <w:lang w:val="en-GB"/>
        </w:rPr>
      </w:pPr>
      <w:r w:rsidRPr="008463F3">
        <w:rPr>
          <w:lang w:val="en-GB"/>
        </w:rPr>
        <w:t xml:space="preserve">Research Infrastructure Roadmap of </w:t>
      </w:r>
      <w:r w:rsidR="00603422">
        <w:rPr>
          <w:lang w:val="en-GB"/>
        </w:rPr>
        <w:t xml:space="preserve">Republic of </w:t>
      </w:r>
      <w:r w:rsidRPr="008463F3">
        <w:rPr>
          <w:lang w:val="en-GB"/>
        </w:rPr>
        <w:t>North Macedonia presents the existing research potential of North Macedonia with the aim to set principles for the future development of research infrastructures and to propose recommendations aimed at strengthening research sector and societal development as a whole. Considering the small number of internationally relevant large research infrastructures that the North Macedonia is member of, research infrastructure in this document refers to research facilities and equipment within the scope of research institutions (universities and research institutes) whose purpose is to provide basic conditions for research activities.</w:t>
      </w:r>
    </w:p>
    <w:p w14:paraId="2CA7EF27" w14:textId="77777777" w:rsidR="007947BF" w:rsidRPr="008463F3" w:rsidRDefault="007947BF" w:rsidP="007947BF">
      <w:pPr>
        <w:jc w:val="both"/>
        <w:rPr>
          <w:lang w:val="en-GB"/>
        </w:rPr>
      </w:pPr>
      <w:r w:rsidRPr="008463F3">
        <w:rPr>
          <w:lang w:val="en-GB"/>
        </w:rPr>
        <w:t>The Ministry of Education and Science is responsible for the development of scientific research, higher education system and technological development. The legal framework for research activities in North Macedonia is defined by the Law on Scientific and Research Activity. However, the last few years have been characteri</w:t>
      </w:r>
      <w:r>
        <w:rPr>
          <w:lang w:val="en-GB"/>
        </w:rPr>
        <w:t>s</w:t>
      </w:r>
      <w:r w:rsidRPr="008463F3">
        <w:rPr>
          <w:lang w:val="en-GB"/>
        </w:rPr>
        <w:t xml:space="preserve">ed by insufficient attention on formulating and implementing science and technology policy. There is no actual </w:t>
      </w:r>
      <w:r>
        <w:rPr>
          <w:lang w:val="en-GB"/>
        </w:rPr>
        <w:t xml:space="preserve">strategic </w:t>
      </w:r>
      <w:r w:rsidRPr="008463F3">
        <w:rPr>
          <w:lang w:val="en-GB"/>
        </w:rPr>
        <w:t>national development document in the field of research and science and the last version of the National Programme expired a few years ago.</w:t>
      </w:r>
    </w:p>
    <w:p w14:paraId="418E6F5A" w14:textId="77777777" w:rsidR="007947BF" w:rsidRPr="008463F3" w:rsidRDefault="007947BF" w:rsidP="007947BF">
      <w:pPr>
        <w:jc w:val="both"/>
        <w:rPr>
          <w:lang w:val="en-GB"/>
        </w:rPr>
      </w:pPr>
      <w:r w:rsidRPr="008463F3">
        <w:rPr>
          <w:lang w:val="en-GB"/>
        </w:rPr>
        <w:t xml:space="preserve">Overall investments in research and innovation (R&amp;I) in 2020 were rather low (0.37% of GDP). However, in 2010, the Ministry of Education and Science implemented the project "Equipping laboratories for scientific research and application activity" aimed </w:t>
      </w:r>
      <w:r>
        <w:rPr>
          <w:lang w:val="en-GB"/>
        </w:rPr>
        <w:t>at</w:t>
      </w:r>
      <w:r w:rsidRPr="008463F3">
        <w:rPr>
          <w:lang w:val="en-GB"/>
        </w:rPr>
        <w:t xml:space="preserve"> improv</w:t>
      </w:r>
      <w:r>
        <w:rPr>
          <w:lang w:val="en-GB"/>
        </w:rPr>
        <w:t>ing</w:t>
      </w:r>
      <w:r w:rsidRPr="008463F3">
        <w:rPr>
          <w:lang w:val="en-GB"/>
        </w:rPr>
        <w:t xml:space="preserve"> the research infrastructure capacities of the </w:t>
      </w:r>
      <w:r>
        <w:rPr>
          <w:lang w:val="en-GB"/>
        </w:rPr>
        <w:t xml:space="preserve">public </w:t>
      </w:r>
      <w:r w:rsidRPr="008463F3">
        <w:rPr>
          <w:lang w:val="en-GB"/>
        </w:rPr>
        <w:t>higher education institutions and research institutes. As a result of this project, a total of 80 research laboratories have been equipped with the research equipment of a total value of approximately 23 million euros.</w:t>
      </w:r>
    </w:p>
    <w:p w14:paraId="1052B4C7" w14:textId="77777777" w:rsidR="007947BF" w:rsidRPr="008463F3" w:rsidRDefault="007947BF" w:rsidP="007947BF">
      <w:pPr>
        <w:jc w:val="both"/>
        <w:rPr>
          <w:lang w:val="en-GB"/>
        </w:rPr>
      </w:pPr>
      <w:r w:rsidRPr="008463F3">
        <w:rPr>
          <w:lang w:val="en-GB"/>
        </w:rPr>
        <w:t xml:space="preserve">Despite the fact that universities in North Macedonia are mostly focused on education, there is evidence </w:t>
      </w:r>
      <w:r>
        <w:rPr>
          <w:lang w:val="en-GB"/>
        </w:rPr>
        <w:t>of</w:t>
      </w:r>
      <w:r w:rsidRPr="008463F3">
        <w:rPr>
          <w:lang w:val="en-GB"/>
        </w:rPr>
        <w:t xml:space="preserve"> engagement of universities in research activities, predominantly represented by the </w:t>
      </w:r>
      <w:r>
        <w:rPr>
          <w:lang w:val="en-GB"/>
        </w:rPr>
        <w:t>public</w:t>
      </w:r>
      <w:r w:rsidRPr="008463F3">
        <w:rPr>
          <w:lang w:val="en-GB"/>
        </w:rPr>
        <w:t xml:space="preserve"> universities. </w:t>
      </w:r>
      <w:r>
        <w:rPr>
          <w:lang w:val="en-GB"/>
        </w:rPr>
        <w:t>O</w:t>
      </w:r>
      <w:r w:rsidRPr="008463F3">
        <w:rPr>
          <w:lang w:val="en-GB"/>
        </w:rPr>
        <w:t xml:space="preserve">ut of a total of 62 research laboratories / institutes that responded to the questionnaire, 20 of them own single capital research equipment worth over 50,000 euros. With regards to the </w:t>
      </w:r>
      <w:r>
        <w:rPr>
          <w:lang w:val="en-GB"/>
        </w:rPr>
        <w:t>public</w:t>
      </w:r>
      <w:r w:rsidRPr="008463F3">
        <w:rPr>
          <w:lang w:val="en-GB"/>
        </w:rPr>
        <w:t xml:space="preserve"> universities, capital research equipment is mainly located in the Ss. Cyril and Methodius University in Skopje. The Institute for Advanced Composites and Robotics in </w:t>
      </w:r>
      <w:proofErr w:type="spellStart"/>
      <w:r w:rsidRPr="008463F3">
        <w:rPr>
          <w:lang w:val="en-GB"/>
        </w:rPr>
        <w:t>Prilep</w:t>
      </w:r>
      <w:proofErr w:type="spellEnd"/>
      <w:r w:rsidRPr="008463F3">
        <w:rPr>
          <w:lang w:val="en-GB"/>
        </w:rPr>
        <w:t xml:space="preserve"> is the only private research institution that owns single capital research equipment. </w:t>
      </w:r>
    </w:p>
    <w:p w14:paraId="4FEDEB0B" w14:textId="77777777" w:rsidR="007947BF" w:rsidRPr="008463F3" w:rsidRDefault="007947BF" w:rsidP="007947BF">
      <w:pPr>
        <w:jc w:val="both"/>
        <w:rPr>
          <w:lang w:val="en-GB"/>
        </w:rPr>
      </w:pPr>
      <w:r w:rsidRPr="008463F3">
        <w:rPr>
          <w:lang w:val="en-GB"/>
        </w:rPr>
        <w:t xml:space="preserve">Majority of research institutions/laboratories do not have an official access policy; however, they clearly define the internal procedures for accessing research equipment/facilities. Most institutions have open access for research staff, while external users are required a special permit, which includes: the official submission of requests for access to research infrastructure and formal approval by the management. As a result of Open Access Research Infrastructure in the Western Balkans Support Programme, implemented by RCC in 2020, the following research institutions have developed Access Policies to research infrastructures: The Institute for Social, Political and Juridical Research, Ss. Cyril and Methodius University in Skopje; Institute of Economics, Ss. Cyril and Methodius University in Skopje; Faculty of Computer Science and Engineering, Ss. Cyril and Methodius University in Skopje and Rectorate of the Ss. Cyril and Methodius University in Skopje. </w:t>
      </w:r>
    </w:p>
    <w:p w14:paraId="755EDA09" w14:textId="77777777" w:rsidR="007947BF" w:rsidRPr="008463F3" w:rsidRDefault="007947BF" w:rsidP="007947BF">
      <w:pPr>
        <w:jc w:val="both"/>
        <w:rPr>
          <w:lang w:val="en-GB"/>
        </w:rPr>
      </w:pPr>
      <w:r w:rsidRPr="008463F3">
        <w:rPr>
          <w:lang w:val="en-GB"/>
        </w:rPr>
        <w:t xml:space="preserve">North Macedonia contributes to the development of European e-infrastructure by participating in international projects, international associations and institutions, thus contributing to the greater integration of North Macedonia into the ERA. Faculty of Computer Science and Engineering, Ss. Cyril and Methodius University in Skopje is the most important institution in the economy with regards to e-infrastructure. </w:t>
      </w:r>
      <w:r>
        <w:rPr>
          <w:lang w:val="en-GB"/>
        </w:rPr>
        <w:t>It</w:t>
      </w:r>
      <w:r w:rsidRPr="008463F3">
        <w:rPr>
          <w:lang w:val="en-GB"/>
        </w:rPr>
        <w:t xml:space="preserve"> provides e-infrastructure support to the academic and research communities, ministries, public sector, and the industry. Macedonian Research and Academic Network (</w:t>
      </w:r>
      <w:proofErr w:type="spellStart"/>
      <w:r w:rsidRPr="008463F3">
        <w:rPr>
          <w:lang w:val="en-GB"/>
        </w:rPr>
        <w:t>MARNet</w:t>
      </w:r>
      <w:proofErr w:type="spellEnd"/>
      <w:r w:rsidRPr="008463F3">
        <w:rPr>
          <w:lang w:val="en-GB"/>
        </w:rPr>
        <w:t>) is the member of GÉANT.</w:t>
      </w:r>
    </w:p>
    <w:p w14:paraId="52DF91B1" w14:textId="77777777" w:rsidR="007947BF" w:rsidRPr="008463F3" w:rsidRDefault="007947BF" w:rsidP="007947BF">
      <w:pPr>
        <w:jc w:val="both"/>
        <w:rPr>
          <w:lang w:val="en-GB"/>
        </w:rPr>
      </w:pPr>
      <w:r w:rsidRPr="00134F42">
        <w:rPr>
          <w:lang w:val="en-GB"/>
        </w:rPr>
        <w:t>Institutions from North</w:t>
      </w:r>
      <w:r w:rsidRPr="008463F3">
        <w:rPr>
          <w:lang w:val="en-GB"/>
        </w:rPr>
        <w:t xml:space="preserve"> Macedonia have participated in 18 international projects (11 projects within H2020 and 7 projects within FP7) related to the development of research infrastructures. Thirteen projects have been implemented and 4 are ongoing.</w:t>
      </w:r>
    </w:p>
    <w:p w14:paraId="65E5080B" w14:textId="77777777" w:rsidR="007947BF" w:rsidRPr="008463F3" w:rsidRDefault="007947BF" w:rsidP="007947BF">
      <w:pPr>
        <w:jc w:val="both"/>
        <w:rPr>
          <w:lang w:val="en-GB"/>
        </w:rPr>
      </w:pPr>
      <w:r w:rsidRPr="008463F3">
        <w:rPr>
          <w:lang w:val="en-GB"/>
        </w:rPr>
        <w:t xml:space="preserve">North Macedonia is a member of ESFRI. Currently, North Macedonia participates in one ESFRI research infrastructure </w:t>
      </w:r>
      <w:r>
        <w:rPr>
          <w:lang w:val="en-GB"/>
        </w:rPr>
        <w:t xml:space="preserve">development </w:t>
      </w:r>
      <w:r w:rsidRPr="008463F3">
        <w:rPr>
          <w:lang w:val="en-GB"/>
        </w:rPr>
        <w:t xml:space="preserve">project - METROFOOD-RI Infrastructure for Promoting Metrology in Food and Nutrition. Additionally, North Macedonia participates in the operations of several </w:t>
      </w:r>
      <w:r>
        <w:rPr>
          <w:lang w:val="en-GB"/>
        </w:rPr>
        <w:t>l</w:t>
      </w:r>
      <w:r w:rsidRPr="008463F3">
        <w:rPr>
          <w:lang w:val="en-GB"/>
        </w:rPr>
        <w:t xml:space="preserve">arge European RIs that are not included in the ESFRI Roadmap but </w:t>
      </w:r>
      <w:r>
        <w:rPr>
          <w:lang w:val="en-GB"/>
        </w:rPr>
        <w:t>are of</w:t>
      </w:r>
      <w:r w:rsidRPr="008463F3">
        <w:rPr>
          <w:lang w:val="en-GB"/>
        </w:rPr>
        <w:t xml:space="preserve"> importance for the development of European and regional research infrastructure: GEANT Pan-European Network; European Open Science Cloud</w:t>
      </w:r>
      <w:r>
        <w:rPr>
          <w:lang w:val="en-GB"/>
        </w:rPr>
        <w:t xml:space="preserve"> (EOSC)</w:t>
      </w:r>
      <w:r w:rsidRPr="008463F3">
        <w:rPr>
          <w:lang w:val="en-GB"/>
        </w:rPr>
        <w:t xml:space="preserve">; CEESDA; EGI: Advanced </w:t>
      </w:r>
      <w:r>
        <w:rPr>
          <w:lang w:val="en-GB"/>
        </w:rPr>
        <w:t>c</w:t>
      </w:r>
      <w:r w:rsidRPr="008463F3">
        <w:rPr>
          <w:lang w:val="en-GB"/>
        </w:rPr>
        <w:t xml:space="preserve">omputing for research; </w:t>
      </w:r>
      <w:proofErr w:type="spellStart"/>
      <w:r w:rsidRPr="008463F3">
        <w:rPr>
          <w:lang w:val="en-GB"/>
        </w:rPr>
        <w:t>OpenAIRE</w:t>
      </w:r>
      <w:proofErr w:type="spellEnd"/>
      <w:r w:rsidRPr="008463F3">
        <w:rPr>
          <w:lang w:val="en-GB"/>
        </w:rPr>
        <w:t xml:space="preserve"> AMKE; </w:t>
      </w:r>
      <w:proofErr w:type="spellStart"/>
      <w:r w:rsidRPr="008463F3">
        <w:rPr>
          <w:lang w:val="en-GB"/>
        </w:rPr>
        <w:t>EuroHPC</w:t>
      </w:r>
      <w:proofErr w:type="spellEnd"/>
      <w:r w:rsidRPr="008463F3">
        <w:rPr>
          <w:lang w:val="en-GB"/>
        </w:rPr>
        <w:t xml:space="preserve"> JU; European Social Survey </w:t>
      </w:r>
      <w:r>
        <w:rPr>
          <w:lang w:val="en-GB"/>
        </w:rPr>
        <w:t xml:space="preserve">(ESS ) </w:t>
      </w:r>
      <w:r w:rsidRPr="008463F3">
        <w:rPr>
          <w:lang w:val="en-GB"/>
        </w:rPr>
        <w:t>and SEEIST.</w:t>
      </w:r>
    </w:p>
    <w:p w14:paraId="1E72788C" w14:textId="77777777" w:rsidR="007947BF" w:rsidRPr="008463F3" w:rsidRDefault="007947BF" w:rsidP="007947BF">
      <w:pPr>
        <w:jc w:val="both"/>
        <w:rPr>
          <w:lang w:val="en-GB"/>
        </w:rPr>
      </w:pPr>
      <w:r w:rsidRPr="008463F3">
        <w:rPr>
          <w:lang w:val="en-GB"/>
        </w:rPr>
        <w:t>In order to successfully integrate into ERA, North Macedonia should recogni</w:t>
      </w:r>
      <w:r>
        <w:rPr>
          <w:lang w:val="en-GB"/>
        </w:rPr>
        <w:t>s</w:t>
      </w:r>
      <w:r w:rsidRPr="008463F3">
        <w:rPr>
          <w:lang w:val="en-GB"/>
        </w:rPr>
        <w:t xml:space="preserve">e research infrastructures as strategically important for economic development. The visibility and quality of RIs in the wider European research scope need to be further improved and connection with the knowledge society should be enhanced. Policy coordination is most important on this path, while strong links to R&amp;D priorities are necessary conditions so that funding could be directed to research facilities that carry out the best research and provide the most prominent socio-economic benefits. </w:t>
      </w:r>
    </w:p>
    <w:p w14:paraId="28875193" w14:textId="77777777" w:rsidR="007947BF" w:rsidRPr="008463F3" w:rsidRDefault="007947BF" w:rsidP="007947BF">
      <w:pPr>
        <w:jc w:val="both"/>
        <w:rPr>
          <w:lang w:val="en-GB"/>
        </w:rPr>
      </w:pPr>
      <w:r w:rsidRPr="008463F3">
        <w:rPr>
          <w:lang w:val="en-GB"/>
        </w:rPr>
        <w:t>As a result of the analysis of current situation of research infrastructures in the economy, the following policy recommendations emerge aiming to improve the quality of the existing research infrastructure in North Macedonia:</w:t>
      </w:r>
    </w:p>
    <w:p w14:paraId="6A514F83" w14:textId="77777777" w:rsidR="007947BF" w:rsidRPr="008463F3" w:rsidRDefault="007947BF" w:rsidP="007947BF">
      <w:pPr>
        <w:pStyle w:val="ListParagraph"/>
        <w:numPr>
          <w:ilvl w:val="0"/>
          <w:numId w:val="50"/>
        </w:numPr>
        <w:spacing w:after="0"/>
        <w:jc w:val="both"/>
        <w:rPr>
          <w:lang w:val="en-GB"/>
        </w:rPr>
      </w:pPr>
      <w:r w:rsidRPr="008463F3">
        <w:rPr>
          <w:b/>
          <w:lang w:val="en-GB"/>
        </w:rPr>
        <w:t xml:space="preserve">Create an Action Plan for development of Research </w:t>
      </w:r>
      <w:r>
        <w:rPr>
          <w:b/>
          <w:lang w:val="en-GB"/>
        </w:rPr>
        <w:t>I</w:t>
      </w:r>
      <w:r w:rsidRPr="008463F3">
        <w:rPr>
          <w:b/>
          <w:lang w:val="en-GB"/>
        </w:rPr>
        <w:t>nfrastructures</w:t>
      </w:r>
    </w:p>
    <w:p w14:paraId="4C644FFF" w14:textId="77777777" w:rsidR="007947BF" w:rsidRPr="008463F3" w:rsidRDefault="007947BF" w:rsidP="007947BF">
      <w:pPr>
        <w:pStyle w:val="ListParagraph"/>
        <w:ind w:left="360"/>
        <w:jc w:val="both"/>
        <w:rPr>
          <w:lang w:val="en-GB"/>
        </w:rPr>
      </w:pPr>
      <w:r w:rsidRPr="008463F3">
        <w:rPr>
          <w:lang w:val="en-GB"/>
        </w:rPr>
        <w:t xml:space="preserve">After mapping the existing research infrastructures and RI projects in this document, it is necessary to </w:t>
      </w:r>
      <w:r>
        <w:rPr>
          <w:lang w:val="en-GB"/>
        </w:rPr>
        <w:t>develop</w:t>
      </w:r>
      <w:r w:rsidRPr="008463F3">
        <w:rPr>
          <w:lang w:val="en-GB"/>
        </w:rPr>
        <w:t xml:space="preserve"> an Action Plan for implementation of measures and activities to ensure further development of RI. The main purpose of the Action Plan is to </w:t>
      </w:r>
      <w:r>
        <w:rPr>
          <w:lang w:val="en-GB"/>
        </w:rPr>
        <w:t>outline</w:t>
      </w:r>
      <w:r w:rsidRPr="008463F3">
        <w:rPr>
          <w:lang w:val="en-GB"/>
        </w:rPr>
        <w:t xml:space="preserve"> financial implications and summari</w:t>
      </w:r>
      <w:r>
        <w:rPr>
          <w:lang w:val="en-GB"/>
        </w:rPr>
        <w:t>s</w:t>
      </w:r>
      <w:r w:rsidRPr="008463F3">
        <w:rPr>
          <w:lang w:val="en-GB"/>
        </w:rPr>
        <w:t xml:space="preserve">e key steps that need to be taken to implement the actions and </w:t>
      </w:r>
      <w:r>
        <w:rPr>
          <w:lang w:val="en-GB"/>
        </w:rPr>
        <w:t>attain</w:t>
      </w:r>
      <w:r w:rsidRPr="008463F3">
        <w:rPr>
          <w:lang w:val="en-GB"/>
        </w:rPr>
        <w:t xml:space="preserve"> the objectives of the Roadmap. The implementation of RI Roadmap is critical for North Macedonia to get closer to the forefront of science and technology and become more competitive in regional economy. </w:t>
      </w:r>
    </w:p>
    <w:p w14:paraId="3F5DC9B2" w14:textId="77777777" w:rsidR="007947BF" w:rsidRPr="008463F3" w:rsidRDefault="007947BF" w:rsidP="007947BF">
      <w:pPr>
        <w:pStyle w:val="ListParagraph"/>
        <w:ind w:left="360"/>
        <w:jc w:val="both"/>
        <w:rPr>
          <w:lang w:val="en-GB"/>
        </w:rPr>
      </w:pPr>
      <w:r w:rsidRPr="008463F3">
        <w:rPr>
          <w:lang w:val="en-GB"/>
        </w:rPr>
        <w:t xml:space="preserve">However, putting in place RI has a significant impact on national science budget (which is quite low), hence raising the question of their long-term sustainability. This requires a general debate to explore ways of combining funds </w:t>
      </w:r>
      <w:r>
        <w:rPr>
          <w:lang w:val="en-GB"/>
        </w:rPr>
        <w:t>from</w:t>
      </w:r>
      <w:r w:rsidRPr="008463F3">
        <w:rPr>
          <w:lang w:val="en-GB"/>
        </w:rPr>
        <w:t xml:space="preserve"> different sources more efficiently and ultimately defining goals for the Research Infrastructures. </w:t>
      </w:r>
    </w:p>
    <w:p w14:paraId="0C0F8643" w14:textId="77777777" w:rsidR="007947BF" w:rsidRPr="008463F3" w:rsidRDefault="007947BF" w:rsidP="007947BF">
      <w:pPr>
        <w:pStyle w:val="ListParagraph"/>
        <w:numPr>
          <w:ilvl w:val="0"/>
          <w:numId w:val="50"/>
        </w:numPr>
        <w:spacing w:after="0"/>
        <w:jc w:val="both"/>
        <w:rPr>
          <w:b/>
          <w:lang w:val="en-GB"/>
        </w:rPr>
      </w:pPr>
      <w:r w:rsidRPr="008463F3">
        <w:rPr>
          <w:b/>
          <w:lang w:val="en-GB"/>
        </w:rPr>
        <w:t xml:space="preserve">Establish a link between the research potential identified in the RI </w:t>
      </w:r>
      <w:r>
        <w:rPr>
          <w:b/>
          <w:lang w:val="en-GB"/>
        </w:rPr>
        <w:t>R</w:t>
      </w:r>
      <w:r w:rsidRPr="008463F3">
        <w:rPr>
          <w:b/>
          <w:lang w:val="en-GB"/>
        </w:rPr>
        <w:t>oadmap and future activities in designing the Smart Speciali</w:t>
      </w:r>
      <w:r>
        <w:rPr>
          <w:b/>
          <w:lang w:val="en-GB"/>
        </w:rPr>
        <w:t>s</w:t>
      </w:r>
      <w:r w:rsidRPr="008463F3">
        <w:rPr>
          <w:b/>
          <w:lang w:val="en-GB"/>
        </w:rPr>
        <w:t>ation Strategy</w:t>
      </w:r>
    </w:p>
    <w:p w14:paraId="4A9E6E96" w14:textId="77777777" w:rsidR="007947BF" w:rsidRPr="008463F3" w:rsidRDefault="007947BF" w:rsidP="007947BF">
      <w:pPr>
        <w:pStyle w:val="ListParagraph"/>
        <w:ind w:left="360"/>
        <w:jc w:val="both"/>
        <w:rPr>
          <w:lang w:val="en-GB"/>
        </w:rPr>
      </w:pPr>
      <w:r w:rsidRPr="008463F3">
        <w:rPr>
          <w:lang w:val="en-GB"/>
        </w:rPr>
        <w:t xml:space="preserve">Since North Macedonia is currently in the process of designing </w:t>
      </w:r>
      <w:r>
        <w:rPr>
          <w:lang w:val="en-GB"/>
        </w:rPr>
        <w:t>its</w:t>
      </w:r>
      <w:r w:rsidRPr="008463F3">
        <w:rPr>
          <w:lang w:val="en-GB"/>
        </w:rPr>
        <w:t xml:space="preserve"> S3, it is important to include the RI Roadmap as an input document for the next steps that will lead to the selection of the final priority domains. The existing research infrastructures are an important guideline for mapping R&amp;D potentials as a necessary element for defining a policy mix in the process of S3 implementation.</w:t>
      </w:r>
    </w:p>
    <w:p w14:paraId="3B055DD0" w14:textId="77777777" w:rsidR="007947BF" w:rsidRPr="008463F3" w:rsidRDefault="007947BF" w:rsidP="007947BF">
      <w:pPr>
        <w:pStyle w:val="ListParagraph"/>
        <w:ind w:left="360"/>
        <w:jc w:val="both"/>
        <w:rPr>
          <w:lang w:val="en-GB"/>
        </w:rPr>
      </w:pPr>
      <w:r w:rsidRPr="008463F3">
        <w:rPr>
          <w:lang w:val="en-GB"/>
        </w:rPr>
        <w:t xml:space="preserve">If North Macedonia wishes to ensure successful implementation of the S3 and to use the existing opportunities, it should provide the upgrade or construction of new research infrastructures and further develop the research-innovation potential. Regarding the investments in projects of national importance, it is also reasonable to invest in RI projects that will contribute to the reduction of the development gap in relation to </w:t>
      </w:r>
      <w:r>
        <w:rPr>
          <w:lang w:val="en-GB"/>
        </w:rPr>
        <w:t xml:space="preserve">the developed </w:t>
      </w:r>
      <w:r w:rsidRPr="008463F3">
        <w:rPr>
          <w:lang w:val="en-GB"/>
        </w:rPr>
        <w:t>EU</w:t>
      </w:r>
      <w:r>
        <w:rPr>
          <w:lang w:val="en-GB"/>
        </w:rPr>
        <w:t xml:space="preserve"> MS</w:t>
      </w:r>
      <w:r w:rsidRPr="008463F3">
        <w:rPr>
          <w:lang w:val="en-GB"/>
        </w:rPr>
        <w:t>.</w:t>
      </w:r>
    </w:p>
    <w:p w14:paraId="57ECCEED" w14:textId="77777777" w:rsidR="007947BF" w:rsidRPr="008463F3" w:rsidRDefault="007947BF" w:rsidP="007947BF">
      <w:pPr>
        <w:pStyle w:val="ListParagraph"/>
        <w:numPr>
          <w:ilvl w:val="0"/>
          <w:numId w:val="50"/>
        </w:numPr>
        <w:spacing w:after="0"/>
        <w:jc w:val="both"/>
        <w:rPr>
          <w:b/>
          <w:lang w:val="en-GB"/>
        </w:rPr>
      </w:pPr>
      <w:r w:rsidRPr="008463F3">
        <w:rPr>
          <w:b/>
          <w:lang w:val="en-GB"/>
        </w:rPr>
        <w:t>Increase investments in research infrastructures</w:t>
      </w:r>
    </w:p>
    <w:p w14:paraId="32CB3630" w14:textId="77777777" w:rsidR="007947BF" w:rsidRPr="008463F3" w:rsidRDefault="007947BF" w:rsidP="007947BF">
      <w:pPr>
        <w:pStyle w:val="ListParagraph"/>
        <w:spacing w:after="0"/>
        <w:ind w:left="360"/>
        <w:jc w:val="both"/>
        <w:rPr>
          <w:lang w:val="en-GB"/>
        </w:rPr>
      </w:pPr>
      <w:r w:rsidRPr="008463F3">
        <w:rPr>
          <w:lang w:val="en-GB"/>
        </w:rPr>
        <w:t>According to the current figures, North Macedonia records very modest level of R&amp;D expenditures compared to EU member states</w:t>
      </w:r>
      <w:r>
        <w:rPr>
          <w:lang w:val="en-GB"/>
        </w:rPr>
        <w:t>, and the overall</w:t>
      </w:r>
      <w:r w:rsidRPr="008463F3">
        <w:rPr>
          <w:lang w:val="en-GB"/>
        </w:rPr>
        <w:t xml:space="preserve"> </w:t>
      </w:r>
      <w:r>
        <w:rPr>
          <w:lang w:val="en-GB"/>
        </w:rPr>
        <w:t xml:space="preserve">situation </w:t>
      </w:r>
      <w:r w:rsidRPr="008463F3">
        <w:rPr>
          <w:lang w:val="en-GB"/>
        </w:rPr>
        <w:t>is even worse considering the declining trend of R&amp;D investments in recent years. If North Macedonia wants to catch up with developed economies, it is necessary to consider greater budget allocation for R&amp;D and creating policy measures that would stimulate higher investments in research activities by the research and business sectors.</w:t>
      </w:r>
    </w:p>
    <w:p w14:paraId="38EA8BFB" w14:textId="77777777" w:rsidR="007947BF" w:rsidRPr="008463F3" w:rsidRDefault="007947BF" w:rsidP="007947BF">
      <w:pPr>
        <w:pStyle w:val="ListParagraph"/>
        <w:ind w:left="360"/>
        <w:jc w:val="both"/>
        <w:rPr>
          <w:lang w:val="en-GB"/>
        </w:rPr>
      </w:pPr>
      <w:r w:rsidRPr="008463F3">
        <w:rPr>
          <w:lang w:val="en-GB"/>
        </w:rPr>
        <w:t xml:space="preserve">With regards to financing research infrastructures, North Macedonia should consider implementing a second round of support to research laboratories that was originally implemented by the Ministry of Education and Science in 2010. Considering the time lapse of 10 years, research equipment is largely obsolete and additional investment is needed to enable research institutions to operate in accordance with the state of the art research equipment. The second financial support programme would contribute to strengthening the universities and other research institutions with the most modern research equipment, and supporting them in </w:t>
      </w:r>
      <w:r>
        <w:rPr>
          <w:lang w:val="en-GB"/>
        </w:rPr>
        <w:t>implementation</w:t>
      </w:r>
      <w:r w:rsidRPr="008463F3">
        <w:rPr>
          <w:lang w:val="en-GB"/>
        </w:rPr>
        <w:t xml:space="preserve"> of their international scientific projects.</w:t>
      </w:r>
    </w:p>
    <w:p w14:paraId="1908ED09" w14:textId="77777777" w:rsidR="007947BF" w:rsidRPr="008463F3" w:rsidRDefault="007947BF" w:rsidP="007947BF">
      <w:pPr>
        <w:pStyle w:val="ListParagraph"/>
        <w:numPr>
          <w:ilvl w:val="0"/>
          <w:numId w:val="50"/>
        </w:numPr>
        <w:spacing w:after="0"/>
        <w:jc w:val="both"/>
        <w:rPr>
          <w:b/>
          <w:lang w:val="en-GB"/>
        </w:rPr>
      </w:pPr>
      <w:r w:rsidRPr="008463F3">
        <w:rPr>
          <w:b/>
          <w:lang w:val="en-GB"/>
        </w:rPr>
        <w:t>Improve the policy framework</w:t>
      </w:r>
    </w:p>
    <w:p w14:paraId="067A2560" w14:textId="77777777" w:rsidR="007947BF" w:rsidRPr="008463F3" w:rsidRDefault="007947BF" w:rsidP="007947BF">
      <w:pPr>
        <w:pStyle w:val="ListParagraph"/>
        <w:ind w:left="360"/>
        <w:jc w:val="both"/>
        <w:rPr>
          <w:lang w:val="en-GB"/>
        </w:rPr>
      </w:pPr>
      <w:r w:rsidRPr="008463F3">
        <w:rPr>
          <w:lang w:val="en-GB"/>
        </w:rPr>
        <w:t xml:space="preserve">The research system of North Macedonia </w:t>
      </w:r>
      <w:r>
        <w:rPr>
          <w:lang w:val="en-GB"/>
        </w:rPr>
        <w:t xml:space="preserve">is </w:t>
      </w:r>
      <w:r w:rsidRPr="008463F3">
        <w:rPr>
          <w:lang w:val="en-GB"/>
        </w:rPr>
        <w:t>characteri</w:t>
      </w:r>
      <w:r>
        <w:rPr>
          <w:lang w:val="en-GB"/>
        </w:rPr>
        <w:t>s</w:t>
      </w:r>
      <w:r w:rsidRPr="008463F3">
        <w:rPr>
          <w:lang w:val="en-GB"/>
        </w:rPr>
        <w:t>e</w:t>
      </w:r>
      <w:r>
        <w:rPr>
          <w:lang w:val="en-GB"/>
        </w:rPr>
        <w:t>d</w:t>
      </w:r>
      <w:r w:rsidRPr="008463F3">
        <w:rPr>
          <w:lang w:val="en-GB"/>
        </w:rPr>
        <w:t xml:space="preserve"> </w:t>
      </w:r>
      <w:r>
        <w:rPr>
          <w:lang w:val="en-GB"/>
        </w:rPr>
        <w:t xml:space="preserve">by </w:t>
      </w:r>
      <w:r w:rsidRPr="008463F3">
        <w:rPr>
          <w:lang w:val="en-GB"/>
        </w:rPr>
        <w:t>the absence of a science and research development strategy. The review of current strategic documents in the area of R&amp;D has shown that there is no National Program</w:t>
      </w:r>
      <w:r>
        <w:rPr>
          <w:lang w:val="en-GB"/>
        </w:rPr>
        <w:t>me</w:t>
      </w:r>
      <w:r w:rsidRPr="008463F3">
        <w:rPr>
          <w:lang w:val="en-GB"/>
        </w:rPr>
        <w:t xml:space="preserve"> for Scientific and Research Activity </w:t>
      </w:r>
      <w:r>
        <w:rPr>
          <w:lang w:val="en-GB"/>
        </w:rPr>
        <w:t>in place in</w:t>
      </w:r>
      <w:r w:rsidRPr="008463F3">
        <w:rPr>
          <w:lang w:val="en-GB"/>
        </w:rPr>
        <w:t xml:space="preserve"> North Macedonia. The absence of this strategic document represents a certain obstacle in implementing RI Roadmap due to the lack of a strategic basis and framework. Considering the importance of this strategic document for defining strategic directions and priorities and future development of research activities in North Macedonia, the National Council for Higher Education and Scientific Research should develop a National Programme for Scientific and Research Activity of North Macedonia.</w:t>
      </w:r>
    </w:p>
    <w:p w14:paraId="16F882B5" w14:textId="77777777" w:rsidR="007947BF" w:rsidRPr="008463F3" w:rsidRDefault="007947BF" w:rsidP="007947BF">
      <w:pPr>
        <w:pStyle w:val="ListParagraph"/>
        <w:ind w:left="360"/>
        <w:jc w:val="both"/>
        <w:rPr>
          <w:lang w:val="en-GB"/>
        </w:rPr>
      </w:pPr>
      <w:r w:rsidRPr="008463F3">
        <w:rPr>
          <w:lang w:val="en-GB"/>
        </w:rPr>
        <w:t>The term “Research Infrastructure” is recogni</w:t>
      </w:r>
      <w:r>
        <w:rPr>
          <w:lang w:val="en-GB"/>
        </w:rPr>
        <w:t>s</w:t>
      </w:r>
      <w:r w:rsidRPr="008463F3">
        <w:rPr>
          <w:lang w:val="en-GB"/>
        </w:rPr>
        <w:t xml:space="preserve">ed and clearly defined in the current version of the Law on Scientific and Research Activity; however, in the next amendment </w:t>
      </w:r>
      <w:r>
        <w:rPr>
          <w:lang w:val="en-GB"/>
        </w:rPr>
        <w:t>to</w:t>
      </w:r>
      <w:r w:rsidRPr="008463F3">
        <w:rPr>
          <w:lang w:val="en-GB"/>
        </w:rPr>
        <w:t xml:space="preserve"> this Law, it is desirable to provide a definition of “RI Roadmap” that would include </w:t>
      </w:r>
      <w:r>
        <w:rPr>
          <w:lang w:val="en-GB"/>
        </w:rPr>
        <w:t xml:space="preserve">its </w:t>
      </w:r>
      <w:r w:rsidRPr="008463F3">
        <w:rPr>
          <w:lang w:val="en-GB"/>
        </w:rPr>
        <w:t xml:space="preserve">clear purpose </w:t>
      </w:r>
      <w:r>
        <w:rPr>
          <w:lang w:val="en-GB"/>
        </w:rPr>
        <w:t>and</w:t>
      </w:r>
      <w:r w:rsidRPr="008463F3">
        <w:rPr>
          <w:lang w:val="en-GB"/>
        </w:rPr>
        <w:t xml:space="preserve"> create a legal basis for development and adoption of this policy document.</w:t>
      </w:r>
    </w:p>
    <w:p w14:paraId="56BB2162" w14:textId="77777777" w:rsidR="007947BF" w:rsidRPr="008463F3" w:rsidRDefault="007947BF" w:rsidP="007947BF">
      <w:pPr>
        <w:pStyle w:val="ListParagraph"/>
        <w:ind w:left="360"/>
        <w:jc w:val="both"/>
        <w:rPr>
          <w:lang w:val="en-GB"/>
        </w:rPr>
      </w:pPr>
      <w:r w:rsidRPr="008463F3">
        <w:rPr>
          <w:lang w:val="en-GB"/>
        </w:rPr>
        <w:t xml:space="preserve">The Ministry of Education and Science should establish partnership with the NOSCI.mk and jointly work on the inclusion of open science, open access and open infrastructures into the </w:t>
      </w:r>
      <w:r w:rsidRPr="00CC0C20">
        <w:rPr>
          <w:lang w:val="en-GB"/>
        </w:rPr>
        <w:t>national legal framework for research and education</w:t>
      </w:r>
      <w:r>
        <w:rPr>
          <w:lang w:val="en-GB"/>
        </w:rPr>
        <w:t>.</w:t>
      </w:r>
      <w:r w:rsidRPr="008463F3">
        <w:rPr>
          <w:lang w:val="en-GB"/>
        </w:rPr>
        <w:t xml:space="preserve"> </w:t>
      </w:r>
    </w:p>
    <w:p w14:paraId="63FC9F51" w14:textId="77777777" w:rsidR="007947BF" w:rsidRPr="008463F3" w:rsidRDefault="007947BF" w:rsidP="007947BF">
      <w:pPr>
        <w:pStyle w:val="ListParagraph"/>
        <w:ind w:left="360"/>
        <w:jc w:val="both"/>
        <w:rPr>
          <w:b/>
          <w:lang w:val="en-GB"/>
        </w:rPr>
      </w:pPr>
      <w:r w:rsidRPr="008463F3">
        <w:rPr>
          <w:lang w:val="en-GB"/>
        </w:rPr>
        <w:t>The Ministry of Education and Science should also consider adapting the national legislati</w:t>
      </w:r>
      <w:r>
        <w:rPr>
          <w:lang w:val="en-GB"/>
        </w:rPr>
        <w:t>on</w:t>
      </w:r>
      <w:r w:rsidRPr="008463F3">
        <w:rPr>
          <w:lang w:val="en-GB"/>
        </w:rPr>
        <w:t xml:space="preserve"> for the assessment of academic advancement and align it with the current EU trends that rely heavily on the open science principles and FAIR data.</w:t>
      </w:r>
    </w:p>
    <w:p w14:paraId="6D78C3C9" w14:textId="77777777" w:rsidR="007947BF" w:rsidRPr="008463F3" w:rsidRDefault="007947BF" w:rsidP="007947BF">
      <w:pPr>
        <w:pStyle w:val="ListParagraph"/>
        <w:numPr>
          <w:ilvl w:val="0"/>
          <w:numId w:val="50"/>
        </w:numPr>
        <w:spacing w:after="0"/>
        <w:jc w:val="both"/>
        <w:rPr>
          <w:b/>
          <w:lang w:val="en-GB"/>
        </w:rPr>
      </w:pPr>
      <w:r w:rsidRPr="008463F3">
        <w:rPr>
          <w:b/>
          <w:lang w:val="en-GB"/>
        </w:rPr>
        <w:t xml:space="preserve">Support the development of e-infrastructure </w:t>
      </w:r>
    </w:p>
    <w:p w14:paraId="4CFBDC4C" w14:textId="77777777" w:rsidR="007947BF" w:rsidRPr="008463F3" w:rsidRDefault="007947BF" w:rsidP="007947BF">
      <w:pPr>
        <w:pStyle w:val="ListParagraph"/>
        <w:ind w:left="360"/>
        <w:jc w:val="both"/>
        <w:rPr>
          <w:lang w:val="en-GB"/>
        </w:rPr>
      </w:pPr>
      <w:r w:rsidRPr="008463F3">
        <w:rPr>
          <w:lang w:val="en-GB"/>
        </w:rPr>
        <w:t xml:space="preserve">Strong and high-quality e-infrastructure is the basis and condition for the future development of research system in North Macedonia. In strategic terms, North Macedonia should do much more in supporting e-infrastructure than it does now. It is necessary to make better plans for the coordinated development of e-infrastructure so that the necessary funds can be </w:t>
      </w:r>
      <w:r>
        <w:rPr>
          <w:lang w:val="en-GB"/>
        </w:rPr>
        <w:t xml:space="preserve">timely </w:t>
      </w:r>
      <w:r w:rsidRPr="008463F3">
        <w:rPr>
          <w:lang w:val="en-GB"/>
        </w:rPr>
        <w:t xml:space="preserve">allocated. North Macedonia should launch measures to encourage research institutions </w:t>
      </w:r>
      <w:r>
        <w:rPr>
          <w:lang w:val="en-GB"/>
        </w:rPr>
        <w:t>to pursue</w:t>
      </w:r>
      <w:r w:rsidRPr="008463F3">
        <w:rPr>
          <w:lang w:val="en-GB"/>
        </w:rPr>
        <w:t xml:space="preserve"> collaborative investment in e-infrastructures where everyone could show their own interest in e-infrastructure development through partnership. </w:t>
      </w:r>
    </w:p>
    <w:p w14:paraId="753F2733" w14:textId="77777777" w:rsidR="007947BF" w:rsidRPr="008463F3" w:rsidRDefault="007947BF" w:rsidP="007947BF">
      <w:pPr>
        <w:pStyle w:val="ListParagraph"/>
        <w:ind w:left="360"/>
        <w:jc w:val="both"/>
        <w:rPr>
          <w:lang w:val="en-GB"/>
        </w:rPr>
      </w:pPr>
      <w:r w:rsidRPr="008463F3">
        <w:rPr>
          <w:lang w:val="en-GB"/>
        </w:rPr>
        <w:t>The Ministry of Education and Science should foster the initiative of identifying and digiti</w:t>
      </w:r>
      <w:r>
        <w:rPr>
          <w:lang w:val="en-GB"/>
        </w:rPr>
        <w:t>s</w:t>
      </w:r>
      <w:r w:rsidRPr="008463F3">
        <w:rPr>
          <w:lang w:val="en-GB"/>
        </w:rPr>
        <w:t>ing various collections of records that exist in research centr</w:t>
      </w:r>
      <w:r>
        <w:rPr>
          <w:lang w:val="en-GB"/>
        </w:rPr>
        <w:t>e</w:t>
      </w:r>
      <w:r w:rsidRPr="008463F3">
        <w:rPr>
          <w:lang w:val="en-GB"/>
        </w:rPr>
        <w:t>s.</w:t>
      </w:r>
    </w:p>
    <w:p w14:paraId="12CFB655" w14:textId="77777777" w:rsidR="007947BF" w:rsidRPr="008463F3" w:rsidRDefault="007947BF" w:rsidP="007947BF">
      <w:pPr>
        <w:pStyle w:val="ListParagraph"/>
        <w:spacing w:after="0"/>
        <w:ind w:left="360"/>
        <w:jc w:val="both"/>
        <w:rPr>
          <w:lang w:val="en-GB"/>
        </w:rPr>
      </w:pPr>
      <w:r w:rsidRPr="008463F3">
        <w:rPr>
          <w:lang w:val="en-GB"/>
        </w:rPr>
        <w:t xml:space="preserve">Additional recommendations relate to the following: </w:t>
      </w:r>
    </w:p>
    <w:p w14:paraId="45929672" w14:textId="77777777" w:rsidR="007947BF" w:rsidRPr="008463F3" w:rsidRDefault="007947BF" w:rsidP="007947BF">
      <w:pPr>
        <w:pStyle w:val="ListParagraph"/>
        <w:numPr>
          <w:ilvl w:val="1"/>
          <w:numId w:val="50"/>
        </w:numPr>
        <w:jc w:val="both"/>
        <w:rPr>
          <w:lang w:val="en-GB"/>
        </w:rPr>
      </w:pPr>
      <w:r w:rsidRPr="008463F3">
        <w:rPr>
          <w:lang w:val="en-GB"/>
        </w:rPr>
        <w:t xml:space="preserve">Intensify digitalisation of research and innovation sector, in particular </w:t>
      </w:r>
      <w:r>
        <w:rPr>
          <w:lang w:val="en-GB"/>
        </w:rPr>
        <w:t xml:space="preserve">the </w:t>
      </w:r>
      <w:r w:rsidRPr="008463F3">
        <w:rPr>
          <w:lang w:val="en-GB"/>
        </w:rPr>
        <w:t xml:space="preserve">process of identification and digitalisation of various collections and other contents of national importance </w:t>
      </w:r>
    </w:p>
    <w:p w14:paraId="23A27CC4" w14:textId="77777777" w:rsidR="007947BF" w:rsidRPr="008463F3" w:rsidRDefault="007947BF" w:rsidP="007947BF">
      <w:pPr>
        <w:pStyle w:val="ListParagraph"/>
        <w:numPr>
          <w:ilvl w:val="1"/>
          <w:numId w:val="50"/>
        </w:numPr>
        <w:rPr>
          <w:lang w:val="en-GB"/>
        </w:rPr>
      </w:pPr>
      <w:r w:rsidRPr="008463F3">
        <w:rPr>
          <w:lang w:val="en-GB"/>
        </w:rPr>
        <w:t>It is necessary to intensify the work o</w:t>
      </w:r>
      <w:r>
        <w:rPr>
          <w:lang w:val="en-GB"/>
        </w:rPr>
        <w:t>n</w:t>
      </w:r>
      <w:r w:rsidRPr="008463F3">
        <w:rPr>
          <w:lang w:val="en-GB"/>
        </w:rPr>
        <w:t xml:space="preserve"> creating prerequisites for open access to research data</w:t>
      </w:r>
    </w:p>
    <w:p w14:paraId="2B992D84" w14:textId="77777777" w:rsidR="007947BF" w:rsidRPr="008463F3" w:rsidRDefault="007947BF" w:rsidP="007947BF">
      <w:pPr>
        <w:pStyle w:val="ListParagraph"/>
        <w:numPr>
          <w:ilvl w:val="1"/>
          <w:numId w:val="50"/>
        </w:numPr>
        <w:jc w:val="both"/>
        <w:rPr>
          <w:lang w:val="en-GB"/>
        </w:rPr>
      </w:pPr>
      <w:r w:rsidRPr="008463F3">
        <w:rPr>
          <w:lang w:val="en-GB"/>
        </w:rPr>
        <w:t>Improve information and strengthen user support for open access and maximum use of existing infrastructures.</w:t>
      </w:r>
    </w:p>
    <w:p w14:paraId="2E73F147" w14:textId="77777777" w:rsidR="007947BF" w:rsidRPr="008463F3" w:rsidRDefault="007947BF" w:rsidP="007947BF">
      <w:pPr>
        <w:pStyle w:val="ListParagraph"/>
        <w:numPr>
          <w:ilvl w:val="0"/>
          <w:numId w:val="50"/>
        </w:numPr>
        <w:spacing w:after="0"/>
        <w:jc w:val="both"/>
        <w:rPr>
          <w:rFonts w:cstheme="minorHAnsi"/>
          <w:b/>
          <w:lang w:val="en-GB"/>
        </w:rPr>
      </w:pPr>
      <w:r w:rsidRPr="008463F3">
        <w:rPr>
          <w:rFonts w:cstheme="minorHAnsi"/>
          <w:b/>
          <w:lang w:val="en-GB"/>
        </w:rPr>
        <w:t>Consider options for more active participation in Large European Research Infrastructures</w:t>
      </w:r>
    </w:p>
    <w:p w14:paraId="30FBFFD8" w14:textId="77777777" w:rsidR="007947BF" w:rsidRPr="008463F3" w:rsidRDefault="007947BF" w:rsidP="007947BF">
      <w:pPr>
        <w:pStyle w:val="ListParagraph"/>
        <w:spacing w:after="0"/>
        <w:ind w:left="360"/>
        <w:jc w:val="both"/>
        <w:rPr>
          <w:lang w:val="en-GB"/>
        </w:rPr>
      </w:pPr>
      <w:r w:rsidRPr="008463F3">
        <w:rPr>
          <w:rFonts w:cstheme="minorHAnsi"/>
          <w:lang w:val="en-GB"/>
        </w:rPr>
        <w:t>It is noteworthy to mention that despite the unenviable state of science and research North Macedonia institutions have been participating in several European RIs. However</w:t>
      </w:r>
      <w:r>
        <w:rPr>
          <w:rFonts w:cstheme="minorHAnsi"/>
          <w:lang w:val="en-GB"/>
        </w:rPr>
        <w:t>,</w:t>
      </w:r>
      <w:r w:rsidRPr="008463F3">
        <w:rPr>
          <w:rFonts w:cstheme="minorHAnsi"/>
          <w:lang w:val="en-GB"/>
        </w:rPr>
        <w:t xml:space="preserve"> North Macedonia should consider launching policy instruments that would result in increasing participation in large Pan-European research infrastructures. Benefits of accessing large RI for researchers and research institutions are multiple and mostly related to: capacity building, </w:t>
      </w:r>
      <w:r>
        <w:rPr>
          <w:rFonts w:cstheme="minorHAnsi"/>
          <w:lang w:val="en-GB"/>
        </w:rPr>
        <w:t>implementation</w:t>
      </w:r>
      <w:r w:rsidRPr="008463F3">
        <w:rPr>
          <w:rFonts w:cstheme="minorHAnsi"/>
          <w:lang w:val="en-GB"/>
        </w:rPr>
        <w:t xml:space="preserve"> of high-level research projects that </w:t>
      </w:r>
      <w:r>
        <w:rPr>
          <w:rFonts w:cstheme="minorHAnsi"/>
          <w:lang w:val="en-GB"/>
        </w:rPr>
        <w:t>cannot be implemented in-economy</w:t>
      </w:r>
      <w:r w:rsidRPr="008463F3">
        <w:rPr>
          <w:rFonts w:cstheme="minorHAnsi"/>
          <w:lang w:val="en-GB"/>
        </w:rPr>
        <w:t xml:space="preserve"> due to the lack of appropriate equipment, strengthening national scientific excellence</w:t>
      </w:r>
      <w:r>
        <w:rPr>
          <w:rFonts w:cstheme="minorHAnsi"/>
          <w:lang w:val="en-GB"/>
        </w:rPr>
        <w:t>,</w:t>
      </w:r>
      <w:r w:rsidRPr="008463F3">
        <w:rPr>
          <w:rFonts w:cstheme="minorHAnsi"/>
          <w:lang w:val="en-GB"/>
        </w:rPr>
        <w:t xml:space="preserve"> etc.</w:t>
      </w:r>
      <w:r w:rsidRPr="008463F3">
        <w:rPr>
          <w:lang w:val="en-GB"/>
        </w:rPr>
        <w:t xml:space="preserve"> </w:t>
      </w:r>
    </w:p>
    <w:p w14:paraId="4E92CD25" w14:textId="77777777" w:rsidR="007947BF" w:rsidRPr="008463F3" w:rsidRDefault="007947BF" w:rsidP="007947BF">
      <w:pPr>
        <w:pStyle w:val="ListParagraph"/>
        <w:ind w:left="360"/>
        <w:jc w:val="both"/>
        <w:rPr>
          <w:rFonts w:cstheme="minorHAnsi"/>
          <w:color w:val="FF0000"/>
          <w:lang w:val="en-GB"/>
        </w:rPr>
      </w:pPr>
      <w:r w:rsidRPr="008463F3">
        <w:rPr>
          <w:rFonts w:cstheme="minorHAnsi"/>
          <w:lang w:val="en-GB"/>
        </w:rPr>
        <w:t>The relevant ministries should provide financial support for the membership of interested institutions from North Macedonia in Large RIs and associations</w:t>
      </w:r>
      <w:r>
        <w:rPr>
          <w:rFonts w:cstheme="minorHAnsi"/>
          <w:lang w:val="en-GB"/>
        </w:rPr>
        <w:t>,</w:t>
      </w:r>
      <w:r w:rsidRPr="008463F3">
        <w:rPr>
          <w:rFonts w:cstheme="minorHAnsi"/>
          <w:lang w:val="en-GB"/>
        </w:rPr>
        <w:t xml:space="preserve"> </w:t>
      </w:r>
      <w:r>
        <w:rPr>
          <w:rFonts w:cstheme="minorHAnsi"/>
          <w:lang w:val="en-GB"/>
        </w:rPr>
        <w:t>b</w:t>
      </w:r>
      <w:r w:rsidRPr="008463F3">
        <w:rPr>
          <w:rFonts w:cstheme="minorHAnsi"/>
          <w:lang w:val="en-GB"/>
        </w:rPr>
        <w:t xml:space="preserve">efore </w:t>
      </w:r>
      <w:r>
        <w:rPr>
          <w:rFonts w:cstheme="minorHAnsi"/>
          <w:lang w:val="en-GB"/>
        </w:rPr>
        <w:t>which</w:t>
      </w:r>
      <w:r w:rsidRPr="008463F3">
        <w:rPr>
          <w:rFonts w:cstheme="minorHAnsi"/>
          <w:lang w:val="en-GB"/>
        </w:rPr>
        <w:t xml:space="preserve"> it is necessary to identify</w:t>
      </w:r>
      <w:r w:rsidRPr="008463F3">
        <w:rPr>
          <w:lang w:val="en-GB"/>
        </w:rPr>
        <w:t xml:space="preserve"> </w:t>
      </w:r>
      <w:r w:rsidRPr="008463F3">
        <w:rPr>
          <w:rFonts w:cstheme="minorHAnsi"/>
          <w:lang w:val="en-GB"/>
        </w:rPr>
        <w:t>and propose appropriate ESFRI/ERIC RIs for which there is interest and capacity for membership.</w:t>
      </w:r>
    </w:p>
    <w:p w14:paraId="70D4EFD0" w14:textId="77777777" w:rsidR="007947BF" w:rsidRPr="008463F3" w:rsidRDefault="007947BF" w:rsidP="007947BF">
      <w:pPr>
        <w:pStyle w:val="ListParagraph"/>
        <w:numPr>
          <w:ilvl w:val="0"/>
          <w:numId w:val="50"/>
        </w:numPr>
        <w:spacing w:after="0"/>
        <w:jc w:val="both"/>
        <w:rPr>
          <w:rFonts w:cstheme="minorHAnsi"/>
          <w:b/>
          <w:lang w:val="en-GB"/>
        </w:rPr>
      </w:pPr>
      <w:r w:rsidRPr="008463F3">
        <w:rPr>
          <w:rFonts w:cstheme="minorHAnsi"/>
          <w:b/>
          <w:lang w:val="en-GB"/>
        </w:rPr>
        <w:t>Defining Open Access Policies for research infrastructures</w:t>
      </w:r>
    </w:p>
    <w:p w14:paraId="3400E391" w14:textId="77777777" w:rsidR="007947BF" w:rsidRPr="008463F3" w:rsidRDefault="007947BF" w:rsidP="007947BF">
      <w:pPr>
        <w:pStyle w:val="ListParagraph"/>
        <w:spacing w:after="120"/>
        <w:ind w:left="360"/>
        <w:jc w:val="both"/>
        <w:rPr>
          <w:rFonts w:cstheme="minorHAnsi"/>
          <w:lang w:val="en-GB"/>
        </w:rPr>
      </w:pPr>
      <w:r w:rsidRPr="008463F3">
        <w:rPr>
          <w:rFonts w:cstheme="minorHAnsi"/>
          <w:lang w:val="en-GB"/>
        </w:rPr>
        <w:t xml:space="preserve">As a result of Open Access Research Infrastructure in the Western Balkans Support Programme implemented by RCC </w:t>
      </w:r>
      <w:r>
        <w:rPr>
          <w:rFonts w:cstheme="minorHAnsi"/>
          <w:lang w:val="en-GB"/>
        </w:rPr>
        <w:t>S</w:t>
      </w:r>
      <w:r w:rsidRPr="008463F3">
        <w:rPr>
          <w:rFonts w:cstheme="minorHAnsi"/>
          <w:lang w:val="en-GB"/>
        </w:rPr>
        <w:t>ecretariat in 2020, 4 research institutions in North Macedonia have created a document on Open Access Policy to RI. Building on the experience gained in this program</w:t>
      </w:r>
      <w:r>
        <w:rPr>
          <w:rFonts w:cstheme="minorHAnsi"/>
          <w:lang w:val="en-GB"/>
        </w:rPr>
        <w:t>me</w:t>
      </w:r>
      <w:r w:rsidRPr="008463F3">
        <w:rPr>
          <w:rFonts w:cstheme="minorHAnsi"/>
          <w:lang w:val="en-GB"/>
        </w:rPr>
        <w:t xml:space="preserve">, the Ministry of Education and Science should encourage other research institutions to adopt their own Open Access Policy documents. The final deliverables from this Programme could be taken into account when defining policies for providing access to RIs. </w:t>
      </w:r>
    </w:p>
    <w:p w14:paraId="212705D3" w14:textId="77777777" w:rsidR="007947BF" w:rsidRPr="008463F3" w:rsidRDefault="007947BF" w:rsidP="007947BF">
      <w:pPr>
        <w:pStyle w:val="ListParagraph"/>
        <w:spacing w:after="120"/>
        <w:ind w:left="360"/>
        <w:jc w:val="both"/>
        <w:rPr>
          <w:rFonts w:cstheme="minorHAnsi"/>
          <w:lang w:val="en-GB"/>
        </w:rPr>
      </w:pPr>
      <w:r w:rsidRPr="008463F3">
        <w:rPr>
          <w:rFonts w:cstheme="minorHAnsi"/>
          <w:lang w:val="en-GB"/>
        </w:rPr>
        <w:t xml:space="preserve">Additionally, best practices and </w:t>
      </w:r>
      <w:r>
        <w:rPr>
          <w:rFonts w:cstheme="minorHAnsi"/>
          <w:lang w:val="en-GB"/>
        </w:rPr>
        <w:t>guidelines regarding</w:t>
      </w:r>
      <w:r w:rsidRPr="008463F3">
        <w:rPr>
          <w:rFonts w:cstheme="minorHAnsi"/>
          <w:lang w:val="en-GB"/>
        </w:rPr>
        <w:t xml:space="preserve"> the topics helpful to those responsible for defini</w:t>
      </w:r>
      <w:r>
        <w:rPr>
          <w:rFonts w:cstheme="minorHAnsi"/>
          <w:lang w:val="en-GB"/>
        </w:rPr>
        <w:t>ng</w:t>
      </w:r>
      <w:r w:rsidRPr="008463F3">
        <w:rPr>
          <w:rFonts w:cstheme="minorHAnsi"/>
          <w:lang w:val="en-GB"/>
        </w:rPr>
        <w:t xml:space="preserve"> access policies could be found in the public document </w:t>
      </w:r>
      <w:r>
        <w:rPr>
          <w:rFonts w:cstheme="minorHAnsi"/>
          <w:lang w:val="en-GB"/>
        </w:rPr>
        <w:t>developed</w:t>
      </w:r>
      <w:r w:rsidRPr="008463F3">
        <w:rPr>
          <w:rFonts w:cstheme="minorHAnsi"/>
          <w:lang w:val="en-GB"/>
        </w:rPr>
        <w:t xml:space="preserve"> by </w:t>
      </w:r>
      <w:r>
        <w:rPr>
          <w:rFonts w:cstheme="minorHAnsi"/>
          <w:lang w:val="en-GB"/>
        </w:rPr>
        <w:t xml:space="preserve">the </w:t>
      </w:r>
      <w:r w:rsidRPr="008463F3">
        <w:rPr>
          <w:rFonts w:cstheme="minorHAnsi"/>
          <w:lang w:val="en-GB"/>
        </w:rPr>
        <w:t>EU Commission</w:t>
      </w:r>
      <w:r w:rsidRPr="008463F3">
        <w:rPr>
          <w:rStyle w:val="FootnoteReference"/>
          <w:rFonts w:cstheme="minorHAnsi"/>
          <w:lang w:val="en-GB"/>
        </w:rPr>
        <w:footnoteReference w:id="1"/>
      </w:r>
      <w:r w:rsidRPr="008463F3">
        <w:rPr>
          <w:rFonts w:cstheme="minorHAnsi"/>
          <w:lang w:val="en-GB"/>
        </w:rPr>
        <w:t xml:space="preserve"> that provides the charter for access to research infrastructures which sets out principles and guidelines </w:t>
      </w:r>
      <w:r>
        <w:rPr>
          <w:rFonts w:cstheme="minorHAnsi"/>
          <w:lang w:val="en-GB"/>
        </w:rPr>
        <w:t>for</w:t>
      </w:r>
      <w:r w:rsidRPr="008463F3">
        <w:rPr>
          <w:rFonts w:cstheme="minorHAnsi"/>
          <w:lang w:val="en-GB"/>
        </w:rPr>
        <w:t xml:space="preserve"> defining access policies for RIs.</w:t>
      </w:r>
    </w:p>
    <w:p w14:paraId="71172273" w14:textId="77777777" w:rsidR="007947BF" w:rsidRPr="008463F3" w:rsidRDefault="007947BF" w:rsidP="007947BF">
      <w:pPr>
        <w:pStyle w:val="ListParagraph"/>
        <w:numPr>
          <w:ilvl w:val="0"/>
          <w:numId w:val="45"/>
        </w:numPr>
        <w:spacing w:after="0"/>
        <w:jc w:val="both"/>
        <w:rPr>
          <w:rFonts w:cstheme="minorHAnsi"/>
          <w:lang w:val="en-GB"/>
        </w:rPr>
      </w:pPr>
      <w:r w:rsidRPr="008463F3">
        <w:rPr>
          <w:shd w:val="clear" w:color="auto" w:fill="FFFFFF"/>
          <w:lang w:val="en-GB"/>
        </w:rPr>
        <w:br w:type="page"/>
      </w:r>
    </w:p>
    <w:p w14:paraId="1F919BD4" w14:textId="77777777" w:rsidR="007947BF" w:rsidRPr="008463F3" w:rsidRDefault="007947BF" w:rsidP="007947BF">
      <w:pPr>
        <w:pStyle w:val="Heading1"/>
        <w:rPr>
          <w:rFonts w:asciiTheme="minorHAnsi" w:hAnsiTheme="minorHAnsi"/>
          <w:shd w:val="clear" w:color="auto" w:fill="FFFFFF"/>
        </w:rPr>
      </w:pPr>
      <w:bookmarkStart w:id="6" w:name="_Toc77322020"/>
      <w:r w:rsidRPr="008463F3">
        <w:rPr>
          <w:rFonts w:asciiTheme="minorHAnsi" w:hAnsiTheme="minorHAnsi"/>
          <w:shd w:val="clear" w:color="auto" w:fill="FFFFFF"/>
        </w:rPr>
        <w:t>1. Introduction</w:t>
      </w:r>
      <w:bookmarkEnd w:id="6"/>
    </w:p>
    <w:p w14:paraId="3013C5D8" w14:textId="77777777" w:rsidR="007947BF" w:rsidRPr="008463F3" w:rsidRDefault="007947BF" w:rsidP="007947BF">
      <w:pPr>
        <w:rPr>
          <w:shd w:val="clear" w:color="auto" w:fill="FFFFFF"/>
          <w:lang w:val="en-GB"/>
        </w:rPr>
      </w:pPr>
    </w:p>
    <w:p w14:paraId="0199C14B" w14:textId="77777777" w:rsidR="007947BF" w:rsidRPr="008463F3" w:rsidRDefault="007947BF" w:rsidP="007947BF">
      <w:pPr>
        <w:pStyle w:val="Heading2"/>
        <w:spacing w:after="240"/>
        <w:rPr>
          <w:rFonts w:asciiTheme="minorHAnsi" w:hAnsiTheme="minorHAnsi"/>
          <w:shd w:val="clear" w:color="auto" w:fill="FFFFFF"/>
          <w:lang w:val="en-GB"/>
        </w:rPr>
      </w:pPr>
      <w:bookmarkStart w:id="7" w:name="_Toc77322021"/>
      <w:r w:rsidRPr="008463F3">
        <w:rPr>
          <w:rFonts w:asciiTheme="minorHAnsi" w:hAnsiTheme="minorHAnsi"/>
          <w:shd w:val="clear" w:color="auto" w:fill="FFFFFF"/>
          <w:lang w:val="en-GB"/>
        </w:rPr>
        <w:t>1.1. Scope and purpose of the document</w:t>
      </w:r>
      <w:bookmarkEnd w:id="2"/>
      <w:bookmarkEnd w:id="7"/>
    </w:p>
    <w:p w14:paraId="02991B37" w14:textId="77777777" w:rsidR="007947BF" w:rsidRPr="008463F3" w:rsidRDefault="007947BF" w:rsidP="007947BF">
      <w:pPr>
        <w:jc w:val="both"/>
        <w:rPr>
          <w:shd w:val="clear" w:color="auto" w:fill="FFFFFF"/>
          <w:lang w:val="en-GB"/>
        </w:rPr>
      </w:pPr>
      <w:r w:rsidRPr="008463F3">
        <w:rPr>
          <w:shd w:val="clear" w:color="auto" w:fill="FFFFFF"/>
          <w:lang w:val="en-GB"/>
        </w:rPr>
        <w:t>Research Infrastructure (RI) Roadmap is a policy document aimed at identifying national research infrastructures as an indispensable step for the future development of scientific research and promotion of research excellence in North Macedonia. This is the first version of the Roadmap that should encourage open and transparent communication with the research community assisting the Ministry of Education and Science to regularly update the Roadmap with new projects and prepare to invest in research sector in the most effective and optimal manner.</w:t>
      </w:r>
    </w:p>
    <w:p w14:paraId="46B5AC9A" w14:textId="77777777" w:rsidR="007947BF" w:rsidRPr="008463F3" w:rsidRDefault="007947BF" w:rsidP="007947BF">
      <w:pPr>
        <w:jc w:val="both"/>
        <w:rPr>
          <w:shd w:val="clear" w:color="auto" w:fill="FFFFFF"/>
          <w:lang w:val="en-GB"/>
        </w:rPr>
      </w:pPr>
      <w:r w:rsidRPr="008463F3">
        <w:rPr>
          <w:shd w:val="clear" w:color="auto" w:fill="FFFFFF"/>
          <w:lang w:val="en-GB"/>
        </w:rPr>
        <w:t>The main purpose of the Roadmap is to present the existing research potential of North Macedonia with the aim to set principles for the future development of research infrastructures and to propose recommendations aimed at strengthening research sector and thus societal development as a whole. It assists decision</w:t>
      </w:r>
      <w:r>
        <w:rPr>
          <w:shd w:val="clear" w:color="auto" w:fill="FFFFFF"/>
          <w:lang w:val="en-GB"/>
        </w:rPr>
        <w:t>-</w:t>
      </w:r>
      <w:r w:rsidRPr="008463F3">
        <w:rPr>
          <w:shd w:val="clear" w:color="auto" w:fill="FFFFFF"/>
          <w:lang w:val="en-GB"/>
        </w:rPr>
        <w:t>makers to better leverage investments in research infrastructures to ensure their national and international relevance, as well as to ensure their availability to the entire research and business community in the national economy and beyond.</w:t>
      </w:r>
    </w:p>
    <w:p w14:paraId="42AB67F2" w14:textId="77777777" w:rsidR="007947BF" w:rsidRPr="008463F3" w:rsidRDefault="007947BF" w:rsidP="007947BF">
      <w:pPr>
        <w:jc w:val="both"/>
        <w:rPr>
          <w:shd w:val="clear" w:color="auto" w:fill="FFFFFF"/>
          <w:lang w:val="en-GB"/>
        </w:rPr>
      </w:pPr>
      <w:r w:rsidRPr="008463F3">
        <w:rPr>
          <w:shd w:val="clear" w:color="auto" w:fill="FFFFFF"/>
          <w:lang w:val="en-GB"/>
        </w:rPr>
        <w:t>The ultimate goal of the Roadmap is to ensure a long-term commitment of decision</w:t>
      </w:r>
      <w:r>
        <w:rPr>
          <w:shd w:val="clear" w:color="auto" w:fill="FFFFFF"/>
          <w:lang w:val="en-GB"/>
        </w:rPr>
        <w:t>-</w:t>
      </w:r>
      <w:r w:rsidRPr="008463F3">
        <w:rPr>
          <w:shd w:val="clear" w:color="auto" w:fill="FFFFFF"/>
          <w:lang w:val="en-GB"/>
        </w:rPr>
        <w:t xml:space="preserve">makers </w:t>
      </w:r>
      <w:r>
        <w:rPr>
          <w:shd w:val="clear" w:color="auto" w:fill="FFFFFF"/>
          <w:lang w:val="en-GB"/>
        </w:rPr>
        <w:t>to</w:t>
      </w:r>
      <w:r w:rsidRPr="008463F3">
        <w:rPr>
          <w:shd w:val="clear" w:color="auto" w:fill="FFFFFF"/>
          <w:lang w:val="en-GB"/>
        </w:rPr>
        <w:t xml:space="preserve"> systematic support of strong research and innovation in North Macedonia, striving for development of RIs that are relevant beyond </w:t>
      </w:r>
      <w:r>
        <w:rPr>
          <w:shd w:val="clear" w:color="auto" w:fill="FFFFFF"/>
          <w:lang w:val="en-GB"/>
        </w:rPr>
        <w:t>domestic territory</w:t>
      </w:r>
      <w:r w:rsidRPr="008463F3">
        <w:rPr>
          <w:shd w:val="clear" w:color="auto" w:fill="FFFFFF"/>
          <w:lang w:val="en-GB"/>
        </w:rPr>
        <w:t xml:space="preserve"> in highly competitive scientific areas, which will allow the research ecosystem to be shaped into a gateway for global research challenges.</w:t>
      </w:r>
    </w:p>
    <w:p w14:paraId="44BF91E5" w14:textId="77777777" w:rsidR="007947BF" w:rsidRPr="008463F3" w:rsidRDefault="007947BF" w:rsidP="007947BF">
      <w:pPr>
        <w:jc w:val="both"/>
        <w:rPr>
          <w:shd w:val="clear" w:color="auto" w:fill="FFFFFF"/>
          <w:lang w:val="en-GB"/>
        </w:rPr>
      </w:pPr>
      <w:r w:rsidRPr="008463F3">
        <w:rPr>
          <w:shd w:val="clear" w:color="auto" w:fill="FFFFFF"/>
          <w:lang w:val="en-GB"/>
        </w:rPr>
        <w:t xml:space="preserve">The content of the document </w:t>
      </w:r>
      <w:r>
        <w:rPr>
          <w:shd w:val="clear" w:color="auto" w:fill="FFFFFF"/>
          <w:lang w:val="en-GB"/>
        </w:rPr>
        <w:t>reflects</w:t>
      </w:r>
      <w:r w:rsidRPr="008463F3">
        <w:rPr>
          <w:shd w:val="clear" w:color="auto" w:fill="FFFFFF"/>
          <w:lang w:val="en-GB"/>
        </w:rPr>
        <w:t xml:space="preserve"> the current </w:t>
      </w:r>
      <w:r>
        <w:rPr>
          <w:shd w:val="clear" w:color="auto" w:fill="FFFFFF"/>
          <w:lang w:val="en-GB"/>
        </w:rPr>
        <w:t>state of play of</w:t>
      </w:r>
      <w:r w:rsidRPr="008463F3">
        <w:rPr>
          <w:shd w:val="clear" w:color="auto" w:fill="FFFFFF"/>
          <w:lang w:val="en-GB"/>
        </w:rPr>
        <w:t xml:space="preserve"> research sector of North Macedonia </w:t>
      </w:r>
      <w:r>
        <w:rPr>
          <w:shd w:val="clear" w:color="auto" w:fill="FFFFFF"/>
          <w:lang w:val="en-GB"/>
        </w:rPr>
        <w:t>with rather low t</w:t>
      </w:r>
      <w:r w:rsidRPr="008463F3">
        <w:rPr>
          <w:shd w:val="clear" w:color="auto" w:fill="FFFFFF"/>
          <w:lang w:val="en-GB"/>
        </w:rPr>
        <w:t xml:space="preserve">otal government investment in R&amp;D and </w:t>
      </w:r>
      <w:r>
        <w:rPr>
          <w:shd w:val="clear" w:color="auto" w:fill="FFFFFF"/>
          <w:lang w:val="en-GB"/>
        </w:rPr>
        <w:t xml:space="preserve">poor </w:t>
      </w:r>
      <w:r w:rsidRPr="008463F3">
        <w:rPr>
          <w:shd w:val="clear" w:color="auto" w:fill="FFFFFF"/>
          <w:lang w:val="en-GB"/>
        </w:rPr>
        <w:t>development of large research infrastructure. Considering</w:t>
      </w:r>
      <w:r w:rsidRPr="008463F3">
        <w:rPr>
          <w:lang w:val="en-GB"/>
        </w:rPr>
        <w:t xml:space="preserve"> </w:t>
      </w:r>
      <w:r w:rsidRPr="008463F3">
        <w:rPr>
          <w:shd w:val="clear" w:color="auto" w:fill="FFFFFF"/>
          <w:lang w:val="en-GB"/>
        </w:rPr>
        <w:t xml:space="preserve">the modest participation of North Macedonia in the large pan-European research infrastructures, this document is structured to map research equipment, facilities and research laboratories operating within universities and research institutes. Furthermore, research potential reflected in the participation in international research projects relevant to the development of research infrastructure is also presented. </w:t>
      </w:r>
    </w:p>
    <w:p w14:paraId="044CD603" w14:textId="77777777" w:rsidR="007947BF" w:rsidRPr="008463F3" w:rsidRDefault="007947BF" w:rsidP="007947BF">
      <w:pPr>
        <w:rPr>
          <w:shd w:val="clear" w:color="auto" w:fill="FFFFFF"/>
          <w:lang w:val="en-GB"/>
        </w:rPr>
      </w:pPr>
    </w:p>
    <w:p w14:paraId="12BAE013" w14:textId="77777777" w:rsidR="007947BF" w:rsidRPr="008463F3" w:rsidRDefault="007947BF" w:rsidP="007947BF">
      <w:pPr>
        <w:rPr>
          <w:shd w:val="clear" w:color="auto" w:fill="FFFFFF"/>
          <w:lang w:val="en-GB"/>
        </w:rPr>
      </w:pPr>
    </w:p>
    <w:p w14:paraId="2632E81C" w14:textId="77777777" w:rsidR="007947BF" w:rsidRPr="008463F3" w:rsidRDefault="007947BF" w:rsidP="007947BF">
      <w:pPr>
        <w:rPr>
          <w:shd w:val="clear" w:color="auto" w:fill="FFFFFF"/>
          <w:lang w:val="en-GB"/>
        </w:rPr>
      </w:pPr>
    </w:p>
    <w:p w14:paraId="09FF3E49" w14:textId="77777777" w:rsidR="007947BF" w:rsidRPr="008463F3" w:rsidRDefault="007947BF" w:rsidP="007947BF">
      <w:pPr>
        <w:rPr>
          <w:shd w:val="clear" w:color="auto" w:fill="FFFFFF"/>
          <w:lang w:val="en-GB"/>
        </w:rPr>
      </w:pPr>
    </w:p>
    <w:p w14:paraId="20052E45" w14:textId="77777777" w:rsidR="007947BF" w:rsidRPr="008463F3" w:rsidRDefault="007947BF" w:rsidP="007947BF">
      <w:pPr>
        <w:rPr>
          <w:shd w:val="clear" w:color="auto" w:fill="FFFFFF"/>
          <w:lang w:val="en-GB"/>
        </w:rPr>
      </w:pPr>
    </w:p>
    <w:p w14:paraId="01CCC5F1" w14:textId="77777777" w:rsidR="007947BF" w:rsidRPr="008463F3" w:rsidRDefault="007947BF" w:rsidP="007947BF">
      <w:pPr>
        <w:rPr>
          <w:shd w:val="clear" w:color="auto" w:fill="FFFFFF"/>
          <w:lang w:val="en-GB"/>
        </w:rPr>
      </w:pPr>
    </w:p>
    <w:p w14:paraId="27D25CDC" w14:textId="77777777" w:rsidR="007947BF" w:rsidRPr="008463F3" w:rsidRDefault="007947BF" w:rsidP="007947BF">
      <w:pPr>
        <w:rPr>
          <w:shd w:val="clear" w:color="auto" w:fill="FFFFFF"/>
          <w:lang w:val="en-GB"/>
        </w:rPr>
      </w:pPr>
    </w:p>
    <w:p w14:paraId="4C412124" w14:textId="77777777" w:rsidR="007947BF" w:rsidRPr="008463F3" w:rsidRDefault="007947BF" w:rsidP="007947BF">
      <w:pPr>
        <w:pStyle w:val="Heading2"/>
        <w:spacing w:after="240"/>
        <w:rPr>
          <w:rFonts w:asciiTheme="minorHAnsi" w:hAnsiTheme="minorHAnsi"/>
          <w:shd w:val="clear" w:color="auto" w:fill="FFFFFF"/>
          <w:lang w:val="en-GB"/>
        </w:rPr>
      </w:pPr>
      <w:bookmarkStart w:id="8" w:name="_Toc77322022"/>
      <w:r w:rsidRPr="008463F3">
        <w:rPr>
          <w:rFonts w:asciiTheme="minorHAnsi" w:hAnsiTheme="minorHAnsi"/>
          <w:shd w:val="clear" w:color="auto" w:fill="FFFFFF"/>
          <w:lang w:val="en-GB"/>
        </w:rPr>
        <w:t>1.2. What are Research Infrastructures?</w:t>
      </w:r>
      <w:bookmarkEnd w:id="8"/>
    </w:p>
    <w:p w14:paraId="79A13BEA" w14:textId="77777777" w:rsidR="007947BF" w:rsidRPr="008463F3" w:rsidRDefault="007947BF" w:rsidP="007947BF">
      <w:pPr>
        <w:jc w:val="both"/>
        <w:rPr>
          <w:shd w:val="clear" w:color="auto" w:fill="FFFFFF"/>
          <w:lang w:val="en-GB"/>
        </w:rPr>
      </w:pPr>
      <w:r w:rsidRPr="008463F3">
        <w:rPr>
          <w:shd w:val="clear" w:color="auto" w:fill="FFFFFF"/>
          <w:lang w:val="en-GB"/>
        </w:rPr>
        <w:t>Research infrastructures are intended to provide resources that enable research for several research teams and different projects within one or several research fields. Research infrastructures include major research facilities, laboratory environments, complex digital research systems and databases</w:t>
      </w:r>
      <w:r>
        <w:rPr>
          <w:shd w:val="clear" w:color="auto" w:fill="FFFFFF"/>
          <w:lang w:val="en-GB"/>
        </w:rPr>
        <w:t>,</w:t>
      </w:r>
      <w:r w:rsidRPr="008463F3">
        <w:rPr>
          <w:shd w:val="clear" w:color="auto" w:fill="FFFFFF"/>
          <w:lang w:val="en-GB"/>
        </w:rPr>
        <w:t xml:space="preserve"> etc. According to the EU Regulation</w:t>
      </w:r>
      <w:r w:rsidRPr="008463F3">
        <w:rPr>
          <w:rStyle w:val="FootnoteReference"/>
          <w:shd w:val="clear" w:color="auto" w:fill="FFFFFF"/>
          <w:lang w:val="en-GB"/>
        </w:rPr>
        <w:footnoteReference w:id="2"/>
      </w:r>
      <w:r w:rsidRPr="008463F3">
        <w:rPr>
          <w:shd w:val="clear" w:color="auto" w:fill="FFFFFF"/>
          <w:lang w:val="en-GB"/>
        </w:rPr>
        <w:t>, Research Infrastructures are defined as follows: “</w:t>
      </w:r>
      <w:r w:rsidRPr="008463F3">
        <w:rPr>
          <w:i/>
          <w:shd w:val="clear" w:color="auto" w:fill="FFFFFF"/>
          <w:lang w:val="en-GB"/>
        </w:rPr>
        <w:t>RIs are facilities, resources and services that are used by the research communities to conduct research and foster innovation in their fields. They include: major scientific equipment (or sets of instruments), knowledge-based resources such as collections, archives and scientific data, e-infrastructures, such as data and computing systems and communication networks and any other tools that are essential to achieve excellence in research and innovation</w:t>
      </w:r>
      <w:r w:rsidRPr="008463F3">
        <w:rPr>
          <w:shd w:val="clear" w:color="auto" w:fill="FFFFFF"/>
          <w:lang w:val="en-GB"/>
        </w:rPr>
        <w:t>”.</w:t>
      </w:r>
    </w:p>
    <w:p w14:paraId="3984780B" w14:textId="77777777" w:rsidR="007947BF" w:rsidRPr="008463F3" w:rsidRDefault="007947BF" w:rsidP="007947BF">
      <w:pPr>
        <w:jc w:val="both"/>
        <w:rPr>
          <w:shd w:val="clear" w:color="auto" w:fill="FFFFFF"/>
          <w:lang w:val="en-GB"/>
        </w:rPr>
      </w:pPr>
      <w:r w:rsidRPr="008463F3">
        <w:rPr>
          <w:shd w:val="clear" w:color="auto" w:fill="FFFFFF"/>
          <w:lang w:val="en-GB"/>
        </w:rPr>
        <w:t xml:space="preserve">National investments in the development of RIs </w:t>
      </w:r>
      <w:r>
        <w:rPr>
          <w:shd w:val="clear" w:color="auto" w:fill="FFFFFF"/>
          <w:lang w:val="en-GB"/>
        </w:rPr>
        <w:t>are</w:t>
      </w:r>
      <w:r w:rsidRPr="008463F3">
        <w:rPr>
          <w:shd w:val="clear" w:color="auto" w:fill="FFFFFF"/>
          <w:lang w:val="en-GB"/>
        </w:rPr>
        <w:t xml:space="preserve"> important </w:t>
      </w:r>
      <w:r>
        <w:rPr>
          <w:shd w:val="clear" w:color="auto" w:fill="FFFFFF"/>
          <w:lang w:val="en-GB"/>
        </w:rPr>
        <w:t>given</w:t>
      </w:r>
      <w:r w:rsidRPr="008463F3">
        <w:rPr>
          <w:shd w:val="clear" w:color="auto" w:fill="FFFFFF"/>
          <w:lang w:val="en-GB"/>
        </w:rPr>
        <w:t xml:space="preserve"> the impact RIs have on promoting research excellence by providing access to state-of-the-art facilities and equipment, comprehensive databases and other resources. RIs constitute an important element of the European Research Area (ERA), offering unique research services to users from different economies, attracting young people to science, shaping multidisciplinary scientific communities and nurturing economic development. Although the primary objective of RIs is to produce cutting edge science, their impact goes beyond scientific research only. They are equally important and relevant for all scientific fields and an important instrument for connecting research with the business sector.</w:t>
      </w:r>
    </w:p>
    <w:p w14:paraId="29FE1789" w14:textId="77777777" w:rsidR="007947BF" w:rsidRPr="008463F3" w:rsidRDefault="007947BF" w:rsidP="007947BF">
      <w:pPr>
        <w:jc w:val="both"/>
        <w:rPr>
          <w:shd w:val="clear" w:color="auto" w:fill="FFFFFF"/>
          <w:lang w:val="en-GB"/>
        </w:rPr>
      </w:pPr>
      <w:r w:rsidRPr="008463F3">
        <w:rPr>
          <w:shd w:val="clear" w:color="auto" w:fill="FFFFFF"/>
          <w:lang w:val="en-GB"/>
        </w:rPr>
        <w:t>The European Strategy Forum on Research Infrastructures (ESFRI)</w:t>
      </w:r>
      <w:r w:rsidRPr="008463F3">
        <w:rPr>
          <w:rStyle w:val="FootnoteReference"/>
          <w:shd w:val="clear" w:color="auto" w:fill="FFFFFF"/>
          <w:lang w:val="en-GB"/>
        </w:rPr>
        <w:footnoteReference w:id="3"/>
      </w:r>
      <w:r w:rsidRPr="008463F3">
        <w:rPr>
          <w:shd w:val="clear" w:color="auto" w:fill="FFFFFF"/>
          <w:lang w:val="en-GB"/>
        </w:rPr>
        <w:t xml:space="preserve"> is a strategic instrument created in 2002 by the Member States and the European Commission to develop scientific integration of Europe and to strengthen its international outreach. ESFRI gives national authorities the opportunity to explore common and integrated activities for the best development and use of Research Infrastructures of pan-European relevance. In this way, by integrating national policies, ESFRI brings together national and EU resources to develop the ERA.</w:t>
      </w:r>
    </w:p>
    <w:p w14:paraId="13D9BEEF" w14:textId="77777777" w:rsidR="007947BF" w:rsidRPr="008463F3" w:rsidRDefault="007947BF" w:rsidP="007947BF">
      <w:pPr>
        <w:jc w:val="both"/>
        <w:rPr>
          <w:lang w:val="en-GB"/>
        </w:rPr>
      </w:pPr>
      <w:r w:rsidRPr="008463F3">
        <w:rPr>
          <w:shd w:val="clear" w:color="auto" w:fill="FFFFFF"/>
          <w:lang w:val="en-GB"/>
        </w:rPr>
        <w:t xml:space="preserve">In the last decade, most EU </w:t>
      </w:r>
      <w:r>
        <w:rPr>
          <w:shd w:val="clear" w:color="auto" w:fill="FFFFFF"/>
          <w:lang w:val="en-GB"/>
        </w:rPr>
        <w:t>MS</w:t>
      </w:r>
      <w:r w:rsidRPr="008463F3">
        <w:rPr>
          <w:shd w:val="clear" w:color="auto" w:fill="FFFFFF"/>
          <w:lang w:val="en-GB"/>
        </w:rPr>
        <w:t xml:space="preserve"> in ERA have been creating and updating their Roadmaps of National RIs, following the lead of ESFRI.</w:t>
      </w:r>
      <w:r w:rsidRPr="008463F3">
        <w:rPr>
          <w:lang w:val="en-GB"/>
        </w:rPr>
        <w:t xml:space="preserve"> In line with this trend, Western Balkan economies (Montenegro and Serbia) have also recogni</w:t>
      </w:r>
      <w:r>
        <w:rPr>
          <w:lang w:val="en-GB"/>
        </w:rPr>
        <w:t>s</w:t>
      </w:r>
      <w:r w:rsidRPr="008463F3">
        <w:rPr>
          <w:lang w:val="en-GB"/>
        </w:rPr>
        <w:t>ed the importance of RIs for the national research ecosystem and economic development and finali</w:t>
      </w:r>
      <w:r>
        <w:rPr>
          <w:lang w:val="en-GB"/>
        </w:rPr>
        <w:t>s</w:t>
      </w:r>
      <w:r w:rsidRPr="008463F3">
        <w:rPr>
          <w:lang w:val="en-GB"/>
        </w:rPr>
        <w:t>ed the process of developing their own national RI Roadmaps.</w:t>
      </w:r>
    </w:p>
    <w:p w14:paraId="237E9A56" w14:textId="77777777" w:rsidR="007947BF" w:rsidRPr="008463F3" w:rsidRDefault="007947BF" w:rsidP="007947BF">
      <w:pPr>
        <w:jc w:val="both"/>
        <w:rPr>
          <w:lang w:val="en-GB"/>
        </w:rPr>
      </w:pPr>
      <w:r>
        <w:rPr>
          <w:lang w:val="en-GB"/>
        </w:rPr>
        <w:t>T</w:t>
      </w:r>
      <w:r w:rsidRPr="008463F3">
        <w:rPr>
          <w:lang w:val="en-GB"/>
        </w:rPr>
        <w:t xml:space="preserve">he final criteria for identifying RIs in North Macedonia </w:t>
      </w:r>
      <w:r>
        <w:rPr>
          <w:lang w:val="en-GB"/>
        </w:rPr>
        <w:t xml:space="preserve">reflect rather </w:t>
      </w:r>
      <w:r w:rsidRPr="008463F3">
        <w:rPr>
          <w:lang w:val="en-GB"/>
        </w:rPr>
        <w:t xml:space="preserve">modest condition of national research infrastructures. This means that due to the very small number of internationally relevant large research infrastructures, research infrastructure in this document implies research facilities and equipment within the scope of research institutions (universities and research institutes) whose purpose is to provide basic conditions for research activities. </w:t>
      </w:r>
    </w:p>
    <w:p w14:paraId="4AF3A1F8" w14:textId="77777777" w:rsidR="007947BF" w:rsidRPr="008463F3" w:rsidRDefault="007947BF" w:rsidP="007947BF">
      <w:pPr>
        <w:rPr>
          <w:shd w:val="clear" w:color="auto" w:fill="FFFFFF"/>
          <w:lang w:val="en-GB"/>
        </w:rPr>
      </w:pPr>
    </w:p>
    <w:p w14:paraId="7F9980EE" w14:textId="77777777" w:rsidR="007947BF" w:rsidRPr="008463F3" w:rsidRDefault="007947BF" w:rsidP="007947BF">
      <w:pPr>
        <w:pStyle w:val="Heading2"/>
        <w:spacing w:after="240"/>
        <w:rPr>
          <w:rFonts w:asciiTheme="minorHAnsi" w:hAnsiTheme="minorHAnsi"/>
          <w:shd w:val="clear" w:color="auto" w:fill="FFFFFF"/>
          <w:lang w:val="en-GB"/>
        </w:rPr>
      </w:pPr>
      <w:bookmarkStart w:id="9" w:name="_Toc61096324"/>
      <w:bookmarkStart w:id="10" w:name="_Toc77322023"/>
      <w:r w:rsidRPr="008463F3">
        <w:rPr>
          <w:rFonts w:asciiTheme="minorHAnsi" w:hAnsiTheme="minorHAnsi"/>
          <w:lang w:val="en-GB"/>
        </w:rPr>
        <w:t xml:space="preserve">1.3. </w:t>
      </w:r>
      <w:bookmarkEnd w:id="9"/>
      <w:r w:rsidRPr="008463F3">
        <w:rPr>
          <w:rFonts w:asciiTheme="minorHAnsi" w:hAnsiTheme="minorHAnsi"/>
          <w:lang w:val="en-GB"/>
        </w:rPr>
        <w:t>The background and methodology of creating the Research Infrastructure Roadmap</w:t>
      </w:r>
      <w:bookmarkEnd w:id="10"/>
    </w:p>
    <w:p w14:paraId="3EF4227F" w14:textId="77777777" w:rsidR="007947BF" w:rsidRPr="008463F3" w:rsidRDefault="007947BF" w:rsidP="007947BF">
      <w:pPr>
        <w:jc w:val="both"/>
        <w:rPr>
          <w:shd w:val="clear" w:color="auto" w:fill="FFFFFF"/>
          <w:lang w:val="en-GB"/>
        </w:rPr>
      </w:pPr>
      <w:r w:rsidRPr="008463F3">
        <w:rPr>
          <w:shd w:val="clear" w:color="auto" w:fill="FFFFFF"/>
          <w:lang w:val="en-GB"/>
        </w:rPr>
        <w:t xml:space="preserve">The RI Roadmap has been developed with technical assistance provided by the Regional Cooperation Council (RCC). RCC has provided technical and expert support to the Ministry of Education and Science </w:t>
      </w:r>
      <w:r>
        <w:rPr>
          <w:shd w:val="clear" w:color="auto" w:fill="FFFFFF"/>
          <w:lang w:val="en-GB"/>
        </w:rPr>
        <w:t>throughout the process</w:t>
      </w:r>
      <w:r w:rsidRPr="008463F3">
        <w:rPr>
          <w:shd w:val="clear" w:color="auto" w:fill="FFFFFF"/>
          <w:lang w:val="en-GB"/>
        </w:rPr>
        <w:t xml:space="preserve"> that resulted in the development of the final document. This support was provided in the framework of a broader action that included the provision of assistance to other Western Balkan economies with the final goal to contribute to creating the Western Balkans’ Roadmap of Research Infrastructures.</w:t>
      </w:r>
    </w:p>
    <w:p w14:paraId="36DC3BAD" w14:textId="77777777" w:rsidR="007947BF" w:rsidRPr="008463F3" w:rsidRDefault="007947BF" w:rsidP="007947BF">
      <w:pPr>
        <w:jc w:val="both"/>
        <w:rPr>
          <w:shd w:val="clear" w:color="auto" w:fill="FFFFFF"/>
          <w:lang w:val="en-GB"/>
        </w:rPr>
      </w:pPr>
      <w:r w:rsidRPr="008463F3">
        <w:rPr>
          <w:shd w:val="clear" w:color="auto" w:fill="FFFFFF"/>
          <w:lang w:val="en-GB"/>
        </w:rPr>
        <w:t xml:space="preserve">The RI Roadmap was </w:t>
      </w:r>
      <w:r>
        <w:rPr>
          <w:shd w:val="clear" w:color="auto" w:fill="FFFFFF"/>
          <w:lang w:val="en-GB"/>
        </w:rPr>
        <w:t>developed</w:t>
      </w:r>
      <w:r w:rsidRPr="008463F3">
        <w:rPr>
          <w:shd w:val="clear" w:color="auto" w:fill="FFFFFF"/>
          <w:lang w:val="en-GB"/>
        </w:rPr>
        <w:t xml:space="preserve"> by implementing two research methods: desk research and field research. </w:t>
      </w:r>
    </w:p>
    <w:p w14:paraId="39EA3803" w14:textId="77777777" w:rsidR="007947BF" w:rsidRPr="008463F3" w:rsidRDefault="007947BF" w:rsidP="007947BF">
      <w:pPr>
        <w:jc w:val="both"/>
        <w:rPr>
          <w:shd w:val="clear" w:color="auto" w:fill="FFFFFF"/>
          <w:lang w:val="en-GB"/>
        </w:rPr>
      </w:pPr>
      <w:r w:rsidRPr="008463F3">
        <w:rPr>
          <w:shd w:val="clear" w:color="auto" w:fill="FFFFFF"/>
          <w:lang w:val="en-GB"/>
        </w:rPr>
        <w:t xml:space="preserve">Desk research was conducted by analysing existing legal framework and policy documents in the area of research, technological development and innovation in North Macedonia. All documents that were subject of </w:t>
      </w:r>
      <w:r>
        <w:rPr>
          <w:shd w:val="clear" w:color="auto" w:fill="FFFFFF"/>
          <w:lang w:val="en-GB"/>
        </w:rPr>
        <w:t xml:space="preserve">the </w:t>
      </w:r>
      <w:r w:rsidRPr="008463F3">
        <w:rPr>
          <w:shd w:val="clear" w:color="auto" w:fill="FFFFFF"/>
          <w:lang w:val="en-GB"/>
        </w:rPr>
        <w:t xml:space="preserve">analysis are official and approved government documents </w:t>
      </w:r>
      <w:r>
        <w:rPr>
          <w:shd w:val="clear" w:color="auto" w:fill="FFFFFF"/>
          <w:lang w:val="en-GB"/>
        </w:rPr>
        <w:t>available</w:t>
      </w:r>
      <w:r w:rsidRPr="008463F3">
        <w:rPr>
          <w:shd w:val="clear" w:color="auto" w:fill="FFFFFF"/>
          <w:lang w:val="en-GB"/>
        </w:rPr>
        <w:t xml:space="preserve"> to the general public.</w:t>
      </w:r>
      <w:r w:rsidRPr="008463F3">
        <w:rPr>
          <w:lang w:val="en-GB"/>
        </w:rPr>
        <w:t xml:space="preserve"> </w:t>
      </w:r>
      <w:r w:rsidRPr="008463F3">
        <w:rPr>
          <w:shd w:val="clear" w:color="auto" w:fill="FFFFFF"/>
          <w:lang w:val="en-GB"/>
        </w:rPr>
        <w:t>The policy framework was analysed in the context of the current development of research infrastructures. The specific focus was on the current state of research sector; reviewing the existing research and innovation</w:t>
      </w:r>
      <w:r>
        <w:rPr>
          <w:shd w:val="clear" w:color="auto" w:fill="FFFFFF"/>
          <w:lang w:val="en-GB"/>
        </w:rPr>
        <w:t xml:space="preserve"> </w:t>
      </w:r>
      <w:r w:rsidRPr="008463F3">
        <w:rPr>
          <w:shd w:val="clear" w:color="auto" w:fill="FFFFFF"/>
          <w:lang w:val="en-GB"/>
        </w:rPr>
        <w:t>strategies; financial framework and the current status of the process of developing smart speciali</w:t>
      </w:r>
      <w:r>
        <w:rPr>
          <w:shd w:val="clear" w:color="auto" w:fill="FFFFFF"/>
          <w:lang w:val="en-GB"/>
        </w:rPr>
        <w:t>s</w:t>
      </w:r>
      <w:r w:rsidRPr="008463F3">
        <w:rPr>
          <w:shd w:val="clear" w:color="auto" w:fill="FFFFFF"/>
          <w:lang w:val="en-GB"/>
        </w:rPr>
        <w:t>ation strategy.</w:t>
      </w:r>
    </w:p>
    <w:p w14:paraId="69738E99" w14:textId="77777777" w:rsidR="007947BF" w:rsidRPr="008463F3" w:rsidRDefault="007947BF" w:rsidP="007947BF">
      <w:pPr>
        <w:jc w:val="both"/>
        <w:rPr>
          <w:shd w:val="clear" w:color="auto" w:fill="FFFFFF"/>
          <w:lang w:val="en-GB"/>
        </w:rPr>
      </w:pPr>
      <w:r w:rsidRPr="008463F3">
        <w:rPr>
          <w:shd w:val="clear" w:color="auto" w:fill="FFFFFF"/>
          <w:lang w:val="en-GB"/>
        </w:rPr>
        <w:t xml:space="preserve">Field research </w:t>
      </w:r>
      <w:r>
        <w:rPr>
          <w:shd w:val="clear" w:color="auto" w:fill="FFFFFF"/>
          <w:lang w:val="en-GB"/>
        </w:rPr>
        <w:t>involved</w:t>
      </w:r>
      <w:r w:rsidRPr="008463F3">
        <w:rPr>
          <w:shd w:val="clear" w:color="auto" w:fill="FFFFFF"/>
          <w:lang w:val="en-GB"/>
        </w:rPr>
        <w:t xml:space="preserve"> </w:t>
      </w:r>
      <w:r>
        <w:rPr>
          <w:shd w:val="clear" w:color="auto" w:fill="FFFFFF"/>
          <w:lang w:val="en-GB"/>
        </w:rPr>
        <w:t>sending out</w:t>
      </w:r>
      <w:r w:rsidRPr="008463F3">
        <w:rPr>
          <w:shd w:val="clear" w:color="auto" w:fill="FFFFFF"/>
          <w:lang w:val="en-GB"/>
        </w:rPr>
        <w:t xml:space="preserve"> a survey questionnaire to the research community to collect information on existing research infrastructures and equipment </w:t>
      </w:r>
      <w:r>
        <w:rPr>
          <w:shd w:val="clear" w:color="auto" w:fill="FFFFFF"/>
          <w:lang w:val="en-GB"/>
        </w:rPr>
        <w:t>of</w:t>
      </w:r>
      <w:r w:rsidRPr="008463F3">
        <w:rPr>
          <w:shd w:val="clear" w:color="auto" w:fill="FFFFFF"/>
          <w:lang w:val="en-GB"/>
        </w:rPr>
        <w:t xml:space="preserve"> national and international relevance. The Ministry of Education and Science of North Macedonia was in charge of </w:t>
      </w:r>
      <w:r>
        <w:rPr>
          <w:shd w:val="clear" w:color="auto" w:fill="FFFFFF"/>
          <w:lang w:val="en-GB"/>
        </w:rPr>
        <w:t>disseminating</w:t>
      </w:r>
      <w:r w:rsidRPr="008463F3">
        <w:rPr>
          <w:shd w:val="clear" w:color="auto" w:fill="FFFFFF"/>
          <w:lang w:val="en-GB"/>
        </w:rPr>
        <w:t xml:space="preserve"> </w:t>
      </w:r>
      <w:r>
        <w:rPr>
          <w:shd w:val="clear" w:color="auto" w:fill="FFFFFF"/>
          <w:lang w:val="en-GB"/>
        </w:rPr>
        <w:t xml:space="preserve">the </w:t>
      </w:r>
      <w:r w:rsidRPr="008463F3">
        <w:rPr>
          <w:shd w:val="clear" w:color="auto" w:fill="FFFFFF"/>
          <w:lang w:val="en-GB"/>
        </w:rPr>
        <w:t>questionnaires and gathering the answers that were processed and analysed by the team of external experts.</w:t>
      </w:r>
    </w:p>
    <w:p w14:paraId="113276AD" w14:textId="77777777" w:rsidR="007947BF" w:rsidRPr="008463F3" w:rsidRDefault="007947BF" w:rsidP="007947BF">
      <w:pPr>
        <w:jc w:val="both"/>
        <w:rPr>
          <w:shd w:val="clear" w:color="auto" w:fill="FFFFFF"/>
          <w:lang w:val="en-GB"/>
        </w:rPr>
      </w:pPr>
      <w:r w:rsidRPr="008463F3">
        <w:rPr>
          <w:shd w:val="clear" w:color="auto" w:fill="FFFFFF"/>
          <w:lang w:val="en-GB"/>
        </w:rPr>
        <w:t xml:space="preserve">The survey questionnaire is provided in Appendix 2 and detailed instruction for launching and conducting </w:t>
      </w:r>
      <w:r>
        <w:rPr>
          <w:shd w:val="clear" w:color="auto" w:fill="FFFFFF"/>
          <w:lang w:val="en-GB"/>
        </w:rPr>
        <w:t xml:space="preserve">the </w:t>
      </w:r>
      <w:r w:rsidRPr="008463F3">
        <w:rPr>
          <w:shd w:val="clear" w:color="auto" w:fill="FFFFFF"/>
          <w:lang w:val="en-GB"/>
        </w:rPr>
        <w:t xml:space="preserve">survey is provided in Appendix 3. The guide comprises detailed instructions for </w:t>
      </w:r>
      <w:r>
        <w:rPr>
          <w:shd w:val="clear" w:color="auto" w:fill="FFFFFF"/>
          <w:lang w:val="en-GB"/>
        </w:rPr>
        <w:t>sending out</w:t>
      </w:r>
      <w:r w:rsidRPr="008463F3">
        <w:rPr>
          <w:shd w:val="clear" w:color="auto" w:fill="FFFFFF"/>
          <w:lang w:val="en-GB"/>
        </w:rPr>
        <w:t xml:space="preserve"> </w:t>
      </w:r>
      <w:r>
        <w:rPr>
          <w:shd w:val="clear" w:color="auto" w:fill="FFFFFF"/>
          <w:lang w:val="en-GB"/>
        </w:rPr>
        <w:t xml:space="preserve">the </w:t>
      </w:r>
      <w:r w:rsidRPr="008463F3">
        <w:rPr>
          <w:shd w:val="clear" w:color="auto" w:fill="FFFFFF"/>
          <w:lang w:val="en-GB"/>
        </w:rPr>
        <w:t>questionnaire to the research community, gathering and processing necessary data, and integrati</w:t>
      </w:r>
      <w:r>
        <w:rPr>
          <w:shd w:val="clear" w:color="auto" w:fill="FFFFFF"/>
          <w:lang w:val="en-GB"/>
        </w:rPr>
        <w:t>ng</w:t>
      </w:r>
      <w:r w:rsidRPr="008463F3">
        <w:rPr>
          <w:shd w:val="clear" w:color="auto" w:fill="FFFFFF"/>
          <w:lang w:val="en-GB"/>
        </w:rPr>
        <w:t xml:space="preserve"> all responses that served as the main input for selection and mapping </w:t>
      </w:r>
      <w:r>
        <w:rPr>
          <w:shd w:val="clear" w:color="auto" w:fill="FFFFFF"/>
          <w:lang w:val="en-GB"/>
        </w:rPr>
        <w:t xml:space="preserve">of </w:t>
      </w:r>
      <w:r w:rsidRPr="008463F3">
        <w:rPr>
          <w:shd w:val="clear" w:color="auto" w:fill="FFFFFF"/>
          <w:lang w:val="en-GB"/>
        </w:rPr>
        <w:t>research infrastructures in North Macedonia.</w:t>
      </w:r>
    </w:p>
    <w:p w14:paraId="57FF7E52" w14:textId="77777777" w:rsidR="007947BF" w:rsidRPr="008463F3" w:rsidRDefault="007947BF" w:rsidP="007947BF">
      <w:pPr>
        <w:rPr>
          <w:shd w:val="clear" w:color="auto" w:fill="FFFFFF"/>
          <w:lang w:val="en-GB"/>
        </w:rPr>
      </w:pPr>
    </w:p>
    <w:p w14:paraId="7F9E07D2" w14:textId="77777777" w:rsidR="007947BF" w:rsidRPr="008463F3" w:rsidRDefault="007947BF" w:rsidP="007947BF">
      <w:pPr>
        <w:rPr>
          <w:shd w:val="clear" w:color="auto" w:fill="FFFFFF"/>
          <w:lang w:val="en-GB"/>
        </w:rPr>
      </w:pPr>
    </w:p>
    <w:p w14:paraId="6C9F030A" w14:textId="77777777" w:rsidR="007947BF" w:rsidRPr="008463F3" w:rsidRDefault="007947BF" w:rsidP="007947BF">
      <w:pPr>
        <w:rPr>
          <w:shd w:val="clear" w:color="auto" w:fill="FFFFFF"/>
          <w:lang w:val="en-GB"/>
        </w:rPr>
      </w:pPr>
    </w:p>
    <w:p w14:paraId="2B448B4C" w14:textId="77777777" w:rsidR="007947BF" w:rsidRPr="008463F3" w:rsidRDefault="007947BF" w:rsidP="007947BF">
      <w:pPr>
        <w:rPr>
          <w:rFonts w:eastAsiaTheme="majorEastAsia" w:cstheme="majorBidi"/>
          <w:b/>
          <w:bCs/>
          <w:color w:val="365F91" w:themeColor="accent1" w:themeShade="BF"/>
          <w:sz w:val="28"/>
          <w:szCs w:val="28"/>
          <w:shd w:val="clear" w:color="auto" w:fill="FFFFFF"/>
          <w:lang w:val="en-GB"/>
        </w:rPr>
      </w:pPr>
      <w:bookmarkStart w:id="11" w:name="_Toc61096325"/>
      <w:r w:rsidRPr="008463F3">
        <w:rPr>
          <w:shd w:val="clear" w:color="auto" w:fill="FFFFFF"/>
          <w:lang w:val="en-GB"/>
        </w:rPr>
        <w:br w:type="page"/>
      </w:r>
    </w:p>
    <w:p w14:paraId="7FA0B567" w14:textId="77777777" w:rsidR="007947BF" w:rsidRPr="008463F3" w:rsidRDefault="007947BF" w:rsidP="007947BF">
      <w:pPr>
        <w:pStyle w:val="Heading1"/>
        <w:spacing w:after="240"/>
        <w:rPr>
          <w:rFonts w:asciiTheme="minorHAnsi" w:hAnsiTheme="minorHAnsi"/>
          <w:shd w:val="clear" w:color="auto" w:fill="FFFFFF"/>
        </w:rPr>
      </w:pPr>
      <w:bookmarkStart w:id="12" w:name="_Toc77322024"/>
      <w:r w:rsidRPr="008463F3">
        <w:rPr>
          <w:rFonts w:asciiTheme="minorHAnsi" w:hAnsiTheme="minorHAnsi"/>
          <w:shd w:val="clear" w:color="auto" w:fill="FFFFFF"/>
        </w:rPr>
        <w:t xml:space="preserve">2. The current legal and policy </w:t>
      </w:r>
      <w:bookmarkEnd w:id="11"/>
      <w:r w:rsidRPr="008463F3">
        <w:rPr>
          <w:rFonts w:asciiTheme="minorHAnsi" w:hAnsiTheme="minorHAnsi"/>
          <w:shd w:val="clear" w:color="auto" w:fill="FFFFFF"/>
        </w:rPr>
        <w:t>framework for the development of research infrastructures</w:t>
      </w:r>
      <w:bookmarkEnd w:id="12"/>
    </w:p>
    <w:p w14:paraId="535C259B" w14:textId="77777777" w:rsidR="007947BF" w:rsidRPr="008463F3" w:rsidRDefault="007947BF" w:rsidP="007947BF">
      <w:pPr>
        <w:rPr>
          <w:shd w:val="clear" w:color="auto" w:fill="FFFFFF"/>
          <w:lang w:val="en-GB"/>
        </w:rPr>
      </w:pPr>
    </w:p>
    <w:p w14:paraId="111B8873" w14:textId="77777777" w:rsidR="007947BF" w:rsidRPr="008463F3" w:rsidRDefault="007947BF" w:rsidP="007947BF">
      <w:pPr>
        <w:jc w:val="both"/>
        <w:rPr>
          <w:lang w:val="en-GB"/>
        </w:rPr>
      </w:pPr>
      <w:r w:rsidRPr="008463F3">
        <w:rPr>
          <w:lang w:val="en-GB"/>
        </w:rPr>
        <w:t xml:space="preserve">The Ministry of Education and Science is responsible for the development of scientific research, higher education system and technological development. The legal framework for research activities in North Macedonia is defined by the Law on Scientific and Research Activity. This Law regulates the principles, purposes, scientific and research activities, entities of scientific and research activities and the manner of financing scientific and research activities. </w:t>
      </w:r>
      <w:r>
        <w:rPr>
          <w:lang w:val="en-GB"/>
        </w:rPr>
        <w:t>A</w:t>
      </w:r>
      <w:r w:rsidRPr="008463F3">
        <w:rPr>
          <w:lang w:val="en-GB"/>
        </w:rPr>
        <w:t xml:space="preserve">rticle 2 of this </w:t>
      </w:r>
      <w:r>
        <w:rPr>
          <w:lang w:val="en-GB"/>
        </w:rPr>
        <w:t>L</w:t>
      </w:r>
      <w:r w:rsidRPr="008463F3">
        <w:rPr>
          <w:lang w:val="en-GB"/>
        </w:rPr>
        <w:t xml:space="preserve">aw </w:t>
      </w:r>
      <w:r>
        <w:rPr>
          <w:lang w:val="en-GB"/>
        </w:rPr>
        <w:t xml:space="preserve">defines </w:t>
      </w:r>
      <w:r w:rsidRPr="008463F3">
        <w:rPr>
          <w:lang w:val="en-GB"/>
        </w:rPr>
        <w:t>the term Research infrastructures as follows:</w:t>
      </w:r>
    </w:p>
    <w:p w14:paraId="684E4EC9" w14:textId="77777777" w:rsidR="007947BF" w:rsidRPr="008463F3" w:rsidRDefault="007947BF" w:rsidP="007947BF">
      <w:pPr>
        <w:ind w:left="708"/>
        <w:jc w:val="both"/>
        <w:rPr>
          <w:lang w:val="en-GB"/>
        </w:rPr>
      </w:pPr>
      <w:r w:rsidRPr="008463F3">
        <w:rPr>
          <w:i/>
          <w:lang w:val="en-GB"/>
        </w:rPr>
        <w:t>“Scientific research infrastructures are facilities, laboratories and experimental stations, innovation centr</w:t>
      </w:r>
      <w:r>
        <w:rPr>
          <w:i/>
          <w:lang w:val="en-GB"/>
        </w:rPr>
        <w:t>e</w:t>
      </w:r>
      <w:r w:rsidRPr="008463F3">
        <w:rPr>
          <w:i/>
          <w:lang w:val="en-GB"/>
        </w:rPr>
        <w:t>s, computer centr</w:t>
      </w:r>
      <w:r>
        <w:rPr>
          <w:i/>
          <w:lang w:val="en-GB"/>
        </w:rPr>
        <w:t>e</w:t>
      </w:r>
      <w:r w:rsidRPr="008463F3">
        <w:rPr>
          <w:i/>
          <w:lang w:val="en-GB"/>
        </w:rPr>
        <w:t>s, scientific equipment, library information and referral centr</w:t>
      </w:r>
      <w:r>
        <w:rPr>
          <w:i/>
          <w:lang w:val="en-GB"/>
        </w:rPr>
        <w:t>e</w:t>
      </w:r>
      <w:r w:rsidRPr="008463F3">
        <w:rPr>
          <w:i/>
          <w:lang w:val="en-GB"/>
        </w:rPr>
        <w:t>s, archival and publishing documentation, as well as everything else that contributes to scientific research”</w:t>
      </w:r>
      <w:r w:rsidRPr="008463F3">
        <w:rPr>
          <w:lang w:val="en-GB"/>
        </w:rPr>
        <w:t>.</w:t>
      </w:r>
    </w:p>
    <w:p w14:paraId="1F3158E7" w14:textId="77777777" w:rsidR="007947BF" w:rsidRPr="008463F3" w:rsidRDefault="007947BF" w:rsidP="007947BF">
      <w:pPr>
        <w:jc w:val="both"/>
        <w:rPr>
          <w:lang w:val="en-GB"/>
        </w:rPr>
      </w:pPr>
      <w:r w:rsidRPr="008463F3">
        <w:rPr>
          <w:lang w:val="en-GB"/>
        </w:rPr>
        <w:t xml:space="preserve">According to this Law, the National Programme for Scientific and Research Activity of North Macedonia (hereinafter referred to as: the National Programme) arises from the </w:t>
      </w:r>
      <w:r>
        <w:rPr>
          <w:lang w:val="en-GB"/>
        </w:rPr>
        <w:t xml:space="preserve">strategic </w:t>
      </w:r>
      <w:r w:rsidRPr="008463F3">
        <w:rPr>
          <w:lang w:val="en-GB"/>
        </w:rPr>
        <w:t>national development documents. The National Programme has an important role in defining the progress directions and financing priorit</w:t>
      </w:r>
      <w:r>
        <w:rPr>
          <w:lang w:val="en-GB"/>
        </w:rPr>
        <w:t>y</w:t>
      </w:r>
      <w:r w:rsidRPr="008463F3">
        <w:rPr>
          <w:lang w:val="en-GB"/>
        </w:rPr>
        <w:t xml:space="preserve"> scientific and research activities; defining the basis, purposes, contents and scope of tasks in the field of science; coordination and implementation; planning the necessary research infrastructures</w:t>
      </w:r>
      <w:r>
        <w:rPr>
          <w:lang w:val="en-GB"/>
        </w:rPr>
        <w:t>;</w:t>
      </w:r>
      <w:r w:rsidRPr="008463F3">
        <w:rPr>
          <w:lang w:val="en-GB"/>
        </w:rPr>
        <w:t xml:space="preserve"> research staff</w:t>
      </w:r>
      <w:r>
        <w:rPr>
          <w:lang w:val="en-GB"/>
        </w:rPr>
        <w:t xml:space="preserve"> </w:t>
      </w:r>
      <w:r w:rsidRPr="008463F3">
        <w:rPr>
          <w:lang w:val="en-GB"/>
        </w:rPr>
        <w:t>planning</w:t>
      </w:r>
      <w:r>
        <w:rPr>
          <w:lang w:val="en-GB"/>
        </w:rPr>
        <w:t>;</w:t>
      </w:r>
      <w:r w:rsidRPr="008463F3">
        <w:rPr>
          <w:lang w:val="en-GB"/>
        </w:rPr>
        <w:t xml:space="preserve"> and defining indicators for monitoring and evaluation system.</w:t>
      </w:r>
    </w:p>
    <w:p w14:paraId="432C4E44" w14:textId="77777777" w:rsidR="007947BF" w:rsidRPr="008463F3" w:rsidRDefault="007947BF" w:rsidP="007947BF">
      <w:pPr>
        <w:jc w:val="both"/>
        <w:rPr>
          <w:lang w:val="en-GB"/>
        </w:rPr>
      </w:pPr>
      <w:r>
        <w:rPr>
          <w:lang w:val="en-GB"/>
        </w:rPr>
        <w:t>T</w:t>
      </w:r>
      <w:r w:rsidRPr="008463F3">
        <w:rPr>
          <w:lang w:val="en-GB"/>
        </w:rPr>
        <w:t xml:space="preserve">he National Council for Higher Education and Scientific Research </w:t>
      </w:r>
      <w:r>
        <w:rPr>
          <w:lang w:val="en-GB"/>
        </w:rPr>
        <w:t xml:space="preserve">is </w:t>
      </w:r>
      <w:r w:rsidRPr="008463F3">
        <w:rPr>
          <w:lang w:val="en-GB"/>
        </w:rPr>
        <w:t xml:space="preserve">an independent professional body composed of 15 members </w:t>
      </w:r>
      <w:r>
        <w:rPr>
          <w:lang w:val="en-GB"/>
        </w:rPr>
        <w:t>that</w:t>
      </w:r>
      <w:r w:rsidRPr="008463F3">
        <w:rPr>
          <w:lang w:val="en-GB"/>
        </w:rPr>
        <w:t xml:space="preserve"> should prepare a National Programme for Scientific and Research Activity of North Macedonia and the </w:t>
      </w:r>
      <w:r>
        <w:rPr>
          <w:lang w:val="en-GB"/>
        </w:rPr>
        <w:t xml:space="preserve">National </w:t>
      </w:r>
      <w:r w:rsidRPr="008463F3">
        <w:rPr>
          <w:lang w:val="en-GB"/>
        </w:rPr>
        <w:t xml:space="preserve">Assembly should adopt it. </w:t>
      </w:r>
    </w:p>
    <w:p w14:paraId="15C350F6" w14:textId="77777777" w:rsidR="007947BF" w:rsidRPr="008463F3" w:rsidRDefault="007947BF" w:rsidP="007947BF">
      <w:pPr>
        <w:jc w:val="both"/>
        <w:rPr>
          <w:lang w:val="en-GB"/>
        </w:rPr>
      </w:pPr>
      <w:r w:rsidRPr="008463F3">
        <w:rPr>
          <w:lang w:val="en-GB"/>
        </w:rPr>
        <w:t xml:space="preserve">A new Law on Scientific and Research Activities </w:t>
      </w:r>
      <w:r>
        <w:rPr>
          <w:lang w:val="en-GB"/>
        </w:rPr>
        <w:t>is under development with the aim</w:t>
      </w:r>
      <w:r w:rsidRPr="008463F3">
        <w:rPr>
          <w:lang w:val="en-GB"/>
        </w:rPr>
        <w:t xml:space="preserve"> to increase the level of public investment in scientific and research activities.</w:t>
      </w:r>
    </w:p>
    <w:p w14:paraId="0105A112" w14:textId="77777777" w:rsidR="007947BF" w:rsidRPr="008463F3" w:rsidRDefault="007947BF" w:rsidP="007947BF">
      <w:pPr>
        <w:jc w:val="both"/>
        <w:rPr>
          <w:lang w:val="en-GB"/>
        </w:rPr>
      </w:pPr>
      <w:r w:rsidRPr="008463F3">
        <w:rPr>
          <w:lang w:val="en-GB"/>
        </w:rPr>
        <w:t xml:space="preserve">The National Innovation Strategy 2012-2020 was successfully implemented </w:t>
      </w:r>
      <w:r>
        <w:rPr>
          <w:lang w:val="en-GB"/>
        </w:rPr>
        <w:t>by</w:t>
      </w:r>
      <w:r w:rsidRPr="008463F3">
        <w:rPr>
          <w:lang w:val="en-GB"/>
        </w:rPr>
        <w:t xml:space="preserve"> the Fund for Innovation and Technological Development and the Ministry of Education and Science. The Government is looking at the pros and cons of developing a new Innovation Strategy complementary to the Smart Speciali</w:t>
      </w:r>
      <w:r>
        <w:rPr>
          <w:lang w:val="en-GB"/>
        </w:rPr>
        <w:t>s</w:t>
      </w:r>
      <w:r w:rsidRPr="008463F3">
        <w:rPr>
          <w:lang w:val="en-GB"/>
        </w:rPr>
        <w:t>ation Strategy.</w:t>
      </w:r>
    </w:p>
    <w:p w14:paraId="5000EFC1" w14:textId="77777777" w:rsidR="007947BF" w:rsidRPr="008463F3" w:rsidRDefault="007947BF" w:rsidP="007947BF">
      <w:pPr>
        <w:jc w:val="both"/>
        <w:rPr>
          <w:lang w:val="en-GB"/>
        </w:rPr>
      </w:pPr>
      <w:r>
        <w:rPr>
          <w:lang w:val="en-GB"/>
        </w:rPr>
        <w:t>Over t</w:t>
      </w:r>
      <w:r w:rsidRPr="008463F3">
        <w:rPr>
          <w:lang w:val="en-GB"/>
        </w:rPr>
        <w:t xml:space="preserve">he last few years </w:t>
      </w:r>
      <w:r>
        <w:rPr>
          <w:lang w:val="en-GB"/>
        </w:rPr>
        <w:t>little</w:t>
      </w:r>
      <w:r w:rsidRPr="008463F3">
        <w:rPr>
          <w:lang w:val="en-GB"/>
        </w:rPr>
        <w:t xml:space="preserve"> attention </w:t>
      </w:r>
      <w:r>
        <w:rPr>
          <w:lang w:val="en-GB"/>
        </w:rPr>
        <w:t>was paid to</w:t>
      </w:r>
      <w:r w:rsidRPr="008463F3">
        <w:rPr>
          <w:lang w:val="en-GB"/>
        </w:rPr>
        <w:t xml:space="preserve"> formulating and implementing science and technology policy. There is no actual national strategic development document in the field of research and science and the last version of the National Programme expired a few years ago. Bearing this in mind, it is evident that the policy framework for development of research activities and research infrastructures does not exist. As a result, the science and technology innovation mechanism remain</w:t>
      </w:r>
      <w:r>
        <w:rPr>
          <w:lang w:val="en-GB"/>
        </w:rPr>
        <w:t>s</w:t>
      </w:r>
      <w:r w:rsidRPr="008463F3">
        <w:rPr>
          <w:lang w:val="en-GB"/>
        </w:rPr>
        <w:t xml:space="preserve"> underdeveloped and underutili</w:t>
      </w:r>
      <w:r>
        <w:rPr>
          <w:lang w:val="en-GB"/>
        </w:rPr>
        <w:t>s</w:t>
      </w:r>
      <w:r w:rsidRPr="008463F3">
        <w:rPr>
          <w:lang w:val="en-GB"/>
        </w:rPr>
        <w:t xml:space="preserve">ed as an instrument </w:t>
      </w:r>
      <w:r>
        <w:rPr>
          <w:lang w:val="en-GB"/>
        </w:rPr>
        <w:t>to</w:t>
      </w:r>
      <w:r w:rsidRPr="008463F3">
        <w:rPr>
          <w:lang w:val="en-GB"/>
        </w:rPr>
        <w:t xml:space="preserve"> advanc</w:t>
      </w:r>
      <w:r>
        <w:rPr>
          <w:lang w:val="en-GB"/>
        </w:rPr>
        <w:t>e</w:t>
      </w:r>
      <w:r w:rsidRPr="008463F3">
        <w:rPr>
          <w:lang w:val="en-GB"/>
        </w:rPr>
        <w:t xml:space="preserve"> the nation’s growth, economy and well-being.</w:t>
      </w:r>
    </w:p>
    <w:p w14:paraId="4EFA8C24" w14:textId="77777777" w:rsidR="007947BF" w:rsidRPr="008463F3" w:rsidRDefault="007947BF" w:rsidP="007947BF">
      <w:pPr>
        <w:pStyle w:val="Heading2"/>
        <w:spacing w:after="240"/>
        <w:rPr>
          <w:rFonts w:asciiTheme="minorHAnsi" w:hAnsiTheme="minorHAnsi"/>
          <w:shd w:val="clear" w:color="auto" w:fill="FFFFFF"/>
          <w:lang w:val="en-GB"/>
        </w:rPr>
      </w:pPr>
      <w:bookmarkStart w:id="13" w:name="_Toc61096330"/>
      <w:bookmarkStart w:id="14" w:name="_Toc77322025"/>
      <w:r w:rsidRPr="008463F3">
        <w:rPr>
          <w:rFonts w:asciiTheme="minorHAnsi" w:hAnsiTheme="minorHAnsi"/>
          <w:shd w:val="clear" w:color="auto" w:fill="FFFFFF"/>
          <w:lang w:val="en-GB"/>
        </w:rPr>
        <w:t xml:space="preserve">2.1. </w:t>
      </w:r>
      <w:bookmarkEnd w:id="13"/>
      <w:r w:rsidRPr="008463F3">
        <w:rPr>
          <w:rFonts w:asciiTheme="minorHAnsi" w:hAnsiTheme="minorHAnsi"/>
          <w:shd w:val="clear" w:color="auto" w:fill="FFFFFF"/>
          <w:lang w:val="en-GB"/>
        </w:rPr>
        <w:t>Financing research activities and research infrastructures</w:t>
      </w:r>
      <w:bookmarkEnd w:id="14"/>
    </w:p>
    <w:p w14:paraId="7CDF1BE3" w14:textId="77777777" w:rsidR="007947BF" w:rsidRPr="008463F3" w:rsidRDefault="007947BF" w:rsidP="007947BF">
      <w:pPr>
        <w:jc w:val="both"/>
        <w:rPr>
          <w:lang w:val="en-GB"/>
        </w:rPr>
      </w:pPr>
      <w:r w:rsidRPr="008463F3">
        <w:rPr>
          <w:lang w:val="en-GB"/>
        </w:rPr>
        <w:t xml:space="preserve">While developed </w:t>
      </w:r>
      <w:r>
        <w:rPr>
          <w:lang w:val="en-GB"/>
        </w:rPr>
        <w:t>states</w:t>
      </w:r>
      <w:r w:rsidRPr="008463F3">
        <w:rPr>
          <w:lang w:val="en-GB"/>
        </w:rPr>
        <w:t xml:space="preserve"> of the European Union strive to achieve the gross expenditures on research and development (GERD) of 3% of GDP, in the context of North Macedonia, these figures have been consistently low and experiencing a declining trend. Since 2014, GERD as a percentage of GDP has been falling constantly – from 0.51% in 2014 to 0</w:t>
      </w:r>
      <w:r>
        <w:rPr>
          <w:lang w:val="en-GB"/>
        </w:rPr>
        <w:t>.</w:t>
      </w:r>
      <w:r w:rsidRPr="008463F3">
        <w:rPr>
          <w:lang w:val="en-GB"/>
        </w:rPr>
        <w:t>36% in 2018</w:t>
      </w:r>
      <w:r w:rsidRPr="008463F3">
        <w:rPr>
          <w:rStyle w:val="FootnoteReference"/>
          <w:lang w:val="en-GB"/>
        </w:rPr>
        <w:footnoteReference w:id="4"/>
      </w:r>
      <w:r w:rsidRPr="008463F3">
        <w:rPr>
          <w:lang w:val="en-GB"/>
        </w:rPr>
        <w:t xml:space="preserve">. Overall investments in research and innovation (R&amp;I) in 2020 were 0.37% of GDP. The investments in R&amp;I consist essentially of funds allocated by the public sector (Government and Higher Education sector), with private sector participation </w:t>
      </w:r>
      <w:r>
        <w:rPr>
          <w:lang w:val="en-GB"/>
        </w:rPr>
        <w:t>i</w:t>
      </w:r>
      <w:r w:rsidRPr="008463F3">
        <w:rPr>
          <w:lang w:val="en-GB"/>
        </w:rPr>
        <w:t>n R&amp;I of 0.10% of GDP</w:t>
      </w:r>
      <w:r w:rsidRPr="008463F3">
        <w:rPr>
          <w:rStyle w:val="FootnoteReference"/>
          <w:lang w:val="en-GB"/>
        </w:rPr>
        <w:footnoteReference w:id="5"/>
      </w:r>
      <w:r w:rsidRPr="008463F3">
        <w:rPr>
          <w:lang w:val="en-GB"/>
        </w:rPr>
        <w:t xml:space="preserve">. Since 2011, The Ministry of Education and Science </w:t>
      </w:r>
      <w:r>
        <w:rPr>
          <w:lang w:val="en-GB"/>
        </w:rPr>
        <w:t xml:space="preserve">has been </w:t>
      </w:r>
      <w:r w:rsidRPr="008463F3">
        <w:rPr>
          <w:lang w:val="en-GB"/>
        </w:rPr>
        <w:t>continuously stimulat</w:t>
      </w:r>
      <w:r>
        <w:rPr>
          <w:lang w:val="en-GB"/>
        </w:rPr>
        <w:t>ing</w:t>
      </w:r>
      <w:r w:rsidRPr="008463F3">
        <w:rPr>
          <w:lang w:val="en-GB"/>
        </w:rPr>
        <w:t xml:space="preserve"> and financially support</w:t>
      </w:r>
      <w:r>
        <w:rPr>
          <w:lang w:val="en-GB"/>
        </w:rPr>
        <w:t>ing</w:t>
      </w:r>
      <w:r w:rsidRPr="008463F3">
        <w:rPr>
          <w:lang w:val="en-GB"/>
        </w:rPr>
        <w:t xml:space="preserve"> publication of scientific papers in international peer-reviewed journals such as Web of Science and Scopus. </w:t>
      </w:r>
    </w:p>
    <w:p w14:paraId="163DD95D" w14:textId="77777777" w:rsidR="007947BF" w:rsidRPr="008463F3" w:rsidRDefault="007947BF" w:rsidP="007947BF">
      <w:pPr>
        <w:jc w:val="both"/>
        <w:rPr>
          <w:lang w:val="en-GB"/>
        </w:rPr>
      </w:pPr>
      <w:r w:rsidRPr="008463F3">
        <w:rPr>
          <w:lang w:val="en-GB"/>
        </w:rPr>
        <w:t xml:space="preserve">Researchers from North Macedonia do not have access to the world's largest scientific databases such as Web of Science and Scopus. However, the Ministry of Education and Science has been continuously providing access to electronic databases of scientific journals. By 2019, access to 14 databases was provided, one of the most important of which is Academic Search. In 2019, access was upgraded with access to Academic Complete databases. This upgrade provided access to 14 databases of electronic scientific journals with impact factor </w:t>
      </w:r>
      <w:r>
        <w:rPr>
          <w:lang w:val="en-GB"/>
        </w:rPr>
        <w:t>of</w:t>
      </w:r>
      <w:r w:rsidRPr="008463F3">
        <w:rPr>
          <w:lang w:val="en-GB"/>
        </w:rPr>
        <w:t xml:space="preserve"> a total of over 57,000 journals, of which over 22,000 are full-text electronic journals in PDF format, </w:t>
      </w:r>
      <w:r>
        <w:rPr>
          <w:lang w:val="en-GB"/>
        </w:rPr>
        <w:t>and</w:t>
      </w:r>
      <w:r w:rsidRPr="008463F3">
        <w:rPr>
          <w:lang w:val="en-GB"/>
        </w:rPr>
        <w:t xml:space="preserve"> over 5,000 highly cited journals with an impact factor, available to researchers and students from higher education institutions and public scientific institutions in </w:t>
      </w:r>
      <w:r>
        <w:rPr>
          <w:lang w:val="en-GB"/>
        </w:rPr>
        <w:t xml:space="preserve">North </w:t>
      </w:r>
      <w:r w:rsidRPr="008463F3">
        <w:rPr>
          <w:lang w:val="en-GB"/>
        </w:rPr>
        <w:t>Macedonia.</w:t>
      </w:r>
    </w:p>
    <w:p w14:paraId="5DC88F0A" w14:textId="77777777" w:rsidR="007947BF" w:rsidRPr="008463F3" w:rsidRDefault="007947BF" w:rsidP="007947BF">
      <w:pPr>
        <w:spacing w:after="0"/>
        <w:jc w:val="both"/>
        <w:rPr>
          <w:lang w:val="en-GB"/>
        </w:rPr>
      </w:pPr>
      <w:r w:rsidRPr="008463F3">
        <w:rPr>
          <w:lang w:val="en-GB"/>
        </w:rPr>
        <w:t xml:space="preserve">Budget investments in research infrastructures </w:t>
      </w:r>
      <w:r>
        <w:rPr>
          <w:lang w:val="en-GB"/>
        </w:rPr>
        <w:t>(</w:t>
      </w:r>
      <w:r w:rsidRPr="008463F3">
        <w:rPr>
          <w:lang w:val="en-GB"/>
        </w:rPr>
        <w:t>funding for the procurement of research equipment by research laboratories</w:t>
      </w:r>
      <w:r>
        <w:rPr>
          <w:lang w:val="en-GB"/>
        </w:rPr>
        <w:t>)</w:t>
      </w:r>
      <w:r w:rsidRPr="008463F3">
        <w:rPr>
          <w:lang w:val="en-GB"/>
        </w:rPr>
        <w:t xml:space="preserve"> have been at a very low level in the last decade. However, it is important to mention "Equipping laboratories for scientific research and application activity" </w:t>
      </w:r>
      <w:r>
        <w:rPr>
          <w:lang w:val="en-GB"/>
        </w:rPr>
        <w:t xml:space="preserve">project </w:t>
      </w:r>
      <w:r w:rsidRPr="008463F3">
        <w:rPr>
          <w:lang w:val="en-GB"/>
        </w:rPr>
        <w:t xml:space="preserve">implemented by the Ministry of Education and Science in 2010 </w:t>
      </w:r>
      <w:r>
        <w:rPr>
          <w:lang w:val="en-GB"/>
        </w:rPr>
        <w:t xml:space="preserve">with an </w:t>
      </w:r>
      <w:r w:rsidRPr="008463F3">
        <w:rPr>
          <w:lang w:val="en-GB"/>
        </w:rPr>
        <w:t>aim to improve the research infrastructure capacities of the</w:t>
      </w:r>
      <w:r>
        <w:rPr>
          <w:lang w:val="en-GB"/>
        </w:rPr>
        <w:t xml:space="preserve"> public</w:t>
      </w:r>
      <w:r w:rsidRPr="008463F3">
        <w:rPr>
          <w:lang w:val="en-GB"/>
        </w:rPr>
        <w:t xml:space="preserve"> higher education institutions and research institutes. The specific goals of this project were: </w:t>
      </w:r>
    </w:p>
    <w:p w14:paraId="72244CB2" w14:textId="77777777" w:rsidR="007947BF" w:rsidRPr="008463F3" w:rsidRDefault="007947BF" w:rsidP="007947BF">
      <w:pPr>
        <w:pStyle w:val="ListParagraph"/>
        <w:numPr>
          <w:ilvl w:val="0"/>
          <w:numId w:val="17"/>
        </w:numPr>
        <w:jc w:val="both"/>
        <w:rPr>
          <w:lang w:val="en-GB"/>
        </w:rPr>
      </w:pPr>
      <w:r w:rsidRPr="008463F3">
        <w:rPr>
          <w:lang w:val="en-GB"/>
        </w:rPr>
        <w:t xml:space="preserve">equipping and strengthening the universities and other </w:t>
      </w:r>
      <w:r>
        <w:rPr>
          <w:lang w:val="en-GB"/>
        </w:rPr>
        <w:t>public</w:t>
      </w:r>
      <w:r w:rsidRPr="008463F3">
        <w:rPr>
          <w:lang w:val="en-GB"/>
        </w:rPr>
        <w:t xml:space="preserve"> educational institutions with the most modern technical equipment, </w:t>
      </w:r>
    </w:p>
    <w:p w14:paraId="759F2F3D" w14:textId="77777777" w:rsidR="007947BF" w:rsidRPr="008463F3" w:rsidRDefault="007947BF" w:rsidP="007947BF">
      <w:pPr>
        <w:pStyle w:val="ListParagraph"/>
        <w:numPr>
          <w:ilvl w:val="0"/>
          <w:numId w:val="17"/>
        </w:numPr>
        <w:jc w:val="both"/>
        <w:rPr>
          <w:lang w:val="en-GB"/>
        </w:rPr>
      </w:pPr>
      <w:r w:rsidRPr="008463F3">
        <w:rPr>
          <w:lang w:val="en-GB"/>
        </w:rPr>
        <w:t xml:space="preserve">supporting research institutions in the </w:t>
      </w:r>
      <w:r>
        <w:rPr>
          <w:lang w:val="en-GB"/>
        </w:rPr>
        <w:t>implementation</w:t>
      </w:r>
      <w:r w:rsidRPr="008463F3">
        <w:rPr>
          <w:lang w:val="en-GB"/>
        </w:rPr>
        <w:t xml:space="preserve"> of their scientific research projects, </w:t>
      </w:r>
    </w:p>
    <w:p w14:paraId="76E42A9F" w14:textId="77777777" w:rsidR="007947BF" w:rsidRPr="008463F3" w:rsidRDefault="007947BF" w:rsidP="007947BF">
      <w:pPr>
        <w:pStyle w:val="ListParagraph"/>
        <w:numPr>
          <w:ilvl w:val="0"/>
          <w:numId w:val="17"/>
        </w:numPr>
        <w:jc w:val="both"/>
        <w:rPr>
          <w:lang w:val="en-GB"/>
        </w:rPr>
      </w:pPr>
      <w:r w:rsidRPr="008463F3">
        <w:rPr>
          <w:lang w:val="en-GB"/>
        </w:rPr>
        <w:t>supporting the organi</w:t>
      </w:r>
      <w:r>
        <w:rPr>
          <w:lang w:val="en-GB"/>
        </w:rPr>
        <w:t>s</w:t>
      </w:r>
      <w:r w:rsidRPr="008463F3">
        <w:rPr>
          <w:lang w:val="en-GB"/>
        </w:rPr>
        <w:t xml:space="preserve">ation of practical classes for students, </w:t>
      </w:r>
    </w:p>
    <w:p w14:paraId="2A441285" w14:textId="77777777" w:rsidR="007947BF" w:rsidRPr="008463F3" w:rsidRDefault="007947BF" w:rsidP="007947BF">
      <w:pPr>
        <w:pStyle w:val="ListParagraph"/>
        <w:numPr>
          <w:ilvl w:val="0"/>
          <w:numId w:val="17"/>
        </w:numPr>
        <w:jc w:val="both"/>
        <w:rPr>
          <w:lang w:val="en-GB"/>
        </w:rPr>
      </w:pPr>
      <w:r w:rsidRPr="008463F3">
        <w:rPr>
          <w:lang w:val="en-GB"/>
        </w:rPr>
        <w:t>encouraging cooperation with the private sector and thus generating additional revenue for the involved institutions which would guarantee self-sustainability of these laboratories and the institution in general.</w:t>
      </w:r>
    </w:p>
    <w:p w14:paraId="10873C6E" w14:textId="77777777" w:rsidR="007947BF" w:rsidRPr="008463F3" w:rsidRDefault="007947BF" w:rsidP="007947BF">
      <w:pPr>
        <w:jc w:val="both"/>
        <w:rPr>
          <w:lang w:val="en-GB"/>
        </w:rPr>
      </w:pPr>
      <w:r w:rsidRPr="008463F3">
        <w:rPr>
          <w:lang w:val="en-GB"/>
        </w:rPr>
        <w:t xml:space="preserve">As a result of this project, a total of 80 research laboratories have been equipped with the research equipment of a total value of approximately 23 million euros. The final beneficiaries of the project were from the following research fields: Information Sciences; Technical and </w:t>
      </w:r>
      <w:r>
        <w:rPr>
          <w:lang w:val="en-GB"/>
        </w:rPr>
        <w:t>T</w:t>
      </w:r>
      <w:r w:rsidRPr="008463F3">
        <w:rPr>
          <w:lang w:val="en-GB"/>
        </w:rPr>
        <w:t xml:space="preserve">echnological </w:t>
      </w:r>
      <w:r>
        <w:rPr>
          <w:lang w:val="en-GB"/>
        </w:rPr>
        <w:t>S</w:t>
      </w:r>
      <w:r w:rsidRPr="008463F3">
        <w:rPr>
          <w:lang w:val="en-GB"/>
        </w:rPr>
        <w:t xml:space="preserve">ciences; Medical </w:t>
      </w:r>
      <w:r>
        <w:rPr>
          <w:lang w:val="en-GB"/>
        </w:rPr>
        <w:t>S</w:t>
      </w:r>
      <w:r w:rsidRPr="008463F3">
        <w:rPr>
          <w:lang w:val="en-GB"/>
        </w:rPr>
        <w:t xml:space="preserve">ciences; Natural Sciences and Mathematics; Biotechnical </w:t>
      </w:r>
      <w:r>
        <w:rPr>
          <w:lang w:val="en-GB"/>
        </w:rPr>
        <w:t>S</w:t>
      </w:r>
      <w:r w:rsidRPr="008463F3">
        <w:rPr>
          <w:lang w:val="en-GB"/>
        </w:rPr>
        <w:t>ciences; Humanities and Social Sciences.</w:t>
      </w:r>
    </w:p>
    <w:p w14:paraId="2F25FFB5" w14:textId="77777777" w:rsidR="007947BF" w:rsidRPr="008463F3" w:rsidRDefault="007947BF" w:rsidP="007947BF">
      <w:pPr>
        <w:jc w:val="both"/>
        <w:rPr>
          <w:lang w:val="en-GB"/>
        </w:rPr>
      </w:pPr>
      <w:r w:rsidRPr="008463F3">
        <w:rPr>
          <w:lang w:val="en-GB"/>
        </w:rPr>
        <w:t xml:space="preserve">Research laboratories operating within the Ss. Cyril and Methodius University in Skopje have obtained the highest share of financial funds for their research laboratories/institutes (77%), which was expected </w:t>
      </w:r>
      <w:r>
        <w:rPr>
          <w:lang w:val="en-GB"/>
        </w:rPr>
        <w:t>given that</w:t>
      </w:r>
      <w:r w:rsidRPr="008463F3">
        <w:rPr>
          <w:lang w:val="en-GB"/>
        </w:rPr>
        <w:t xml:space="preserve"> it is the largest and most important higher education institution in North Macedonia. About 11% of funds were allocated to </w:t>
      </w:r>
      <w:proofErr w:type="spellStart"/>
      <w:r w:rsidRPr="008463F3">
        <w:rPr>
          <w:lang w:val="en-GB"/>
        </w:rPr>
        <w:t>Goce</w:t>
      </w:r>
      <w:proofErr w:type="spellEnd"/>
      <w:r w:rsidRPr="008463F3">
        <w:rPr>
          <w:lang w:val="en-GB"/>
        </w:rPr>
        <w:t xml:space="preserve"> </w:t>
      </w:r>
      <w:proofErr w:type="spellStart"/>
      <w:r w:rsidRPr="008463F3">
        <w:rPr>
          <w:lang w:val="en-GB"/>
        </w:rPr>
        <w:t>Delchev</w:t>
      </w:r>
      <w:proofErr w:type="spellEnd"/>
      <w:r w:rsidRPr="008463F3">
        <w:rPr>
          <w:lang w:val="en-GB"/>
        </w:rPr>
        <w:t xml:space="preserve"> University and other universities obtained 5% or less (Graph 1). </w:t>
      </w:r>
    </w:p>
    <w:p w14:paraId="5FCFA1FC" w14:textId="77777777" w:rsidR="007947BF" w:rsidRPr="008463F3" w:rsidRDefault="007947BF" w:rsidP="007947BF">
      <w:pPr>
        <w:spacing w:after="0"/>
        <w:jc w:val="both"/>
        <w:rPr>
          <w:lang w:val="en-GB"/>
        </w:rPr>
      </w:pPr>
      <w:r w:rsidRPr="008463F3">
        <w:rPr>
          <w:b/>
          <w:lang w:val="en-GB"/>
        </w:rPr>
        <w:t>Graph 1</w:t>
      </w:r>
      <w:r w:rsidRPr="008463F3">
        <w:rPr>
          <w:lang w:val="en-GB"/>
        </w:rPr>
        <w:t>: Share of allocated funds by Universities within the project "Equipping laboratories for scientific research and application activity"</w:t>
      </w:r>
    </w:p>
    <w:p w14:paraId="3B863B94" w14:textId="77777777" w:rsidR="007947BF" w:rsidRPr="008463F3" w:rsidRDefault="007947BF" w:rsidP="007947BF">
      <w:pPr>
        <w:spacing w:after="0"/>
        <w:jc w:val="both"/>
        <w:rPr>
          <w:lang w:val="en-GB"/>
        </w:rPr>
      </w:pPr>
      <w:r w:rsidRPr="008463F3">
        <w:rPr>
          <w:noProof/>
          <w:lang w:val="en-US"/>
        </w:rPr>
        <w:drawing>
          <wp:inline distT="0" distB="0" distL="0" distR="0" wp14:anchorId="69F8889B" wp14:editId="7E9D9206">
            <wp:extent cx="5318760" cy="3329940"/>
            <wp:effectExtent l="0" t="0" r="15240" b="228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7A88059" w14:textId="77777777" w:rsidR="007947BF" w:rsidRPr="008463F3" w:rsidRDefault="007947BF" w:rsidP="007947BF">
      <w:pPr>
        <w:rPr>
          <w:sz w:val="20"/>
          <w:szCs w:val="20"/>
          <w:lang w:val="en-GB"/>
        </w:rPr>
      </w:pPr>
      <w:r w:rsidRPr="008463F3">
        <w:rPr>
          <w:sz w:val="20"/>
          <w:szCs w:val="20"/>
          <w:lang w:val="en-GB"/>
        </w:rPr>
        <w:t>Source: own calculations based on the data provided by the Ministry of Education and Science</w:t>
      </w:r>
    </w:p>
    <w:p w14:paraId="0650992C" w14:textId="77777777" w:rsidR="007947BF" w:rsidRPr="008463F3" w:rsidRDefault="007947BF" w:rsidP="007947BF">
      <w:pPr>
        <w:rPr>
          <w:sz w:val="20"/>
          <w:szCs w:val="20"/>
          <w:lang w:val="en-GB"/>
        </w:rPr>
      </w:pPr>
    </w:p>
    <w:p w14:paraId="5D10E15C" w14:textId="77777777" w:rsidR="007947BF" w:rsidRPr="008463F3" w:rsidRDefault="007947BF" w:rsidP="007947BF">
      <w:pPr>
        <w:pStyle w:val="Heading2"/>
        <w:spacing w:after="240"/>
        <w:rPr>
          <w:rFonts w:asciiTheme="minorHAnsi" w:hAnsiTheme="minorHAnsi"/>
          <w:lang w:val="en-GB"/>
        </w:rPr>
      </w:pPr>
      <w:bookmarkStart w:id="15" w:name="_Toc77322026"/>
      <w:r w:rsidRPr="008463F3">
        <w:rPr>
          <w:rFonts w:asciiTheme="minorHAnsi" w:hAnsiTheme="minorHAnsi"/>
          <w:lang w:val="en-GB"/>
        </w:rPr>
        <w:t>2.2. Current state of development of Smart Speciali</w:t>
      </w:r>
      <w:r>
        <w:rPr>
          <w:rFonts w:asciiTheme="minorHAnsi" w:hAnsiTheme="minorHAnsi"/>
          <w:lang w:val="en-GB"/>
        </w:rPr>
        <w:t>s</w:t>
      </w:r>
      <w:r w:rsidRPr="008463F3">
        <w:rPr>
          <w:rFonts w:asciiTheme="minorHAnsi" w:hAnsiTheme="minorHAnsi"/>
          <w:lang w:val="en-GB"/>
        </w:rPr>
        <w:t>ation Strategy</w:t>
      </w:r>
      <w:bookmarkEnd w:id="15"/>
    </w:p>
    <w:p w14:paraId="6BA25EFC" w14:textId="77777777" w:rsidR="007947BF" w:rsidRPr="008463F3" w:rsidRDefault="007947BF" w:rsidP="007947BF">
      <w:pPr>
        <w:jc w:val="both"/>
        <w:rPr>
          <w:lang w:val="en-GB"/>
        </w:rPr>
      </w:pPr>
      <w:r w:rsidRPr="008463F3">
        <w:rPr>
          <w:lang w:val="en-GB"/>
        </w:rPr>
        <w:t xml:space="preserve">The Smart Specialisation (S3) process in North Macedonia started in 2018. An inter-institutional working body was </w:t>
      </w:r>
      <w:r>
        <w:rPr>
          <w:lang w:val="en-GB"/>
        </w:rPr>
        <w:t>established</w:t>
      </w:r>
      <w:r w:rsidRPr="008463F3">
        <w:rPr>
          <w:lang w:val="en-GB"/>
        </w:rPr>
        <w:t xml:space="preserve">, consisting of representatives </w:t>
      </w:r>
      <w:r>
        <w:rPr>
          <w:lang w:val="en-GB"/>
        </w:rPr>
        <w:t>of</w:t>
      </w:r>
      <w:r w:rsidRPr="008463F3">
        <w:rPr>
          <w:lang w:val="en-GB"/>
        </w:rPr>
        <w:t xml:space="preserve"> the government, relevant ministries and academic community. The entire process of development of S3 is </w:t>
      </w:r>
      <w:r>
        <w:rPr>
          <w:lang w:val="en-GB"/>
        </w:rPr>
        <w:t>closely</w:t>
      </w:r>
      <w:r w:rsidRPr="008463F3">
        <w:rPr>
          <w:lang w:val="en-GB"/>
        </w:rPr>
        <w:t xml:space="preserve"> followed by the JRC methodological framework for smart specialisation in the EU enlargement and neighbourhood </w:t>
      </w:r>
      <w:r>
        <w:rPr>
          <w:lang w:val="en-GB"/>
        </w:rPr>
        <w:t xml:space="preserve"> economies</w:t>
      </w:r>
      <w:r w:rsidRPr="008463F3">
        <w:rPr>
          <w:lang w:val="en-GB"/>
        </w:rPr>
        <w:t xml:space="preserve"> (JRC S3 Framework).</w:t>
      </w:r>
    </w:p>
    <w:p w14:paraId="4F22DE36" w14:textId="77777777" w:rsidR="007947BF" w:rsidRPr="008463F3" w:rsidRDefault="007947BF" w:rsidP="007947BF">
      <w:pPr>
        <w:jc w:val="both"/>
        <w:rPr>
          <w:rFonts w:ascii="Calibri" w:eastAsia="Calibri" w:hAnsi="Calibri" w:cs="Times New Roman"/>
          <w:lang w:val="en-GB"/>
        </w:rPr>
      </w:pPr>
      <w:r w:rsidRPr="008463F3">
        <w:rPr>
          <w:rFonts w:ascii="Calibri" w:eastAsia="Calibri" w:hAnsi="Calibri" w:cs="Times New Roman"/>
          <w:lang w:val="en-GB"/>
        </w:rPr>
        <w:t xml:space="preserve">Following </w:t>
      </w:r>
      <w:r>
        <w:rPr>
          <w:rFonts w:ascii="Calibri" w:eastAsia="Calibri" w:hAnsi="Calibri" w:cs="Times New Roman"/>
          <w:lang w:val="en-GB"/>
        </w:rPr>
        <w:t>its</w:t>
      </w:r>
      <w:r w:rsidRPr="008463F3">
        <w:rPr>
          <w:rFonts w:ascii="Calibri" w:eastAsia="Calibri" w:hAnsi="Calibri" w:cs="Times New Roman"/>
          <w:lang w:val="en-GB"/>
        </w:rPr>
        <w:t xml:space="preserve"> methodology, </w:t>
      </w:r>
      <w:r>
        <w:rPr>
          <w:rFonts w:ascii="Calibri" w:eastAsia="Calibri" w:hAnsi="Calibri" w:cs="Times New Roman"/>
          <w:lang w:val="en-GB"/>
        </w:rPr>
        <w:t>and</w:t>
      </w:r>
      <w:r w:rsidRPr="008463F3">
        <w:rPr>
          <w:rFonts w:ascii="Calibri" w:eastAsia="Calibri" w:hAnsi="Calibri" w:cs="Times New Roman"/>
          <w:lang w:val="en-GB"/>
        </w:rPr>
        <w:t xml:space="preserve"> with </w:t>
      </w:r>
      <w:r>
        <w:rPr>
          <w:rFonts w:ascii="Calibri" w:eastAsia="Calibri" w:hAnsi="Calibri" w:cs="Times New Roman"/>
          <w:lang w:val="en-GB"/>
        </w:rPr>
        <w:t xml:space="preserve">the </w:t>
      </w:r>
      <w:r w:rsidRPr="008463F3">
        <w:rPr>
          <w:rFonts w:ascii="Calibri" w:eastAsia="Calibri" w:hAnsi="Calibri" w:cs="Times New Roman"/>
          <w:lang w:val="en-GB"/>
        </w:rPr>
        <w:t>support from GIZ, the National Centr</w:t>
      </w:r>
      <w:r>
        <w:rPr>
          <w:rFonts w:ascii="Calibri" w:eastAsia="Calibri" w:hAnsi="Calibri" w:cs="Times New Roman"/>
          <w:lang w:val="en-GB"/>
        </w:rPr>
        <w:t>e</w:t>
      </w:r>
      <w:r w:rsidRPr="008463F3">
        <w:rPr>
          <w:rFonts w:ascii="Calibri" w:eastAsia="Calibri" w:hAnsi="Calibri" w:cs="Times New Roman"/>
          <w:lang w:val="en-GB"/>
        </w:rPr>
        <w:t xml:space="preserve"> for Development of Innovation and Entrepreneurial Learning (NCDIEL) conducted the quantitative mapping as an assessment of the potential priority domains based on economic, innovation and scientific indicators.</w:t>
      </w:r>
    </w:p>
    <w:p w14:paraId="07B3906B" w14:textId="77777777" w:rsidR="007947BF" w:rsidRPr="008463F3" w:rsidRDefault="007947BF" w:rsidP="007947BF">
      <w:pPr>
        <w:jc w:val="both"/>
        <w:rPr>
          <w:rFonts w:ascii="Calibri" w:eastAsia="Calibri" w:hAnsi="Calibri" w:cs="Times New Roman"/>
          <w:lang w:val="en-GB"/>
        </w:rPr>
      </w:pPr>
      <w:r>
        <w:rPr>
          <w:rFonts w:ascii="Calibri" w:eastAsia="Calibri" w:hAnsi="Calibri" w:cs="Times New Roman"/>
          <w:lang w:val="en-GB"/>
        </w:rPr>
        <w:t xml:space="preserve">Furthermore, </w:t>
      </w:r>
      <w:r w:rsidRPr="008463F3">
        <w:rPr>
          <w:rFonts w:ascii="Calibri" w:eastAsia="Calibri" w:hAnsi="Calibri" w:cs="Times New Roman"/>
          <w:lang w:val="en-GB"/>
        </w:rPr>
        <w:t xml:space="preserve">in the period </w:t>
      </w:r>
      <w:r>
        <w:rPr>
          <w:rFonts w:ascii="Calibri" w:eastAsia="Calibri" w:hAnsi="Calibri" w:cs="Times New Roman"/>
          <w:lang w:val="en-GB"/>
        </w:rPr>
        <w:t xml:space="preserve">from </w:t>
      </w:r>
      <w:r w:rsidRPr="008463F3">
        <w:rPr>
          <w:rFonts w:ascii="Calibri" w:eastAsia="Calibri" w:hAnsi="Calibri" w:cs="Times New Roman"/>
          <w:lang w:val="en-GB"/>
        </w:rPr>
        <w:t xml:space="preserve">September 2020 </w:t>
      </w:r>
      <w:r>
        <w:rPr>
          <w:rFonts w:ascii="Calibri" w:eastAsia="Calibri" w:hAnsi="Calibri" w:cs="Times New Roman"/>
          <w:lang w:val="en-GB"/>
        </w:rPr>
        <w:t>to</w:t>
      </w:r>
      <w:r w:rsidRPr="008463F3">
        <w:rPr>
          <w:rFonts w:ascii="Calibri" w:eastAsia="Calibri" w:hAnsi="Calibri" w:cs="Times New Roman"/>
          <w:lang w:val="en-GB"/>
        </w:rPr>
        <w:t xml:space="preserve"> March 2021</w:t>
      </w:r>
      <w:r>
        <w:rPr>
          <w:rFonts w:ascii="Calibri" w:eastAsia="Calibri" w:hAnsi="Calibri" w:cs="Times New Roman"/>
          <w:lang w:val="en-GB"/>
        </w:rPr>
        <w:t xml:space="preserve"> a q</w:t>
      </w:r>
      <w:r w:rsidRPr="008463F3">
        <w:rPr>
          <w:rFonts w:ascii="Calibri" w:eastAsia="Calibri" w:hAnsi="Calibri" w:cs="Times New Roman"/>
          <w:lang w:val="en-GB"/>
        </w:rPr>
        <w:t xml:space="preserve">ualitative </w:t>
      </w:r>
      <w:r>
        <w:rPr>
          <w:rFonts w:ascii="Calibri" w:eastAsia="Calibri" w:hAnsi="Calibri" w:cs="Times New Roman"/>
          <w:lang w:val="en-GB"/>
        </w:rPr>
        <w:t>a</w:t>
      </w:r>
      <w:r w:rsidRPr="008463F3">
        <w:rPr>
          <w:rFonts w:ascii="Calibri" w:eastAsia="Calibri" w:hAnsi="Calibri" w:cs="Times New Roman"/>
          <w:lang w:val="en-GB"/>
        </w:rPr>
        <w:t xml:space="preserve">nalysis was </w:t>
      </w:r>
      <w:r>
        <w:rPr>
          <w:rFonts w:ascii="Calibri" w:eastAsia="Calibri" w:hAnsi="Calibri" w:cs="Times New Roman"/>
          <w:lang w:val="en-GB"/>
        </w:rPr>
        <w:t>carried out</w:t>
      </w:r>
      <w:r w:rsidRPr="008463F3">
        <w:rPr>
          <w:rFonts w:ascii="Calibri" w:eastAsia="Calibri" w:hAnsi="Calibri" w:cs="Times New Roman"/>
          <w:lang w:val="en-GB"/>
        </w:rPr>
        <w:t xml:space="preserve"> by an internal team from the Economic Chamber of North Macedonia (ECNM) with </w:t>
      </w:r>
      <w:r>
        <w:rPr>
          <w:rFonts w:ascii="Calibri" w:eastAsia="Calibri" w:hAnsi="Calibri" w:cs="Times New Roman"/>
          <w:lang w:val="en-GB"/>
        </w:rPr>
        <w:t xml:space="preserve">the </w:t>
      </w:r>
      <w:r w:rsidRPr="008463F3">
        <w:rPr>
          <w:rFonts w:ascii="Calibri" w:eastAsia="Calibri" w:hAnsi="Calibri" w:cs="Times New Roman"/>
          <w:lang w:val="en-GB"/>
        </w:rPr>
        <w:t xml:space="preserve">support of few external domestic experts and in close cooperation with the North Macedonia Smart Specialisation </w:t>
      </w:r>
      <w:r>
        <w:rPr>
          <w:rFonts w:ascii="Calibri" w:eastAsia="Calibri" w:hAnsi="Calibri" w:cs="Times New Roman"/>
          <w:lang w:val="en-GB"/>
        </w:rPr>
        <w:t>W</w:t>
      </w:r>
      <w:r w:rsidRPr="008463F3">
        <w:rPr>
          <w:rFonts w:ascii="Calibri" w:eastAsia="Calibri" w:hAnsi="Calibri" w:cs="Times New Roman"/>
          <w:lang w:val="en-GB"/>
        </w:rPr>
        <w:t xml:space="preserve">orking </w:t>
      </w:r>
      <w:r>
        <w:rPr>
          <w:rFonts w:ascii="Calibri" w:eastAsia="Calibri" w:hAnsi="Calibri" w:cs="Times New Roman"/>
          <w:lang w:val="en-GB"/>
        </w:rPr>
        <w:t>G</w:t>
      </w:r>
      <w:r w:rsidRPr="008463F3">
        <w:rPr>
          <w:rFonts w:ascii="Calibri" w:eastAsia="Calibri" w:hAnsi="Calibri" w:cs="Times New Roman"/>
          <w:lang w:val="en-GB"/>
        </w:rPr>
        <w:t xml:space="preserve">roup. </w:t>
      </w:r>
    </w:p>
    <w:p w14:paraId="0EB80156" w14:textId="77777777" w:rsidR="007947BF" w:rsidRPr="008463F3" w:rsidRDefault="007947BF" w:rsidP="007947BF">
      <w:pPr>
        <w:autoSpaceDE w:val="0"/>
        <w:autoSpaceDN w:val="0"/>
        <w:adjustRightInd w:val="0"/>
        <w:spacing w:after="0" w:line="240" w:lineRule="auto"/>
        <w:jc w:val="both"/>
        <w:rPr>
          <w:rFonts w:ascii="Calibri" w:eastAsia="Calibri" w:hAnsi="Calibri" w:cs="Times New Roman"/>
          <w:lang w:val="en-GB"/>
        </w:rPr>
      </w:pPr>
      <w:r w:rsidRPr="008463F3">
        <w:rPr>
          <w:rFonts w:ascii="Calibri" w:eastAsia="Calibri" w:hAnsi="Calibri" w:cs="Times New Roman"/>
          <w:lang w:val="en-GB"/>
        </w:rPr>
        <w:t>After processing all information obtained from a number of sources (conducted interviews, conclusions from focus group meetings, in-depth sectoral analysis and additional studies</w:t>
      </w:r>
      <w:r>
        <w:rPr>
          <w:rFonts w:ascii="Calibri" w:eastAsia="Calibri" w:hAnsi="Calibri" w:cs="Times New Roman"/>
          <w:lang w:val="en-GB"/>
        </w:rPr>
        <w:t>,</w:t>
      </w:r>
      <w:r w:rsidRPr="008463F3">
        <w:rPr>
          <w:rFonts w:ascii="Calibri" w:eastAsia="Calibri" w:hAnsi="Calibri" w:cs="Times New Roman"/>
          <w:lang w:val="en-GB"/>
        </w:rPr>
        <w:t xml:space="preserve"> etc.), the following vertical priority areas and subareas </w:t>
      </w:r>
      <w:r>
        <w:rPr>
          <w:rFonts w:ascii="Calibri" w:eastAsia="Calibri" w:hAnsi="Calibri" w:cs="Times New Roman"/>
          <w:lang w:val="en-GB"/>
        </w:rPr>
        <w:t>were</w:t>
      </w:r>
      <w:r w:rsidRPr="008463F3">
        <w:rPr>
          <w:rFonts w:ascii="Calibri" w:eastAsia="Calibri" w:hAnsi="Calibri" w:cs="Times New Roman"/>
          <w:lang w:val="en-GB"/>
        </w:rPr>
        <w:t xml:space="preserve"> proposed as a subject to further elaboration within EDP process: </w:t>
      </w:r>
    </w:p>
    <w:p w14:paraId="4417F704" w14:textId="77777777" w:rsidR="007947BF" w:rsidRPr="008463F3" w:rsidRDefault="007947BF" w:rsidP="007947BF">
      <w:pPr>
        <w:pStyle w:val="ListParagraph"/>
        <w:numPr>
          <w:ilvl w:val="0"/>
          <w:numId w:val="43"/>
        </w:numPr>
        <w:autoSpaceDE w:val="0"/>
        <w:autoSpaceDN w:val="0"/>
        <w:adjustRightInd w:val="0"/>
        <w:spacing w:after="25" w:line="240" w:lineRule="auto"/>
        <w:jc w:val="both"/>
        <w:rPr>
          <w:rFonts w:ascii="Calibri" w:eastAsia="Calibri" w:hAnsi="Calibri" w:cs="Times New Roman"/>
          <w:lang w:val="en-GB"/>
        </w:rPr>
      </w:pPr>
      <w:r w:rsidRPr="008463F3">
        <w:rPr>
          <w:rFonts w:ascii="Calibri" w:eastAsia="Calibri" w:hAnsi="Calibri" w:cs="Times New Roman"/>
          <w:lang w:val="en-GB"/>
        </w:rPr>
        <w:t xml:space="preserve">Smart agriculture and </w:t>
      </w:r>
      <w:r>
        <w:rPr>
          <w:rFonts w:ascii="Calibri" w:eastAsia="Calibri" w:hAnsi="Calibri" w:cs="Times New Roman"/>
          <w:lang w:val="en-GB"/>
        </w:rPr>
        <w:t>f</w:t>
      </w:r>
      <w:r w:rsidRPr="008463F3">
        <w:rPr>
          <w:rFonts w:ascii="Calibri" w:eastAsia="Calibri" w:hAnsi="Calibri" w:cs="Times New Roman"/>
          <w:lang w:val="en-GB"/>
        </w:rPr>
        <w:t xml:space="preserve">ood processing with high added value </w:t>
      </w:r>
    </w:p>
    <w:p w14:paraId="666C25D3" w14:textId="77777777" w:rsidR="007947BF" w:rsidRPr="008463F3" w:rsidRDefault="007947BF" w:rsidP="007947BF">
      <w:pPr>
        <w:numPr>
          <w:ilvl w:val="0"/>
          <w:numId w:val="41"/>
        </w:numPr>
        <w:autoSpaceDE w:val="0"/>
        <w:autoSpaceDN w:val="0"/>
        <w:adjustRightInd w:val="0"/>
        <w:spacing w:after="25" w:line="240" w:lineRule="auto"/>
        <w:jc w:val="both"/>
        <w:rPr>
          <w:rFonts w:ascii="Calibri" w:eastAsia="Calibri" w:hAnsi="Calibri" w:cs="Times New Roman"/>
          <w:lang w:val="en-GB"/>
        </w:rPr>
      </w:pPr>
      <w:r w:rsidRPr="008463F3">
        <w:rPr>
          <w:rFonts w:ascii="Calibri" w:eastAsia="Calibri" w:hAnsi="Calibri" w:cs="Times New Roman"/>
          <w:lang w:val="en-GB"/>
        </w:rPr>
        <w:t xml:space="preserve">Smart agriculture </w:t>
      </w:r>
    </w:p>
    <w:p w14:paraId="5DF3F388" w14:textId="77777777" w:rsidR="007947BF" w:rsidRPr="008463F3" w:rsidRDefault="007947BF" w:rsidP="007947BF">
      <w:pPr>
        <w:numPr>
          <w:ilvl w:val="0"/>
          <w:numId w:val="41"/>
        </w:numPr>
        <w:autoSpaceDE w:val="0"/>
        <w:autoSpaceDN w:val="0"/>
        <w:adjustRightInd w:val="0"/>
        <w:spacing w:after="25" w:line="240" w:lineRule="auto"/>
        <w:jc w:val="both"/>
        <w:rPr>
          <w:rFonts w:ascii="Calibri" w:eastAsia="Calibri" w:hAnsi="Calibri" w:cs="Times New Roman"/>
          <w:lang w:val="en-GB"/>
        </w:rPr>
      </w:pPr>
      <w:r w:rsidRPr="008463F3">
        <w:rPr>
          <w:rFonts w:ascii="Calibri" w:eastAsia="Calibri" w:hAnsi="Calibri" w:cs="Times New Roman"/>
          <w:lang w:val="en-GB"/>
        </w:rPr>
        <w:t xml:space="preserve">Food processing with high added value </w:t>
      </w:r>
    </w:p>
    <w:p w14:paraId="72D2871D" w14:textId="77777777" w:rsidR="007947BF" w:rsidRPr="008463F3" w:rsidRDefault="007947BF" w:rsidP="007947BF">
      <w:pPr>
        <w:pStyle w:val="ListParagraph"/>
        <w:numPr>
          <w:ilvl w:val="0"/>
          <w:numId w:val="43"/>
        </w:numPr>
        <w:autoSpaceDE w:val="0"/>
        <w:autoSpaceDN w:val="0"/>
        <w:adjustRightInd w:val="0"/>
        <w:spacing w:after="25" w:line="240" w:lineRule="auto"/>
        <w:jc w:val="both"/>
        <w:rPr>
          <w:rFonts w:ascii="Calibri" w:eastAsia="Calibri" w:hAnsi="Calibri" w:cs="Times New Roman"/>
          <w:lang w:val="en-GB"/>
        </w:rPr>
      </w:pPr>
      <w:r w:rsidRPr="008463F3">
        <w:rPr>
          <w:rFonts w:ascii="Calibri" w:eastAsia="Calibri" w:hAnsi="Calibri" w:cs="Times New Roman"/>
          <w:lang w:val="en-GB"/>
        </w:rPr>
        <w:t xml:space="preserve">Information and Communication </w:t>
      </w:r>
      <w:r>
        <w:rPr>
          <w:rFonts w:ascii="Calibri" w:eastAsia="Calibri" w:hAnsi="Calibri" w:cs="Times New Roman"/>
          <w:lang w:val="en-GB"/>
        </w:rPr>
        <w:t>T</w:t>
      </w:r>
      <w:r w:rsidRPr="008463F3">
        <w:rPr>
          <w:rFonts w:ascii="Calibri" w:eastAsia="Calibri" w:hAnsi="Calibri" w:cs="Times New Roman"/>
          <w:lang w:val="en-GB"/>
        </w:rPr>
        <w:t xml:space="preserve">echnologies (ICT) sector </w:t>
      </w:r>
    </w:p>
    <w:p w14:paraId="11965428" w14:textId="77777777" w:rsidR="007947BF" w:rsidRPr="008463F3" w:rsidRDefault="007947BF" w:rsidP="007947BF">
      <w:pPr>
        <w:numPr>
          <w:ilvl w:val="0"/>
          <w:numId w:val="42"/>
        </w:numPr>
        <w:autoSpaceDE w:val="0"/>
        <w:autoSpaceDN w:val="0"/>
        <w:adjustRightInd w:val="0"/>
        <w:spacing w:after="25" w:line="240" w:lineRule="auto"/>
        <w:jc w:val="both"/>
        <w:rPr>
          <w:rFonts w:ascii="Calibri" w:eastAsia="Calibri" w:hAnsi="Calibri" w:cs="Times New Roman"/>
          <w:lang w:val="en-GB"/>
        </w:rPr>
      </w:pPr>
      <w:r w:rsidRPr="008463F3">
        <w:rPr>
          <w:rFonts w:ascii="Calibri" w:eastAsia="Calibri" w:hAnsi="Calibri" w:cs="Times New Roman"/>
          <w:lang w:val="en-GB"/>
        </w:rPr>
        <w:t xml:space="preserve">Custom Software Development </w:t>
      </w:r>
    </w:p>
    <w:p w14:paraId="4F27364E" w14:textId="77777777" w:rsidR="007947BF" w:rsidRPr="008463F3" w:rsidRDefault="007947BF" w:rsidP="007947BF">
      <w:pPr>
        <w:pStyle w:val="ListParagraph"/>
        <w:numPr>
          <w:ilvl w:val="0"/>
          <w:numId w:val="43"/>
        </w:numPr>
        <w:autoSpaceDE w:val="0"/>
        <w:autoSpaceDN w:val="0"/>
        <w:adjustRightInd w:val="0"/>
        <w:spacing w:after="25" w:line="240" w:lineRule="auto"/>
        <w:jc w:val="both"/>
        <w:rPr>
          <w:rFonts w:ascii="Calibri" w:eastAsia="Calibri" w:hAnsi="Calibri" w:cs="Times New Roman"/>
          <w:lang w:val="en-GB"/>
        </w:rPr>
      </w:pPr>
      <w:r w:rsidRPr="008463F3">
        <w:rPr>
          <w:rFonts w:ascii="Calibri" w:eastAsia="Calibri" w:hAnsi="Calibri" w:cs="Times New Roman"/>
          <w:lang w:val="en-GB"/>
        </w:rPr>
        <w:t xml:space="preserve">Smart/Sustainable buildings and materials </w:t>
      </w:r>
    </w:p>
    <w:p w14:paraId="2E5B3BE2" w14:textId="77777777" w:rsidR="007947BF" w:rsidRPr="008463F3" w:rsidRDefault="007947BF" w:rsidP="007947BF">
      <w:pPr>
        <w:pStyle w:val="ListParagraph"/>
        <w:numPr>
          <w:ilvl w:val="0"/>
          <w:numId w:val="43"/>
        </w:numPr>
        <w:autoSpaceDE w:val="0"/>
        <w:autoSpaceDN w:val="0"/>
        <w:adjustRightInd w:val="0"/>
        <w:spacing w:after="0" w:line="240" w:lineRule="auto"/>
        <w:jc w:val="both"/>
        <w:rPr>
          <w:rFonts w:ascii="Calibri" w:eastAsia="Calibri" w:hAnsi="Calibri" w:cs="Times New Roman"/>
          <w:lang w:val="en-GB"/>
        </w:rPr>
      </w:pPr>
      <w:r w:rsidRPr="008463F3">
        <w:rPr>
          <w:rFonts w:ascii="Calibri" w:eastAsia="Calibri" w:hAnsi="Calibri" w:cs="Times New Roman"/>
          <w:lang w:val="en-GB"/>
        </w:rPr>
        <w:t xml:space="preserve">Electrical equipment &amp; machinery parts </w:t>
      </w:r>
    </w:p>
    <w:p w14:paraId="7D151601" w14:textId="77777777" w:rsidR="007947BF" w:rsidRPr="008463F3" w:rsidRDefault="007947BF" w:rsidP="007947BF">
      <w:pPr>
        <w:pStyle w:val="ListParagraph"/>
        <w:autoSpaceDE w:val="0"/>
        <w:autoSpaceDN w:val="0"/>
        <w:adjustRightInd w:val="0"/>
        <w:spacing w:after="0" w:line="240" w:lineRule="auto"/>
        <w:jc w:val="both"/>
        <w:rPr>
          <w:rFonts w:ascii="Calibri" w:eastAsia="Calibri" w:hAnsi="Calibri" w:cs="Times New Roman"/>
          <w:lang w:val="en-GB"/>
        </w:rPr>
      </w:pPr>
    </w:p>
    <w:p w14:paraId="2CFA1A74" w14:textId="77777777" w:rsidR="007947BF" w:rsidRPr="008463F3" w:rsidRDefault="007947BF" w:rsidP="007947BF">
      <w:pPr>
        <w:autoSpaceDE w:val="0"/>
        <w:autoSpaceDN w:val="0"/>
        <w:adjustRightInd w:val="0"/>
        <w:spacing w:after="0" w:line="240" w:lineRule="auto"/>
        <w:jc w:val="both"/>
        <w:rPr>
          <w:rFonts w:ascii="Calibri" w:eastAsia="Calibri" w:hAnsi="Calibri" w:cs="Calibri"/>
          <w:color w:val="000000"/>
          <w:sz w:val="20"/>
          <w:szCs w:val="20"/>
          <w:lang w:val="en-GB"/>
        </w:rPr>
      </w:pPr>
      <w:r w:rsidRPr="008463F3">
        <w:rPr>
          <w:rFonts w:ascii="Calibri" w:eastAsia="Calibri" w:hAnsi="Calibri" w:cs="Arial"/>
          <w:color w:val="000000"/>
          <w:lang w:val="en-GB"/>
        </w:rPr>
        <w:t>These four areas are proposed as vertical areas for smart speciali</w:t>
      </w:r>
      <w:r>
        <w:rPr>
          <w:rFonts w:ascii="Calibri" w:eastAsia="Calibri" w:hAnsi="Calibri" w:cs="Arial"/>
          <w:color w:val="000000"/>
          <w:lang w:val="en-GB"/>
        </w:rPr>
        <w:t>s</w:t>
      </w:r>
      <w:r w:rsidRPr="008463F3">
        <w:rPr>
          <w:rFonts w:ascii="Calibri" w:eastAsia="Calibri" w:hAnsi="Calibri" w:cs="Arial"/>
          <w:color w:val="000000"/>
          <w:lang w:val="en-GB"/>
        </w:rPr>
        <w:t>ation, having economic capacities, as well as scientific and innovative potentials to be further elaborated in order to create a new niche market for their speciali</w:t>
      </w:r>
      <w:r>
        <w:rPr>
          <w:rFonts w:ascii="Calibri" w:eastAsia="Calibri" w:hAnsi="Calibri" w:cs="Arial"/>
          <w:color w:val="000000"/>
          <w:lang w:val="en-GB"/>
        </w:rPr>
        <w:t>s</w:t>
      </w:r>
      <w:r w:rsidRPr="008463F3">
        <w:rPr>
          <w:rFonts w:ascii="Calibri" w:eastAsia="Calibri" w:hAnsi="Calibri" w:cs="Arial"/>
          <w:color w:val="000000"/>
          <w:lang w:val="en-GB"/>
        </w:rPr>
        <w:t xml:space="preserve">ation. </w:t>
      </w:r>
    </w:p>
    <w:p w14:paraId="11D591CF" w14:textId="77777777" w:rsidR="007947BF" w:rsidRPr="008463F3" w:rsidRDefault="007947BF" w:rsidP="007947BF">
      <w:pPr>
        <w:autoSpaceDE w:val="0"/>
        <w:autoSpaceDN w:val="0"/>
        <w:adjustRightInd w:val="0"/>
        <w:spacing w:after="0" w:line="240" w:lineRule="auto"/>
        <w:jc w:val="both"/>
        <w:rPr>
          <w:rFonts w:ascii="Calibri" w:eastAsia="Calibri" w:hAnsi="Calibri" w:cs="Calibri"/>
          <w:color w:val="000000"/>
          <w:sz w:val="20"/>
          <w:szCs w:val="20"/>
          <w:lang w:val="en-GB"/>
        </w:rPr>
      </w:pPr>
    </w:p>
    <w:p w14:paraId="4947787B" w14:textId="77777777" w:rsidR="007947BF" w:rsidRPr="008463F3" w:rsidRDefault="007947BF" w:rsidP="007947BF">
      <w:pPr>
        <w:autoSpaceDE w:val="0"/>
        <w:autoSpaceDN w:val="0"/>
        <w:adjustRightInd w:val="0"/>
        <w:spacing w:after="0" w:line="240" w:lineRule="auto"/>
        <w:jc w:val="both"/>
        <w:rPr>
          <w:rFonts w:ascii="Calibri" w:eastAsia="Calibri" w:hAnsi="Calibri" w:cs="Arial"/>
          <w:color w:val="000000"/>
          <w:lang w:val="en-GB"/>
        </w:rPr>
      </w:pPr>
      <w:r w:rsidRPr="008463F3">
        <w:rPr>
          <w:rFonts w:ascii="Calibri" w:eastAsia="Calibri" w:hAnsi="Calibri" w:cs="Arial"/>
          <w:color w:val="000000"/>
          <w:lang w:val="en-GB"/>
        </w:rPr>
        <w:t>The area for smart speciali</w:t>
      </w:r>
      <w:r>
        <w:rPr>
          <w:rFonts w:ascii="Calibri" w:eastAsia="Calibri" w:hAnsi="Calibri" w:cs="Arial"/>
          <w:color w:val="000000"/>
          <w:lang w:val="en-GB"/>
        </w:rPr>
        <w:t>s</w:t>
      </w:r>
      <w:r w:rsidRPr="008463F3">
        <w:rPr>
          <w:rFonts w:ascii="Calibri" w:eastAsia="Calibri" w:hAnsi="Calibri" w:cs="Arial"/>
          <w:color w:val="000000"/>
          <w:lang w:val="en-GB"/>
        </w:rPr>
        <w:t xml:space="preserve">ation named </w:t>
      </w:r>
      <w:r w:rsidRPr="008463F3">
        <w:rPr>
          <w:rFonts w:ascii="Calibri" w:eastAsia="Calibri" w:hAnsi="Calibri" w:cs="Arial"/>
          <w:b/>
          <w:bCs/>
          <w:color w:val="000000"/>
          <w:lang w:val="en-GB"/>
        </w:rPr>
        <w:t xml:space="preserve">Energy for the future </w:t>
      </w:r>
      <w:r w:rsidRPr="008463F3">
        <w:rPr>
          <w:rFonts w:ascii="Calibri" w:eastAsia="Calibri" w:hAnsi="Calibri" w:cs="Arial"/>
          <w:color w:val="000000"/>
          <w:lang w:val="en-GB"/>
        </w:rPr>
        <w:t>is considered a horizontal one, because it has strong cross</w:t>
      </w:r>
      <w:r>
        <w:rPr>
          <w:rFonts w:ascii="Calibri" w:eastAsia="Calibri" w:hAnsi="Calibri" w:cs="Arial"/>
          <w:color w:val="000000"/>
          <w:lang w:val="en-GB"/>
        </w:rPr>
        <w:t>-</w:t>
      </w:r>
      <w:r w:rsidRPr="008463F3">
        <w:rPr>
          <w:rFonts w:ascii="Calibri" w:eastAsia="Calibri" w:hAnsi="Calibri" w:cs="Arial"/>
          <w:color w:val="000000"/>
          <w:lang w:val="en-GB"/>
        </w:rPr>
        <w:t xml:space="preserve">sectoral relations with other proposed priority areas and is in line with the process of greening the industry and protection of environment. </w:t>
      </w:r>
    </w:p>
    <w:p w14:paraId="55E5EF0F" w14:textId="77777777" w:rsidR="007947BF" w:rsidRPr="008463F3" w:rsidRDefault="007947BF" w:rsidP="007947BF">
      <w:pPr>
        <w:autoSpaceDE w:val="0"/>
        <w:autoSpaceDN w:val="0"/>
        <w:adjustRightInd w:val="0"/>
        <w:spacing w:after="0" w:line="240" w:lineRule="auto"/>
        <w:jc w:val="both"/>
        <w:rPr>
          <w:rFonts w:ascii="Calibri" w:eastAsia="Calibri" w:hAnsi="Calibri" w:cs="Calibri"/>
          <w:color w:val="000000"/>
          <w:sz w:val="20"/>
          <w:szCs w:val="20"/>
          <w:lang w:val="en-GB"/>
        </w:rPr>
      </w:pPr>
    </w:p>
    <w:p w14:paraId="7110ED42" w14:textId="77777777" w:rsidR="007947BF" w:rsidRPr="008463F3" w:rsidRDefault="007947BF" w:rsidP="007947BF">
      <w:pPr>
        <w:jc w:val="both"/>
        <w:rPr>
          <w:rFonts w:ascii="Calibri" w:eastAsia="Calibri" w:hAnsi="Calibri" w:cs="Times New Roman"/>
          <w:lang w:val="en-GB"/>
        </w:rPr>
      </w:pPr>
      <w:r w:rsidRPr="008463F3">
        <w:rPr>
          <w:rFonts w:ascii="Calibri" w:eastAsia="Calibri" w:hAnsi="Calibri" w:cs="Times New Roman"/>
          <w:lang w:val="en-GB"/>
        </w:rPr>
        <w:t xml:space="preserve">Also, </w:t>
      </w:r>
      <w:r w:rsidRPr="008463F3">
        <w:rPr>
          <w:rFonts w:ascii="Calibri" w:eastAsia="Calibri" w:hAnsi="Calibri" w:cs="Times New Roman"/>
          <w:b/>
          <w:bCs/>
          <w:lang w:val="en-GB"/>
        </w:rPr>
        <w:t>Sustainable tourism and catering</w:t>
      </w:r>
      <w:r w:rsidRPr="008F3AC9">
        <w:rPr>
          <w:rFonts w:ascii="Calibri" w:eastAsia="Calibri" w:hAnsi="Calibri" w:cs="Times New Roman"/>
          <w:bCs/>
          <w:lang w:val="en-GB"/>
        </w:rPr>
        <w:t>,</w:t>
      </w:r>
      <w:r w:rsidRPr="008463F3">
        <w:rPr>
          <w:rFonts w:ascii="Calibri" w:eastAsia="Calibri" w:hAnsi="Calibri" w:cs="Times New Roman"/>
          <w:b/>
          <w:bCs/>
          <w:lang w:val="en-GB"/>
        </w:rPr>
        <w:t xml:space="preserve"> </w:t>
      </w:r>
      <w:r w:rsidRPr="007B1A30">
        <w:rPr>
          <w:rFonts w:ascii="Calibri" w:eastAsia="Calibri" w:hAnsi="Calibri" w:cs="Times New Roman"/>
          <w:bCs/>
          <w:lang w:val="en-GB"/>
        </w:rPr>
        <w:t>a</w:t>
      </w:r>
      <w:r w:rsidRPr="008463F3">
        <w:rPr>
          <w:rFonts w:ascii="Calibri" w:eastAsia="Calibri" w:hAnsi="Calibri" w:cs="Times New Roman"/>
          <w:lang w:val="en-GB"/>
        </w:rPr>
        <w:t>s a preliminary proposed area with a significant contribution to the Macedonian economy and a critical mass of firms with development potentials, will be additionally explored during the EDP process in order to provide a clearer picture whether this preliminary area has enough potentials for smart speciali</w:t>
      </w:r>
      <w:r>
        <w:rPr>
          <w:rFonts w:ascii="Calibri" w:eastAsia="Calibri" w:hAnsi="Calibri" w:cs="Times New Roman"/>
          <w:lang w:val="en-GB"/>
        </w:rPr>
        <w:t>s</w:t>
      </w:r>
      <w:r w:rsidRPr="008463F3">
        <w:rPr>
          <w:rFonts w:ascii="Calibri" w:eastAsia="Calibri" w:hAnsi="Calibri" w:cs="Times New Roman"/>
          <w:lang w:val="en-GB"/>
        </w:rPr>
        <w:t>ation. The EDP process is expected to start in the middle of 2021.</w:t>
      </w:r>
    </w:p>
    <w:p w14:paraId="316B02E0" w14:textId="77777777" w:rsidR="007947BF" w:rsidRPr="008463F3" w:rsidRDefault="007947BF" w:rsidP="007947BF">
      <w:pPr>
        <w:jc w:val="both"/>
        <w:rPr>
          <w:lang w:val="en-GB"/>
        </w:rPr>
      </w:pPr>
      <w:r w:rsidRPr="008463F3">
        <w:rPr>
          <w:lang w:val="en-GB"/>
        </w:rPr>
        <w:t xml:space="preserve">Having in mind that North Macedonia is in the process of </w:t>
      </w:r>
      <w:r>
        <w:rPr>
          <w:lang w:val="en-GB"/>
        </w:rPr>
        <w:t>identifying</w:t>
      </w:r>
      <w:r w:rsidRPr="008463F3">
        <w:rPr>
          <w:lang w:val="en-GB"/>
        </w:rPr>
        <w:t xml:space="preserve"> priority domains for the future, the mapping of research infrastructures takes </w:t>
      </w:r>
      <w:r>
        <w:rPr>
          <w:lang w:val="en-GB"/>
        </w:rPr>
        <w:t xml:space="preserve">on </w:t>
      </w:r>
      <w:r w:rsidRPr="008463F3">
        <w:rPr>
          <w:lang w:val="en-GB"/>
        </w:rPr>
        <w:t>an important role as it provides the framework for analysis of research potential and indicates how key national research infrastructures can influence the strengthening of research and innovation as critically important elements of national development. Therefore, the process of mapping Research Infrastructures and developing RI Roadmap is an important element of the process of preparing the S3 and is the basis for the preparation of future activities of the instruments in this field.</w:t>
      </w:r>
    </w:p>
    <w:p w14:paraId="715A15A0" w14:textId="77777777" w:rsidR="007947BF" w:rsidRPr="008463F3" w:rsidRDefault="007947BF" w:rsidP="007947BF">
      <w:pPr>
        <w:jc w:val="both"/>
        <w:rPr>
          <w:lang w:val="en-GB"/>
        </w:rPr>
      </w:pPr>
    </w:p>
    <w:p w14:paraId="27FC9B8E" w14:textId="77777777" w:rsidR="007947BF" w:rsidRPr="008463F3" w:rsidRDefault="007947BF" w:rsidP="007947BF">
      <w:pPr>
        <w:jc w:val="both"/>
        <w:rPr>
          <w:lang w:val="en-GB"/>
        </w:rPr>
      </w:pPr>
    </w:p>
    <w:p w14:paraId="20E856F4" w14:textId="77777777" w:rsidR="007947BF" w:rsidRPr="008463F3" w:rsidRDefault="007947BF" w:rsidP="007947BF">
      <w:pPr>
        <w:jc w:val="both"/>
        <w:rPr>
          <w:lang w:val="en-GB"/>
        </w:rPr>
      </w:pPr>
    </w:p>
    <w:p w14:paraId="0C5C833E" w14:textId="77777777" w:rsidR="007947BF" w:rsidRPr="008463F3" w:rsidRDefault="007947BF" w:rsidP="007947BF">
      <w:pPr>
        <w:jc w:val="both"/>
        <w:rPr>
          <w:lang w:val="en-GB"/>
        </w:rPr>
      </w:pPr>
    </w:p>
    <w:p w14:paraId="5423A8A1" w14:textId="77777777" w:rsidR="007947BF" w:rsidRPr="008463F3" w:rsidRDefault="007947BF" w:rsidP="007947BF">
      <w:pPr>
        <w:jc w:val="both"/>
        <w:rPr>
          <w:lang w:val="en-GB"/>
        </w:rPr>
      </w:pPr>
    </w:p>
    <w:p w14:paraId="770910C9" w14:textId="77777777" w:rsidR="007947BF" w:rsidRPr="008463F3" w:rsidRDefault="007947BF" w:rsidP="007947BF">
      <w:pPr>
        <w:jc w:val="both"/>
        <w:rPr>
          <w:lang w:val="en-GB"/>
        </w:rPr>
      </w:pPr>
    </w:p>
    <w:p w14:paraId="31D5E93B" w14:textId="77777777" w:rsidR="007947BF" w:rsidRPr="008463F3" w:rsidRDefault="007947BF" w:rsidP="007947BF">
      <w:pPr>
        <w:rPr>
          <w:rFonts w:eastAsiaTheme="majorEastAsia" w:cstheme="majorBidi"/>
          <w:b/>
          <w:bCs/>
          <w:color w:val="365F91" w:themeColor="accent1" w:themeShade="BF"/>
          <w:sz w:val="28"/>
          <w:szCs w:val="28"/>
          <w:shd w:val="clear" w:color="auto" w:fill="FFFFFF"/>
          <w:lang w:val="en-GB"/>
        </w:rPr>
      </w:pPr>
      <w:bookmarkStart w:id="16" w:name="_Toc61096327"/>
      <w:r w:rsidRPr="008463F3">
        <w:rPr>
          <w:shd w:val="clear" w:color="auto" w:fill="FFFFFF"/>
          <w:lang w:val="en-GB"/>
        </w:rPr>
        <w:br w:type="page"/>
      </w:r>
    </w:p>
    <w:p w14:paraId="766139CC" w14:textId="77777777" w:rsidR="007947BF" w:rsidRPr="008463F3" w:rsidRDefault="007947BF" w:rsidP="007947BF">
      <w:pPr>
        <w:pStyle w:val="Heading1"/>
        <w:spacing w:after="240"/>
        <w:rPr>
          <w:rFonts w:asciiTheme="minorHAnsi" w:hAnsiTheme="minorHAnsi"/>
          <w:shd w:val="clear" w:color="auto" w:fill="FFFFFF"/>
        </w:rPr>
      </w:pPr>
      <w:bookmarkStart w:id="17" w:name="_Toc77322027"/>
      <w:r w:rsidRPr="008463F3">
        <w:rPr>
          <w:rFonts w:asciiTheme="minorHAnsi" w:hAnsiTheme="minorHAnsi"/>
          <w:shd w:val="clear" w:color="auto" w:fill="FFFFFF"/>
        </w:rPr>
        <w:t xml:space="preserve">3. </w:t>
      </w:r>
      <w:bookmarkEnd w:id="16"/>
      <w:r w:rsidRPr="008463F3">
        <w:rPr>
          <w:rFonts w:asciiTheme="minorHAnsi" w:hAnsiTheme="minorHAnsi"/>
          <w:shd w:val="clear" w:color="auto" w:fill="FFFFFF"/>
        </w:rPr>
        <w:t>Participation of North Macedonia in EU research programmes</w:t>
      </w:r>
      <w:bookmarkEnd w:id="17"/>
    </w:p>
    <w:p w14:paraId="0AF33E40" w14:textId="77777777" w:rsidR="007947BF" w:rsidRPr="008463F3" w:rsidRDefault="007947BF" w:rsidP="007947BF">
      <w:pPr>
        <w:jc w:val="both"/>
        <w:rPr>
          <w:lang w:val="en-GB"/>
        </w:rPr>
      </w:pPr>
      <w:r w:rsidRPr="008463F3">
        <w:rPr>
          <w:lang w:val="en-GB"/>
        </w:rPr>
        <w:t xml:space="preserve">North Macedonia </w:t>
      </w:r>
      <w:r>
        <w:rPr>
          <w:lang w:val="en-GB"/>
        </w:rPr>
        <w:t xml:space="preserve">has been </w:t>
      </w:r>
      <w:r w:rsidRPr="008463F3">
        <w:rPr>
          <w:lang w:val="en-GB"/>
        </w:rPr>
        <w:t>participat</w:t>
      </w:r>
      <w:r>
        <w:rPr>
          <w:lang w:val="en-GB"/>
        </w:rPr>
        <w:t>ing</w:t>
      </w:r>
      <w:r w:rsidRPr="008463F3">
        <w:rPr>
          <w:lang w:val="en-GB"/>
        </w:rPr>
        <w:t xml:space="preserve"> in the EU Framework </w:t>
      </w:r>
      <w:r>
        <w:rPr>
          <w:lang w:val="en-GB"/>
        </w:rPr>
        <w:t>P</w:t>
      </w:r>
      <w:r w:rsidRPr="008463F3">
        <w:rPr>
          <w:lang w:val="en-GB"/>
        </w:rPr>
        <w:t xml:space="preserve">rogramme for </w:t>
      </w:r>
      <w:r>
        <w:rPr>
          <w:lang w:val="en-GB"/>
        </w:rPr>
        <w:t>R</w:t>
      </w:r>
      <w:r w:rsidRPr="008463F3">
        <w:rPr>
          <w:lang w:val="en-GB"/>
        </w:rPr>
        <w:t xml:space="preserve">esearch, </w:t>
      </w:r>
      <w:r>
        <w:rPr>
          <w:lang w:val="en-GB"/>
        </w:rPr>
        <w:t>T</w:t>
      </w:r>
      <w:r w:rsidRPr="008463F3">
        <w:rPr>
          <w:lang w:val="en-GB"/>
        </w:rPr>
        <w:t xml:space="preserve">echnology </w:t>
      </w:r>
      <w:r>
        <w:rPr>
          <w:lang w:val="en-GB"/>
        </w:rPr>
        <w:t>D</w:t>
      </w:r>
      <w:r w:rsidRPr="008463F3">
        <w:rPr>
          <w:lang w:val="en-GB"/>
        </w:rPr>
        <w:t xml:space="preserve">evelopment and </w:t>
      </w:r>
      <w:r>
        <w:rPr>
          <w:lang w:val="en-GB"/>
        </w:rPr>
        <w:t>I</w:t>
      </w:r>
      <w:r w:rsidRPr="008463F3">
        <w:rPr>
          <w:lang w:val="en-GB"/>
        </w:rPr>
        <w:t>nnovation for many years, since FP4-INCO COPERNICUS programme (1994-1998). According to the data from March 2021, organi</w:t>
      </w:r>
      <w:r>
        <w:rPr>
          <w:lang w:val="en-GB"/>
        </w:rPr>
        <w:t>s</w:t>
      </w:r>
      <w:r w:rsidRPr="008463F3">
        <w:rPr>
          <w:lang w:val="en-GB"/>
        </w:rPr>
        <w:t>ations from North Macedonia have submitted 853 proposals within H2020, of which 705 were eligible and 79 were funded. This corresponds to an average success rate of 11</w:t>
      </w:r>
      <w:r>
        <w:rPr>
          <w:lang w:val="en-GB"/>
        </w:rPr>
        <w:t>.</w:t>
      </w:r>
      <w:r w:rsidRPr="008463F3">
        <w:rPr>
          <w:lang w:val="en-GB"/>
        </w:rPr>
        <w:t>63 percent, compared to 13</w:t>
      </w:r>
      <w:r>
        <w:rPr>
          <w:lang w:val="en-GB"/>
        </w:rPr>
        <w:t>.</w:t>
      </w:r>
      <w:r w:rsidRPr="008463F3">
        <w:rPr>
          <w:lang w:val="en-GB"/>
        </w:rPr>
        <w:t xml:space="preserve">44 percent of other associated </w:t>
      </w:r>
      <w:r>
        <w:rPr>
          <w:lang w:val="en-GB"/>
        </w:rPr>
        <w:t>economies</w:t>
      </w:r>
      <w:r w:rsidRPr="008463F3">
        <w:rPr>
          <w:lang w:val="en-GB"/>
        </w:rPr>
        <w:t>. Organi</w:t>
      </w:r>
      <w:r>
        <w:rPr>
          <w:lang w:val="en-GB"/>
        </w:rPr>
        <w:t>s</w:t>
      </w:r>
      <w:r w:rsidRPr="008463F3">
        <w:rPr>
          <w:lang w:val="en-GB"/>
        </w:rPr>
        <w:t>ations from North Macedonia have received 12</w:t>
      </w:r>
      <w:r>
        <w:rPr>
          <w:lang w:val="en-GB"/>
        </w:rPr>
        <w:t>.</w:t>
      </w:r>
      <w:r w:rsidRPr="008463F3">
        <w:rPr>
          <w:lang w:val="en-GB"/>
        </w:rPr>
        <w:t xml:space="preserve">95 million euros </w:t>
      </w:r>
      <w:r>
        <w:rPr>
          <w:lang w:val="en-GB"/>
        </w:rPr>
        <w:t xml:space="preserve">of </w:t>
      </w:r>
      <w:r w:rsidRPr="008463F3">
        <w:rPr>
          <w:lang w:val="en-GB"/>
        </w:rPr>
        <w:t>EC contribution. The most successful organi</w:t>
      </w:r>
      <w:r>
        <w:rPr>
          <w:lang w:val="en-GB"/>
        </w:rPr>
        <w:t>s</w:t>
      </w:r>
      <w:r w:rsidRPr="008463F3">
        <w:rPr>
          <w:lang w:val="en-GB"/>
        </w:rPr>
        <w:t xml:space="preserve">ations in H2020 programme are: Ss. Cyril and Methodius University in Skopje (23 projects), City of Skopje (5 projects), Economic Chamber of </w:t>
      </w:r>
      <w:r>
        <w:rPr>
          <w:lang w:val="en-GB"/>
        </w:rPr>
        <w:t xml:space="preserve">North </w:t>
      </w:r>
      <w:r w:rsidRPr="008463F3">
        <w:rPr>
          <w:lang w:val="en-GB"/>
        </w:rPr>
        <w:t>Macedonia (5 projects), Institute of Public Health of North Macedonia (5 projects) and Macedonian Academic and Research Network (5 projects).</w:t>
      </w:r>
    </w:p>
    <w:p w14:paraId="30A7C989" w14:textId="77777777" w:rsidR="007947BF" w:rsidRPr="008463F3" w:rsidRDefault="007947BF" w:rsidP="007947BF">
      <w:pPr>
        <w:jc w:val="both"/>
        <w:rPr>
          <w:lang w:val="en-GB"/>
        </w:rPr>
      </w:pPr>
      <w:r w:rsidRPr="008463F3">
        <w:rPr>
          <w:lang w:val="en-GB"/>
        </w:rPr>
        <w:t>The key strengths of North Macedonia in Horizon 2020 are in the fields of Energy and Health. In relation to the total number of H2020 projects, a considerable number of projects were implemented within the thematic priority “Research infrastructures” (Table 1).</w:t>
      </w:r>
    </w:p>
    <w:p w14:paraId="2FEB4DA9" w14:textId="77777777" w:rsidR="007947BF" w:rsidRPr="008463F3" w:rsidRDefault="007947BF" w:rsidP="007947BF">
      <w:pPr>
        <w:spacing w:after="0"/>
        <w:jc w:val="both"/>
        <w:rPr>
          <w:rFonts w:cs="Times New Roman"/>
          <w:lang w:val="en-GB"/>
        </w:rPr>
      </w:pPr>
      <w:r w:rsidRPr="008463F3">
        <w:rPr>
          <w:rFonts w:cs="Times New Roman"/>
          <w:b/>
          <w:lang w:val="en-GB"/>
        </w:rPr>
        <w:t>Table 1</w:t>
      </w:r>
      <w:r w:rsidRPr="008463F3">
        <w:rPr>
          <w:rFonts w:cs="Times New Roman"/>
          <w:lang w:val="en-GB"/>
        </w:rPr>
        <w:t>: North Macedonia in H2020: Participation and net EU contribution per priority area</w:t>
      </w:r>
    </w:p>
    <w:tbl>
      <w:tblPr>
        <w:tblStyle w:val="LightGrid-Accent1"/>
        <w:tblW w:w="5000" w:type="pct"/>
        <w:tblCellMar>
          <w:left w:w="28" w:type="dxa"/>
          <w:right w:w="0" w:type="dxa"/>
        </w:tblCellMar>
        <w:tblLook w:val="04A0" w:firstRow="1" w:lastRow="0" w:firstColumn="1" w:lastColumn="0" w:noHBand="0" w:noVBand="1"/>
      </w:tblPr>
      <w:tblGrid>
        <w:gridCol w:w="6227"/>
        <w:gridCol w:w="1291"/>
        <w:gridCol w:w="1534"/>
      </w:tblGrid>
      <w:tr w:rsidR="007947BF" w:rsidRPr="008463F3" w14:paraId="1813B22F" w14:textId="77777777" w:rsidTr="00DA2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noWrap/>
            <w:hideMark/>
          </w:tcPr>
          <w:p w14:paraId="710F0B68" w14:textId="77777777" w:rsidR="007947BF" w:rsidRPr="008463F3" w:rsidRDefault="007947BF" w:rsidP="00DA2AFC">
            <w:pPr>
              <w:rPr>
                <w:rFonts w:asciiTheme="minorHAnsi" w:eastAsia="Times New Roman" w:hAnsiTheme="minorHAnsi" w:cs="Times New Roman"/>
                <w:color w:val="000000"/>
                <w:lang w:eastAsia="sr-Latn-RS"/>
              </w:rPr>
            </w:pPr>
            <w:r w:rsidRPr="008463F3">
              <w:rPr>
                <w:rFonts w:asciiTheme="minorHAnsi" w:eastAsia="Times New Roman" w:hAnsiTheme="minorHAnsi" w:cs="Times New Roman"/>
                <w:color w:val="000000"/>
                <w:lang w:eastAsia="sr-Latn-RS"/>
              </w:rPr>
              <w:t> </w:t>
            </w:r>
          </w:p>
        </w:tc>
        <w:tc>
          <w:tcPr>
            <w:tcW w:w="1291" w:type="dxa"/>
            <w:noWrap/>
            <w:hideMark/>
          </w:tcPr>
          <w:p w14:paraId="69358BC4" w14:textId="77777777" w:rsidR="007947BF" w:rsidRPr="008463F3" w:rsidRDefault="007947BF" w:rsidP="00DA2AFC">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eastAsia="sr-Latn-RS"/>
              </w:rPr>
            </w:pPr>
            <w:r w:rsidRPr="008463F3">
              <w:rPr>
                <w:rFonts w:asciiTheme="minorHAnsi" w:eastAsia="Times New Roman" w:hAnsiTheme="minorHAnsi" w:cs="Times New Roman"/>
                <w:color w:val="000000"/>
                <w:lang w:eastAsia="sr-Latn-RS"/>
              </w:rPr>
              <w:t>Participation</w:t>
            </w:r>
          </w:p>
        </w:tc>
        <w:tc>
          <w:tcPr>
            <w:tcW w:w="1534" w:type="dxa"/>
            <w:noWrap/>
            <w:hideMark/>
          </w:tcPr>
          <w:p w14:paraId="463FC920" w14:textId="77777777" w:rsidR="007947BF" w:rsidRPr="008463F3" w:rsidRDefault="007947BF" w:rsidP="00DA2AF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eastAsia="sr-Latn-RS"/>
              </w:rPr>
            </w:pPr>
            <w:r w:rsidRPr="008463F3">
              <w:rPr>
                <w:rFonts w:asciiTheme="minorHAnsi" w:eastAsia="Times New Roman" w:hAnsiTheme="minorHAnsi" w:cs="Times New Roman"/>
                <w:color w:val="000000"/>
                <w:lang w:eastAsia="sr-Latn-RS"/>
              </w:rPr>
              <w:t>EC contribution (E</w:t>
            </w:r>
            <w:r>
              <w:rPr>
                <w:rFonts w:asciiTheme="minorHAnsi" w:eastAsia="Times New Roman" w:hAnsiTheme="minorHAnsi" w:cs="Times New Roman"/>
                <w:color w:val="000000"/>
                <w:lang w:eastAsia="sr-Latn-RS"/>
              </w:rPr>
              <w:t>UR</w:t>
            </w:r>
            <w:r w:rsidRPr="008463F3">
              <w:rPr>
                <w:rFonts w:asciiTheme="minorHAnsi" w:eastAsia="Times New Roman" w:hAnsiTheme="minorHAnsi" w:cs="Times New Roman"/>
                <w:color w:val="000000"/>
                <w:lang w:eastAsia="sr-Latn-RS"/>
              </w:rPr>
              <w:t>)</w:t>
            </w:r>
          </w:p>
        </w:tc>
      </w:tr>
      <w:tr w:rsidR="007947BF" w:rsidRPr="008463F3" w14:paraId="0F0F01DC" w14:textId="77777777" w:rsidTr="00DA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noWrap/>
            <w:hideMark/>
          </w:tcPr>
          <w:p w14:paraId="46A77B95" w14:textId="77777777" w:rsidR="007947BF" w:rsidRPr="008463F3" w:rsidRDefault="007947BF" w:rsidP="00DA2AFC">
            <w:pPr>
              <w:rPr>
                <w:rFonts w:asciiTheme="minorHAnsi" w:eastAsia="Times New Roman" w:hAnsiTheme="minorHAnsi" w:cs="Times New Roman"/>
                <w:color w:val="000000"/>
                <w:lang w:eastAsia="sr-Latn-RS"/>
              </w:rPr>
            </w:pPr>
            <w:r w:rsidRPr="008463F3">
              <w:rPr>
                <w:rFonts w:asciiTheme="minorHAnsi" w:eastAsia="Times New Roman" w:hAnsiTheme="minorHAnsi" w:cs="Times New Roman"/>
                <w:color w:val="000000"/>
                <w:lang w:eastAsia="sr-Latn-RS"/>
              </w:rPr>
              <w:t>Secure, clean and efficient energy</w:t>
            </w:r>
          </w:p>
        </w:tc>
        <w:tc>
          <w:tcPr>
            <w:tcW w:w="1291" w:type="dxa"/>
            <w:noWrap/>
            <w:hideMark/>
          </w:tcPr>
          <w:p w14:paraId="223CDA0C" w14:textId="77777777" w:rsidR="007947BF" w:rsidRPr="008463F3" w:rsidRDefault="007947BF" w:rsidP="00DA2AF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sr-Latn-RS"/>
              </w:rPr>
            </w:pPr>
            <w:r w:rsidRPr="008463F3">
              <w:rPr>
                <w:rFonts w:eastAsia="Times New Roman" w:cs="Times New Roman"/>
                <w:color w:val="000000"/>
                <w:lang w:eastAsia="sr-Latn-RS"/>
              </w:rPr>
              <w:t>22</w:t>
            </w:r>
          </w:p>
        </w:tc>
        <w:tc>
          <w:tcPr>
            <w:tcW w:w="1534" w:type="dxa"/>
            <w:noWrap/>
          </w:tcPr>
          <w:p w14:paraId="1385CCD0" w14:textId="77777777" w:rsidR="007947BF" w:rsidRPr="008463F3" w:rsidRDefault="007947BF" w:rsidP="00DA2AF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sr-Latn-RS"/>
              </w:rPr>
            </w:pPr>
            <w:r w:rsidRPr="008463F3">
              <w:rPr>
                <w:rFonts w:eastAsia="Times New Roman" w:cs="Times New Roman"/>
                <w:color w:val="000000"/>
                <w:lang w:eastAsia="sr-Latn-RS"/>
              </w:rPr>
              <w:t>3</w:t>
            </w:r>
            <w:r>
              <w:rPr>
                <w:rFonts w:eastAsia="Times New Roman" w:cs="Times New Roman"/>
                <w:color w:val="000000"/>
                <w:lang w:eastAsia="sr-Latn-RS"/>
              </w:rPr>
              <w:t>.</w:t>
            </w:r>
            <w:r w:rsidRPr="008463F3">
              <w:rPr>
                <w:rFonts w:eastAsia="Times New Roman" w:cs="Times New Roman"/>
                <w:color w:val="000000"/>
                <w:lang w:eastAsia="sr-Latn-RS"/>
              </w:rPr>
              <w:t>04 mil.</w:t>
            </w:r>
          </w:p>
        </w:tc>
      </w:tr>
      <w:tr w:rsidR="007947BF" w:rsidRPr="008463F3" w14:paraId="23FCD671" w14:textId="77777777" w:rsidTr="00DA2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noWrap/>
          </w:tcPr>
          <w:p w14:paraId="4DC71489" w14:textId="77777777" w:rsidR="007947BF" w:rsidRPr="008463F3" w:rsidRDefault="007947BF" w:rsidP="00DA2AFC">
            <w:pPr>
              <w:rPr>
                <w:rFonts w:asciiTheme="minorHAnsi" w:eastAsia="Times New Roman" w:hAnsiTheme="minorHAnsi" w:cs="Times New Roman"/>
                <w:color w:val="000000"/>
                <w:lang w:eastAsia="sr-Latn-RS"/>
              </w:rPr>
            </w:pPr>
            <w:r w:rsidRPr="008463F3">
              <w:rPr>
                <w:rFonts w:asciiTheme="minorHAnsi" w:eastAsia="Times New Roman" w:hAnsiTheme="minorHAnsi" w:cs="Times New Roman"/>
                <w:color w:val="000000"/>
                <w:lang w:eastAsia="sr-Latn-RS"/>
              </w:rPr>
              <w:t>Research infrastructures</w:t>
            </w:r>
          </w:p>
        </w:tc>
        <w:tc>
          <w:tcPr>
            <w:tcW w:w="1291" w:type="dxa"/>
            <w:noWrap/>
          </w:tcPr>
          <w:p w14:paraId="696BADC6" w14:textId="77777777" w:rsidR="007947BF" w:rsidRPr="008463F3" w:rsidRDefault="007947BF" w:rsidP="00DA2AFC">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eastAsia="sr-Latn-RS"/>
              </w:rPr>
            </w:pPr>
            <w:r w:rsidRPr="008463F3">
              <w:rPr>
                <w:rFonts w:eastAsia="Times New Roman" w:cs="Times New Roman"/>
                <w:color w:val="000000"/>
                <w:lang w:eastAsia="sr-Latn-RS"/>
              </w:rPr>
              <w:t>15</w:t>
            </w:r>
          </w:p>
        </w:tc>
        <w:tc>
          <w:tcPr>
            <w:tcW w:w="1534" w:type="dxa"/>
            <w:noWrap/>
          </w:tcPr>
          <w:p w14:paraId="62F6753F" w14:textId="77777777" w:rsidR="007947BF" w:rsidRPr="008463F3" w:rsidRDefault="007947BF" w:rsidP="00DA2AFC">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eastAsia="sr-Latn-RS"/>
              </w:rPr>
            </w:pPr>
            <w:r w:rsidRPr="008463F3">
              <w:rPr>
                <w:rFonts w:eastAsia="Times New Roman" w:cs="Times New Roman"/>
                <w:color w:val="000000"/>
                <w:lang w:eastAsia="sr-Latn-RS"/>
              </w:rPr>
              <w:t>1</w:t>
            </w:r>
            <w:r>
              <w:rPr>
                <w:rFonts w:eastAsia="Times New Roman" w:cs="Times New Roman"/>
                <w:color w:val="000000"/>
                <w:lang w:eastAsia="sr-Latn-RS"/>
              </w:rPr>
              <w:t>.</w:t>
            </w:r>
            <w:r w:rsidRPr="008463F3">
              <w:rPr>
                <w:rFonts w:eastAsia="Times New Roman" w:cs="Times New Roman"/>
                <w:color w:val="000000"/>
                <w:lang w:eastAsia="sr-Latn-RS"/>
              </w:rPr>
              <w:t>66 mil.</w:t>
            </w:r>
          </w:p>
        </w:tc>
      </w:tr>
      <w:tr w:rsidR="007947BF" w:rsidRPr="008463F3" w14:paraId="2FC6C564" w14:textId="77777777" w:rsidTr="00DA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noWrap/>
          </w:tcPr>
          <w:p w14:paraId="35BB7DC0" w14:textId="77777777" w:rsidR="007947BF" w:rsidRPr="008463F3" w:rsidRDefault="007947BF" w:rsidP="00DA2AFC">
            <w:pPr>
              <w:rPr>
                <w:rFonts w:asciiTheme="minorHAnsi" w:eastAsia="Times New Roman" w:hAnsiTheme="minorHAnsi" w:cs="Times New Roman"/>
                <w:color w:val="000000"/>
                <w:lang w:eastAsia="sr-Latn-RS"/>
              </w:rPr>
            </w:pPr>
            <w:r w:rsidRPr="008463F3">
              <w:rPr>
                <w:rFonts w:asciiTheme="minorHAnsi" w:eastAsia="Times New Roman" w:hAnsiTheme="minorHAnsi" w:cs="Times New Roman"/>
                <w:color w:val="000000"/>
                <w:lang w:eastAsia="sr-Latn-RS"/>
              </w:rPr>
              <w:t>Innovation in SMEs</w:t>
            </w:r>
          </w:p>
        </w:tc>
        <w:tc>
          <w:tcPr>
            <w:tcW w:w="1291" w:type="dxa"/>
            <w:noWrap/>
          </w:tcPr>
          <w:p w14:paraId="74D3FA46" w14:textId="77777777" w:rsidR="007947BF" w:rsidRPr="008463F3" w:rsidRDefault="007947BF" w:rsidP="00DA2AF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sr-Latn-RS"/>
              </w:rPr>
            </w:pPr>
            <w:r w:rsidRPr="008463F3">
              <w:rPr>
                <w:rFonts w:eastAsia="Times New Roman" w:cs="Times New Roman"/>
                <w:color w:val="000000"/>
                <w:lang w:eastAsia="sr-Latn-RS"/>
              </w:rPr>
              <w:t>14</w:t>
            </w:r>
          </w:p>
        </w:tc>
        <w:tc>
          <w:tcPr>
            <w:tcW w:w="1534" w:type="dxa"/>
            <w:noWrap/>
          </w:tcPr>
          <w:p w14:paraId="0335533C" w14:textId="77777777" w:rsidR="007947BF" w:rsidRPr="008463F3" w:rsidRDefault="007947BF" w:rsidP="00DA2AF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sr-Latn-RS"/>
              </w:rPr>
            </w:pPr>
            <w:r w:rsidRPr="008463F3">
              <w:rPr>
                <w:rFonts w:eastAsia="Times New Roman" w:cs="Times New Roman"/>
                <w:color w:val="000000"/>
                <w:lang w:eastAsia="sr-Latn-RS"/>
              </w:rPr>
              <w:t>899</w:t>
            </w:r>
            <w:r>
              <w:rPr>
                <w:rFonts w:eastAsia="Times New Roman" w:cs="Times New Roman"/>
                <w:color w:val="000000"/>
                <w:lang w:eastAsia="sr-Latn-RS"/>
              </w:rPr>
              <w:t>.</w:t>
            </w:r>
            <w:r w:rsidRPr="008463F3">
              <w:rPr>
                <w:rFonts w:eastAsia="Times New Roman" w:cs="Times New Roman"/>
                <w:color w:val="000000"/>
                <w:lang w:eastAsia="sr-Latn-RS"/>
              </w:rPr>
              <w:t>14k</w:t>
            </w:r>
          </w:p>
        </w:tc>
      </w:tr>
      <w:tr w:rsidR="007947BF" w:rsidRPr="008463F3" w14:paraId="168C054C" w14:textId="77777777" w:rsidTr="00DA2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noWrap/>
            <w:hideMark/>
          </w:tcPr>
          <w:p w14:paraId="778F67B1" w14:textId="77777777" w:rsidR="007947BF" w:rsidRPr="008463F3" w:rsidRDefault="007947BF" w:rsidP="00DA2AFC">
            <w:pPr>
              <w:rPr>
                <w:rFonts w:asciiTheme="minorHAnsi" w:eastAsia="Times New Roman" w:hAnsiTheme="minorHAnsi" w:cs="Times New Roman"/>
                <w:color w:val="000000"/>
                <w:lang w:eastAsia="sr-Latn-RS"/>
              </w:rPr>
            </w:pPr>
            <w:r w:rsidRPr="008463F3">
              <w:rPr>
                <w:rFonts w:asciiTheme="minorHAnsi" w:eastAsia="Times New Roman" w:hAnsiTheme="minorHAnsi" w:cs="Times New Roman"/>
                <w:color w:val="000000"/>
                <w:lang w:eastAsia="sr-Latn-RS"/>
              </w:rPr>
              <w:t>Health, demographic change and wellbeing</w:t>
            </w:r>
          </w:p>
        </w:tc>
        <w:tc>
          <w:tcPr>
            <w:tcW w:w="1291" w:type="dxa"/>
            <w:noWrap/>
            <w:hideMark/>
          </w:tcPr>
          <w:p w14:paraId="5389E464" w14:textId="77777777" w:rsidR="007947BF" w:rsidRPr="008463F3" w:rsidRDefault="007947BF" w:rsidP="00DA2AFC">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eastAsia="sr-Latn-RS"/>
              </w:rPr>
            </w:pPr>
            <w:r w:rsidRPr="008463F3">
              <w:rPr>
                <w:rFonts w:eastAsia="Times New Roman" w:cs="Times New Roman"/>
                <w:color w:val="000000"/>
                <w:lang w:eastAsia="sr-Latn-RS"/>
              </w:rPr>
              <w:t>8</w:t>
            </w:r>
          </w:p>
        </w:tc>
        <w:tc>
          <w:tcPr>
            <w:tcW w:w="1534" w:type="dxa"/>
            <w:noWrap/>
          </w:tcPr>
          <w:p w14:paraId="6C0BAA2A" w14:textId="77777777" w:rsidR="007947BF" w:rsidRPr="008463F3" w:rsidRDefault="007947BF" w:rsidP="00DA2AFC">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eastAsia="sr-Latn-RS"/>
              </w:rPr>
            </w:pPr>
            <w:r w:rsidRPr="008463F3">
              <w:rPr>
                <w:rFonts w:eastAsia="Times New Roman" w:cs="Times New Roman"/>
                <w:color w:val="000000"/>
                <w:lang w:eastAsia="sr-Latn-RS"/>
              </w:rPr>
              <w:t>1</w:t>
            </w:r>
            <w:r>
              <w:rPr>
                <w:rFonts w:eastAsia="Times New Roman" w:cs="Times New Roman"/>
                <w:color w:val="000000"/>
                <w:lang w:eastAsia="sr-Latn-RS"/>
              </w:rPr>
              <w:t>.</w:t>
            </w:r>
            <w:r w:rsidRPr="008463F3">
              <w:rPr>
                <w:rFonts w:eastAsia="Times New Roman" w:cs="Times New Roman"/>
                <w:color w:val="000000"/>
                <w:lang w:eastAsia="sr-Latn-RS"/>
              </w:rPr>
              <w:t>43 mil.</w:t>
            </w:r>
          </w:p>
        </w:tc>
      </w:tr>
      <w:tr w:rsidR="007947BF" w:rsidRPr="008463F3" w14:paraId="0FF2B339" w14:textId="77777777" w:rsidTr="00DA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noWrap/>
          </w:tcPr>
          <w:p w14:paraId="14B3E7CA" w14:textId="77777777" w:rsidR="007947BF" w:rsidRPr="008463F3" w:rsidRDefault="007947BF" w:rsidP="00DA2AFC">
            <w:pPr>
              <w:rPr>
                <w:rFonts w:asciiTheme="minorHAnsi" w:eastAsia="Times New Roman" w:hAnsiTheme="minorHAnsi" w:cs="Times New Roman"/>
                <w:color w:val="000000"/>
                <w:lang w:eastAsia="sr-Latn-RS"/>
              </w:rPr>
            </w:pPr>
            <w:r w:rsidRPr="008463F3">
              <w:rPr>
                <w:rFonts w:asciiTheme="minorHAnsi" w:eastAsia="Times New Roman" w:hAnsiTheme="minorHAnsi" w:cs="Times New Roman"/>
                <w:color w:val="000000"/>
                <w:lang w:eastAsia="sr-Latn-RS"/>
              </w:rPr>
              <w:t>Information and Communication Technologies</w:t>
            </w:r>
          </w:p>
        </w:tc>
        <w:tc>
          <w:tcPr>
            <w:tcW w:w="1291" w:type="dxa"/>
            <w:noWrap/>
          </w:tcPr>
          <w:p w14:paraId="54CFE62E" w14:textId="77777777" w:rsidR="007947BF" w:rsidRPr="008463F3" w:rsidRDefault="007947BF" w:rsidP="00DA2AF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sr-Latn-RS"/>
              </w:rPr>
            </w:pPr>
            <w:r w:rsidRPr="008463F3">
              <w:rPr>
                <w:rFonts w:eastAsia="Times New Roman" w:cs="Times New Roman"/>
                <w:color w:val="000000"/>
                <w:lang w:eastAsia="sr-Latn-RS"/>
              </w:rPr>
              <w:t>8</w:t>
            </w:r>
          </w:p>
        </w:tc>
        <w:tc>
          <w:tcPr>
            <w:tcW w:w="1534" w:type="dxa"/>
            <w:noWrap/>
          </w:tcPr>
          <w:p w14:paraId="46BE5C96" w14:textId="77777777" w:rsidR="007947BF" w:rsidRPr="008463F3" w:rsidRDefault="007947BF" w:rsidP="00DA2AF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sr-Latn-RS"/>
              </w:rPr>
            </w:pPr>
            <w:r w:rsidRPr="008463F3">
              <w:rPr>
                <w:rFonts w:eastAsia="Times New Roman" w:cs="Times New Roman"/>
                <w:color w:val="000000"/>
                <w:lang w:eastAsia="sr-Latn-RS"/>
              </w:rPr>
              <w:t>1</w:t>
            </w:r>
            <w:r>
              <w:rPr>
                <w:rFonts w:eastAsia="Times New Roman" w:cs="Times New Roman"/>
                <w:color w:val="000000"/>
                <w:lang w:eastAsia="sr-Latn-RS"/>
              </w:rPr>
              <w:t>.</w:t>
            </w:r>
            <w:r w:rsidRPr="008463F3">
              <w:rPr>
                <w:rFonts w:eastAsia="Times New Roman" w:cs="Times New Roman"/>
                <w:color w:val="000000"/>
                <w:lang w:eastAsia="sr-Latn-RS"/>
              </w:rPr>
              <w:t>35 mil.</w:t>
            </w:r>
          </w:p>
        </w:tc>
      </w:tr>
      <w:tr w:rsidR="007947BF" w:rsidRPr="008463F3" w14:paraId="76180D42" w14:textId="77777777" w:rsidTr="00DA2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noWrap/>
          </w:tcPr>
          <w:p w14:paraId="6CD2452E" w14:textId="77777777" w:rsidR="007947BF" w:rsidRPr="008463F3" w:rsidRDefault="007947BF" w:rsidP="00DA2AFC">
            <w:pPr>
              <w:rPr>
                <w:rFonts w:asciiTheme="minorHAnsi" w:eastAsia="Times New Roman" w:hAnsiTheme="minorHAnsi" w:cs="Times New Roman"/>
                <w:color w:val="000000"/>
                <w:lang w:eastAsia="sr-Latn-RS"/>
              </w:rPr>
            </w:pPr>
            <w:r w:rsidRPr="008463F3">
              <w:rPr>
                <w:rFonts w:asciiTheme="minorHAnsi" w:eastAsia="Times New Roman" w:hAnsiTheme="minorHAnsi" w:cs="Times New Roman"/>
                <w:color w:val="000000"/>
                <w:lang w:eastAsia="sr-Latn-RS"/>
              </w:rPr>
              <w:t>Food security, sustainable and forestry, marine and maritime and inland water research</w:t>
            </w:r>
          </w:p>
        </w:tc>
        <w:tc>
          <w:tcPr>
            <w:tcW w:w="1291" w:type="dxa"/>
            <w:noWrap/>
          </w:tcPr>
          <w:p w14:paraId="59B4EDBF" w14:textId="77777777" w:rsidR="007947BF" w:rsidRPr="008463F3" w:rsidRDefault="007947BF" w:rsidP="00DA2AFC">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eastAsia="sr-Latn-RS"/>
              </w:rPr>
            </w:pPr>
            <w:r w:rsidRPr="008463F3">
              <w:rPr>
                <w:rFonts w:eastAsia="Times New Roman" w:cs="Times New Roman"/>
                <w:color w:val="000000"/>
                <w:lang w:eastAsia="sr-Latn-RS"/>
              </w:rPr>
              <w:t>7</w:t>
            </w:r>
          </w:p>
        </w:tc>
        <w:tc>
          <w:tcPr>
            <w:tcW w:w="1534" w:type="dxa"/>
            <w:noWrap/>
          </w:tcPr>
          <w:p w14:paraId="0D1191EE" w14:textId="77777777" w:rsidR="007947BF" w:rsidRPr="008463F3" w:rsidRDefault="007947BF" w:rsidP="00DA2AFC">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eastAsia="sr-Latn-RS"/>
              </w:rPr>
            </w:pPr>
            <w:r w:rsidRPr="008463F3">
              <w:rPr>
                <w:rFonts w:eastAsia="Times New Roman" w:cs="Times New Roman"/>
                <w:color w:val="000000"/>
                <w:lang w:eastAsia="sr-Latn-RS"/>
              </w:rPr>
              <w:t>769</w:t>
            </w:r>
            <w:r>
              <w:rPr>
                <w:rFonts w:eastAsia="Times New Roman" w:cs="Times New Roman"/>
                <w:color w:val="000000"/>
                <w:lang w:eastAsia="sr-Latn-RS"/>
              </w:rPr>
              <w:t>.</w:t>
            </w:r>
            <w:r w:rsidRPr="008463F3">
              <w:rPr>
                <w:rFonts w:eastAsia="Times New Roman" w:cs="Times New Roman"/>
                <w:color w:val="000000"/>
                <w:lang w:eastAsia="sr-Latn-RS"/>
              </w:rPr>
              <w:t>51k</w:t>
            </w:r>
          </w:p>
        </w:tc>
      </w:tr>
      <w:tr w:rsidR="007947BF" w:rsidRPr="008463F3" w14:paraId="481C4AF8" w14:textId="77777777" w:rsidTr="00DA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noWrap/>
          </w:tcPr>
          <w:p w14:paraId="13C186DA" w14:textId="77777777" w:rsidR="007947BF" w:rsidRPr="008463F3" w:rsidRDefault="007947BF" w:rsidP="00DA2AFC">
            <w:pPr>
              <w:rPr>
                <w:rFonts w:asciiTheme="minorHAnsi" w:eastAsia="Times New Roman" w:hAnsiTheme="minorHAnsi" w:cs="Times New Roman"/>
                <w:color w:val="000000"/>
                <w:lang w:eastAsia="sr-Latn-RS"/>
              </w:rPr>
            </w:pPr>
            <w:r w:rsidRPr="008463F3">
              <w:rPr>
                <w:rFonts w:asciiTheme="minorHAnsi" w:eastAsia="Times New Roman" w:hAnsiTheme="minorHAnsi" w:cs="Times New Roman"/>
                <w:color w:val="000000"/>
                <w:lang w:eastAsia="sr-Latn-RS"/>
              </w:rPr>
              <w:t xml:space="preserve">Europe in a changing world - inclusive, innovative and reflective </w:t>
            </w:r>
            <w:r>
              <w:rPr>
                <w:rFonts w:asciiTheme="minorHAnsi" w:eastAsia="Times New Roman" w:hAnsiTheme="minorHAnsi" w:cs="Times New Roman"/>
                <w:color w:val="000000"/>
                <w:lang w:eastAsia="sr-Latn-RS"/>
              </w:rPr>
              <w:t>s</w:t>
            </w:r>
            <w:r w:rsidRPr="008463F3">
              <w:rPr>
                <w:rFonts w:asciiTheme="minorHAnsi" w:eastAsia="Times New Roman" w:hAnsiTheme="minorHAnsi" w:cs="Times New Roman"/>
                <w:color w:val="000000"/>
                <w:lang w:eastAsia="sr-Latn-RS"/>
              </w:rPr>
              <w:t>ocieties</w:t>
            </w:r>
          </w:p>
        </w:tc>
        <w:tc>
          <w:tcPr>
            <w:tcW w:w="1291" w:type="dxa"/>
            <w:noWrap/>
          </w:tcPr>
          <w:p w14:paraId="025F2600" w14:textId="77777777" w:rsidR="007947BF" w:rsidRPr="008463F3" w:rsidRDefault="007947BF" w:rsidP="00DA2AF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sr-Latn-RS"/>
              </w:rPr>
            </w:pPr>
            <w:r w:rsidRPr="008463F3">
              <w:rPr>
                <w:rFonts w:eastAsia="Times New Roman" w:cs="Times New Roman"/>
                <w:color w:val="000000"/>
                <w:lang w:eastAsia="sr-Latn-RS"/>
              </w:rPr>
              <w:t>7</w:t>
            </w:r>
          </w:p>
        </w:tc>
        <w:tc>
          <w:tcPr>
            <w:tcW w:w="1534" w:type="dxa"/>
            <w:noWrap/>
          </w:tcPr>
          <w:p w14:paraId="17418872" w14:textId="77777777" w:rsidR="007947BF" w:rsidRPr="008463F3" w:rsidRDefault="007947BF" w:rsidP="00DA2AF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sr-Latn-RS"/>
              </w:rPr>
            </w:pPr>
            <w:r w:rsidRPr="008463F3">
              <w:rPr>
                <w:rFonts w:eastAsia="Times New Roman" w:cs="Times New Roman"/>
                <w:color w:val="000000"/>
                <w:lang w:eastAsia="sr-Latn-RS"/>
              </w:rPr>
              <w:t>817</w:t>
            </w:r>
            <w:r>
              <w:rPr>
                <w:rFonts w:eastAsia="Times New Roman" w:cs="Times New Roman"/>
                <w:color w:val="000000"/>
                <w:lang w:eastAsia="sr-Latn-RS"/>
              </w:rPr>
              <w:t>.</w:t>
            </w:r>
            <w:r w:rsidRPr="008463F3">
              <w:rPr>
                <w:rFonts w:eastAsia="Times New Roman" w:cs="Times New Roman"/>
                <w:color w:val="000000"/>
                <w:lang w:eastAsia="sr-Latn-RS"/>
              </w:rPr>
              <w:t>23k</w:t>
            </w:r>
          </w:p>
        </w:tc>
      </w:tr>
      <w:tr w:rsidR="007947BF" w:rsidRPr="008463F3" w14:paraId="3CACF300" w14:textId="77777777" w:rsidTr="00DA2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noWrap/>
            <w:hideMark/>
          </w:tcPr>
          <w:p w14:paraId="0074D680" w14:textId="77777777" w:rsidR="007947BF" w:rsidRPr="008463F3" w:rsidRDefault="007947BF" w:rsidP="00DA2AFC">
            <w:pPr>
              <w:rPr>
                <w:rFonts w:asciiTheme="minorHAnsi" w:eastAsia="Times New Roman" w:hAnsiTheme="minorHAnsi" w:cs="Times New Roman"/>
                <w:color w:val="000000"/>
                <w:lang w:eastAsia="sr-Latn-RS"/>
              </w:rPr>
            </w:pPr>
            <w:r w:rsidRPr="008463F3">
              <w:rPr>
                <w:rFonts w:asciiTheme="minorHAnsi" w:eastAsia="Times New Roman" w:hAnsiTheme="minorHAnsi" w:cs="Times New Roman"/>
                <w:color w:val="000000"/>
                <w:lang w:eastAsia="sr-Latn-RS"/>
              </w:rPr>
              <w:t>Climate action, environment, resource efficiency and raw materials</w:t>
            </w:r>
          </w:p>
        </w:tc>
        <w:tc>
          <w:tcPr>
            <w:tcW w:w="1291" w:type="dxa"/>
            <w:noWrap/>
            <w:hideMark/>
          </w:tcPr>
          <w:p w14:paraId="1D55AE24" w14:textId="77777777" w:rsidR="007947BF" w:rsidRPr="008463F3" w:rsidRDefault="007947BF" w:rsidP="00DA2AFC">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eastAsia="sr-Latn-RS"/>
              </w:rPr>
            </w:pPr>
            <w:r w:rsidRPr="008463F3">
              <w:rPr>
                <w:rFonts w:eastAsia="Times New Roman" w:cs="Times New Roman"/>
                <w:color w:val="000000"/>
                <w:lang w:eastAsia="sr-Latn-RS"/>
              </w:rPr>
              <w:t>6</w:t>
            </w:r>
          </w:p>
        </w:tc>
        <w:tc>
          <w:tcPr>
            <w:tcW w:w="1534" w:type="dxa"/>
            <w:noWrap/>
          </w:tcPr>
          <w:p w14:paraId="7B06530C" w14:textId="77777777" w:rsidR="007947BF" w:rsidRPr="008463F3" w:rsidRDefault="007947BF" w:rsidP="00DA2AFC">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eastAsia="sr-Latn-RS"/>
              </w:rPr>
            </w:pPr>
            <w:r w:rsidRPr="008463F3">
              <w:rPr>
                <w:rFonts w:eastAsia="Times New Roman" w:cs="Times New Roman"/>
                <w:color w:val="000000"/>
                <w:lang w:eastAsia="sr-Latn-RS"/>
              </w:rPr>
              <w:t>1</w:t>
            </w:r>
            <w:r>
              <w:rPr>
                <w:rFonts w:eastAsia="Times New Roman" w:cs="Times New Roman"/>
                <w:color w:val="000000"/>
                <w:lang w:eastAsia="sr-Latn-RS"/>
              </w:rPr>
              <w:t>.</w:t>
            </w:r>
            <w:r w:rsidRPr="008463F3">
              <w:rPr>
                <w:rFonts w:eastAsia="Times New Roman" w:cs="Times New Roman"/>
                <w:color w:val="000000"/>
                <w:lang w:eastAsia="sr-Latn-RS"/>
              </w:rPr>
              <w:t>28 mil.</w:t>
            </w:r>
          </w:p>
        </w:tc>
      </w:tr>
      <w:tr w:rsidR="007947BF" w:rsidRPr="008463F3" w14:paraId="0975F02C" w14:textId="77777777" w:rsidTr="00DA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noWrap/>
            <w:hideMark/>
          </w:tcPr>
          <w:p w14:paraId="51F31DFE" w14:textId="77777777" w:rsidR="007947BF" w:rsidRPr="008463F3" w:rsidRDefault="007947BF" w:rsidP="00DA2AFC">
            <w:pPr>
              <w:rPr>
                <w:rFonts w:asciiTheme="minorHAnsi" w:eastAsia="Times New Roman" w:hAnsiTheme="minorHAnsi" w:cs="Times New Roman"/>
                <w:color w:val="000000"/>
                <w:lang w:eastAsia="sr-Latn-RS"/>
              </w:rPr>
            </w:pPr>
            <w:r w:rsidRPr="008463F3">
              <w:rPr>
                <w:rFonts w:asciiTheme="minorHAnsi" w:eastAsia="Times New Roman" w:hAnsiTheme="minorHAnsi" w:cs="Times New Roman"/>
                <w:color w:val="000000"/>
                <w:lang w:eastAsia="sr-Latn-RS"/>
              </w:rPr>
              <w:t>Marie Sklodowska-Curie actions</w:t>
            </w:r>
          </w:p>
        </w:tc>
        <w:tc>
          <w:tcPr>
            <w:tcW w:w="1291" w:type="dxa"/>
            <w:noWrap/>
            <w:hideMark/>
          </w:tcPr>
          <w:p w14:paraId="76D26EB0" w14:textId="77777777" w:rsidR="007947BF" w:rsidRPr="008463F3" w:rsidRDefault="007947BF" w:rsidP="00DA2AF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sr-Latn-RS"/>
              </w:rPr>
            </w:pPr>
            <w:r w:rsidRPr="008463F3">
              <w:rPr>
                <w:rFonts w:eastAsia="Times New Roman" w:cs="Times New Roman"/>
                <w:color w:val="000000"/>
                <w:lang w:eastAsia="sr-Latn-RS"/>
              </w:rPr>
              <w:t>4</w:t>
            </w:r>
          </w:p>
        </w:tc>
        <w:tc>
          <w:tcPr>
            <w:tcW w:w="1534" w:type="dxa"/>
            <w:noWrap/>
          </w:tcPr>
          <w:p w14:paraId="01ED58D7" w14:textId="77777777" w:rsidR="007947BF" w:rsidRPr="008463F3" w:rsidRDefault="007947BF" w:rsidP="00DA2AF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sr-Latn-RS"/>
              </w:rPr>
            </w:pPr>
            <w:r w:rsidRPr="008463F3">
              <w:rPr>
                <w:rFonts w:eastAsia="Times New Roman" w:cs="Times New Roman"/>
                <w:color w:val="000000"/>
                <w:lang w:eastAsia="sr-Latn-RS"/>
              </w:rPr>
              <w:t>277</w:t>
            </w:r>
            <w:r>
              <w:rPr>
                <w:rFonts w:eastAsia="Times New Roman" w:cs="Times New Roman"/>
                <w:color w:val="000000"/>
                <w:lang w:eastAsia="sr-Latn-RS"/>
              </w:rPr>
              <w:t>.</w:t>
            </w:r>
            <w:r w:rsidRPr="008463F3">
              <w:rPr>
                <w:rFonts w:eastAsia="Times New Roman" w:cs="Times New Roman"/>
                <w:color w:val="000000"/>
                <w:lang w:eastAsia="sr-Latn-RS"/>
              </w:rPr>
              <w:t>80k</w:t>
            </w:r>
          </w:p>
        </w:tc>
      </w:tr>
      <w:tr w:rsidR="007947BF" w:rsidRPr="008463F3" w14:paraId="0779938B" w14:textId="77777777" w:rsidTr="00DA2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noWrap/>
            <w:hideMark/>
          </w:tcPr>
          <w:p w14:paraId="0C8B8714" w14:textId="77777777" w:rsidR="007947BF" w:rsidRPr="008463F3" w:rsidRDefault="007947BF" w:rsidP="00DA2AFC">
            <w:pPr>
              <w:rPr>
                <w:rFonts w:asciiTheme="minorHAnsi" w:eastAsia="Times New Roman" w:hAnsiTheme="minorHAnsi" w:cs="Times New Roman"/>
                <w:color w:val="000000"/>
                <w:lang w:eastAsia="sr-Latn-RS"/>
              </w:rPr>
            </w:pPr>
            <w:r w:rsidRPr="008463F3">
              <w:rPr>
                <w:rFonts w:asciiTheme="minorHAnsi" w:eastAsia="Times New Roman" w:hAnsiTheme="minorHAnsi" w:cs="Times New Roman"/>
                <w:color w:val="000000"/>
                <w:lang w:eastAsia="sr-Latn-RS"/>
              </w:rPr>
              <w:t>Integrate society in science and innovation</w:t>
            </w:r>
          </w:p>
        </w:tc>
        <w:tc>
          <w:tcPr>
            <w:tcW w:w="1291" w:type="dxa"/>
            <w:noWrap/>
            <w:hideMark/>
          </w:tcPr>
          <w:p w14:paraId="5FC9D27C" w14:textId="77777777" w:rsidR="007947BF" w:rsidRPr="008463F3" w:rsidRDefault="007947BF" w:rsidP="00DA2AFC">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eastAsia="sr-Latn-RS"/>
              </w:rPr>
            </w:pPr>
            <w:r w:rsidRPr="008463F3">
              <w:rPr>
                <w:rFonts w:eastAsia="Times New Roman" w:cs="Times New Roman"/>
                <w:color w:val="000000"/>
                <w:lang w:eastAsia="sr-Latn-RS"/>
              </w:rPr>
              <w:t>3</w:t>
            </w:r>
          </w:p>
        </w:tc>
        <w:tc>
          <w:tcPr>
            <w:tcW w:w="1534" w:type="dxa"/>
            <w:noWrap/>
          </w:tcPr>
          <w:p w14:paraId="5C9CD3E3" w14:textId="77777777" w:rsidR="007947BF" w:rsidRPr="008463F3" w:rsidRDefault="007947BF" w:rsidP="00DA2AFC">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eastAsia="sr-Latn-RS"/>
              </w:rPr>
            </w:pPr>
            <w:r w:rsidRPr="008463F3">
              <w:rPr>
                <w:rFonts w:eastAsia="Times New Roman" w:cs="Times New Roman"/>
                <w:color w:val="000000"/>
                <w:lang w:eastAsia="sr-Latn-RS"/>
              </w:rPr>
              <w:t>632</w:t>
            </w:r>
            <w:r>
              <w:rPr>
                <w:rFonts w:eastAsia="Times New Roman" w:cs="Times New Roman"/>
                <w:color w:val="000000"/>
                <w:lang w:eastAsia="sr-Latn-RS"/>
              </w:rPr>
              <w:t>.</w:t>
            </w:r>
            <w:r w:rsidRPr="008463F3">
              <w:rPr>
                <w:rFonts w:eastAsia="Times New Roman" w:cs="Times New Roman"/>
                <w:color w:val="000000"/>
                <w:lang w:eastAsia="sr-Latn-RS"/>
              </w:rPr>
              <w:t>45k</w:t>
            </w:r>
          </w:p>
        </w:tc>
      </w:tr>
      <w:tr w:rsidR="007947BF" w:rsidRPr="008463F3" w14:paraId="2B4C5D7D" w14:textId="77777777" w:rsidTr="00DA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noWrap/>
            <w:hideMark/>
          </w:tcPr>
          <w:p w14:paraId="5E1DFA6F" w14:textId="77777777" w:rsidR="007947BF" w:rsidRPr="008463F3" w:rsidRDefault="007947BF" w:rsidP="00DA2AFC">
            <w:pPr>
              <w:rPr>
                <w:rFonts w:asciiTheme="minorHAnsi" w:eastAsia="Times New Roman" w:hAnsiTheme="minorHAnsi" w:cs="Times New Roman"/>
                <w:color w:val="000000"/>
                <w:lang w:eastAsia="sr-Latn-RS"/>
              </w:rPr>
            </w:pPr>
            <w:r w:rsidRPr="008463F3">
              <w:rPr>
                <w:rFonts w:asciiTheme="minorHAnsi" w:eastAsia="Times New Roman" w:hAnsiTheme="minorHAnsi" w:cs="Times New Roman"/>
                <w:color w:val="000000"/>
                <w:lang w:eastAsia="sr-Latn-RS"/>
              </w:rPr>
              <w:t>Make scientific and technological careers attractive for young people</w:t>
            </w:r>
          </w:p>
        </w:tc>
        <w:tc>
          <w:tcPr>
            <w:tcW w:w="1291" w:type="dxa"/>
            <w:noWrap/>
            <w:hideMark/>
          </w:tcPr>
          <w:p w14:paraId="3F1D6458" w14:textId="77777777" w:rsidR="007947BF" w:rsidRPr="008463F3" w:rsidRDefault="007947BF" w:rsidP="00DA2AF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sr-Latn-RS"/>
              </w:rPr>
            </w:pPr>
            <w:r w:rsidRPr="008463F3">
              <w:rPr>
                <w:rFonts w:eastAsia="Times New Roman" w:cs="Times New Roman"/>
                <w:color w:val="000000"/>
                <w:lang w:eastAsia="sr-Latn-RS"/>
              </w:rPr>
              <w:t>3</w:t>
            </w:r>
          </w:p>
        </w:tc>
        <w:tc>
          <w:tcPr>
            <w:tcW w:w="1534" w:type="dxa"/>
            <w:noWrap/>
          </w:tcPr>
          <w:p w14:paraId="659F4CA6" w14:textId="77777777" w:rsidR="007947BF" w:rsidRPr="008463F3" w:rsidRDefault="007947BF" w:rsidP="00DA2AF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sr-Latn-RS"/>
              </w:rPr>
            </w:pPr>
            <w:r w:rsidRPr="008463F3">
              <w:rPr>
                <w:rFonts w:eastAsia="Times New Roman" w:cs="Times New Roman"/>
                <w:color w:val="000000"/>
                <w:lang w:eastAsia="sr-Latn-RS"/>
              </w:rPr>
              <w:t>164</w:t>
            </w:r>
            <w:r>
              <w:rPr>
                <w:rFonts w:eastAsia="Times New Roman" w:cs="Times New Roman"/>
                <w:color w:val="000000"/>
                <w:lang w:eastAsia="sr-Latn-RS"/>
              </w:rPr>
              <w:t>.</w:t>
            </w:r>
            <w:r w:rsidRPr="008463F3">
              <w:rPr>
                <w:rFonts w:eastAsia="Times New Roman" w:cs="Times New Roman"/>
                <w:color w:val="000000"/>
                <w:lang w:eastAsia="sr-Latn-RS"/>
              </w:rPr>
              <w:t>97k</w:t>
            </w:r>
          </w:p>
        </w:tc>
      </w:tr>
      <w:tr w:rsidR="007947BF" w:rsidRPr="008463F3" w14:paraId="0901F812" w14:textId="77777777" w:rsidTr="00DA2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noWrap/>
          </w:tcPr>
          <w:p w14:paraId="2BAB4E71" w14:textId="77777777" w:rsidR="007947BF" w:rsidRPr="008463F3" w:rsidRDefault="007947BF" w:rsidP="00DA2AFC">
            <w:pPr>
              <w:rPr>
                <w:rFonts w:asciiTheme="minorHAnsi" w:eastAsia="Times New Roman" w:hAnsiTheme="minorHAnsi" w:cs="Times New Roman"/>
                <w:color w:val="000000"/>
                <w:lang w:eastAsia="sr-Latn-RS"/>
              </w:rPr>
            </w:pPr>
            <w:r w:rsidRPr="008463F3">
              <w:rPr>
                <w:rFonts w:asciiTheme="minorHAnsi" w:eastAsia="Times New Roman" w:hAnsiTheme="minorHAnsi" w:cs="Times New Roman"/>
                <w:color w:val="000000"/>
                <w:lang w:eastAsia="sr-Latn-RS"/>
              </w:rPr>
              <w:t>Secure societies - Protecting freedom and security of Europe and its citizens</w:t>
            </w:r>
          </w:p>
        </w:tc>
        <w:tc>
          <w:tcPr>
            <w:tcW w:w="1291" w:type="dxa"/>
            <w:noWrap/>
          </w:tcPr>
          <w:p w14:paraId="65ED0A35" w14:textId="77777777" w:rsidR="007947BF" w:rsidRPr="008463F3" w:rsidRDefault="007947BF" w:rsidP="00DA2AFC">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eastAsia="sr-Latn-RS"/>
              </w:rPr>
            </w:pPr>
            <w:r w:rsidRPr="008463F3">
              <w:rPr>
                <w:rFonts w:eastAsia="Times New Roman" w:cs="Times New Roman"/>
                <w:color w:val="000000"/>
                <w:lang w:eastAsia="sr-Latn-RS"/>
              </w:rPr>
              <w:t>2</w:t>
            </w:r>
          </w:p>
        </w:tc>
        <w:tc>
          <w:tcPr>
            <w:tcW w:w="1534" w:type="dxa"/>
            <w:noWrap/>
          </w:tcPr>
          <w:p w14:paraId="51AD8631" w14:textId="77777777" w:rsidR="007947BF" w:rsidRPr="008463F3" w:rsidRDefault="007947BF" w:rsidP="00DA2AFC">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eastAsia="sr-Latn-RS"/>
              </w:rPr>
            </w:pPr>
            <w:r w:rsidRPr="008463F3">
              <w:rPr>
                <w:rFonts w:eastAsia="Times New Roman" w:cs="Times New Roman"/>
                <w:color w:val="000000"/>
                <w:lang w:eastAsia="sr-Latn-RS"/>
              </w:rPr>
              <w:t>105</w:t>
            </w:r>
            <w:r>
              <w:rPr>
                <w:rFonts w:eastAsia="Times New Roman" w:cs="Times New Roman"/>
                <w:color w:val="000000"/>
                <w:lang w:eastAsia="sr-Latn-RS"/>
              </w:rPr>
              <w:t>.</w:t>
            </w:r>
            <w:r w:rsidRPr="008463F3">
              <w:rPr>
                <w:rFonts w:eastAsia="Times New Roman" w:cs="Times New Roman"/>
                <w:color w:val="000000"/>
                <w:lang w:eastAsia="sr-Latn-RS"/>
              </w:rPr>
              <w:t>25k</w:t>
            </w:r>
          </w:p>
        </w:tc>
      </w:tr>
      <w:tr w:rsidR="007947BF" w:rsidRPr="008463F3" w14:paraId="532921E1" w14:textId="77777777" w:rsidTr="00DA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noWrap/>
            <w:hideMark/>
          </w:tcPr>
          <w:p w14:paraId="2B967E17" w14:textId="77777777" w:rsidR="007947BF" w:rsidRPr="008463F3" w:rsidRDefault="007947BF" w:rsidP="00DA2AFC">
            <w:pPr>
              <w:rPr>
                <w:rFonts w:asciiTheme="minorHAnsi" w:eastAsia="Times New Roman" w:hAnsiTheme="minorHAnsi" w:cs="Times New Roman"/>
                <w:color w:val="000000"/>
                <w:lang w:eastAsia="sr-Latn-RS"/>
              </w:rPr>
            </w:pPr>
            <w:r w:rsidRPr="008463F3">
              <w:rPr>
                <w:rFonts w:asciiTheme="minorHAnsi" w:eastAsia="Times New Roman" w:hAnsiTheme="minorHAnsi" w:cs="Times New Roman"/>
                <w:color w:val="000000"/>
                <w:lang w:eastAsia="sr-Latn-RS"/>
              </w:rPr>
              <w:t>Smart, green and integrated transport</w:t>
            </w:r>
          </w:p>
        </w:tc>
        <w:tc>
          <w:tcPr>
            <w:tcW w:w="1291" w:type="dxa"/>
            <w:noWrap/>
            <w:hideMark/>
          </w:tcPr>
          <w:p w14:paraId="477010FF" w14:textId="77777777" w:rsidR="007947BF" w:rsidRPr="008463F3" w:rsidRDefault="007947BF" w:rsidP="00DA2AF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sr-Latn-RS"/>
              </w:rPr>
            </w:pPr>
            <w:r w:rsidRPr="008463F3">
              <w:rPr>
                <w:rFonts w:eastAsia="Times New Roman" w:cs="Times New Roman"/>
                <w:color w:val="000000"/>
                <w:lang w:eastAsia="sr-Latn-RS"/>
              </w:rPr>
              <w:t>2</w:t>
            </w:r>
          </w:p>
        </w:tc>
        <w:tc>
          <w:tcPr>
            <w:tcW w:w="1534" w:type="dxa"/>
            <w:noWrap/>
          </w:tcPr>
          <w:p w14:paraId="3148DBE8" w14:textId="77777777" w:rsidR="007947BF" w:rsidRPr="008463F3" w:rsidRDefault="007947BF" w:rsidP="00DA2AF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sr-Latn-RS"/>
              </w:rPr>
            </w:pPr>
            <w:r w:rsidRPr="008463F3">
              <w:rPr>
                <w:rFonts w:eastAsia="Times New Roman" w:cs="Times New Roman"/>
                <w:color w:val="000000"/>
                <w:lang w:eastAsia="sr-Latn-RS"/>
              </w:rPr>
              <w:t>117</w:t>
            </w:r>
            <w:r>
              <w:rPr>
                <w:rFonts w:eastAsia="Times New Roman" w:cs="Times New Roman"/>
                <w:color w:val="000000"/>
                <w:lang w:eastAsia="sr-Latn-RS"/>
              </w:rPr>
              <w:t>.</w:t>
            </w:r>
            <w:r w:rsidRPr="008463F3">
              <w:rPr>
                <w:rFonts w:eastAsia="Times New Roman" w:cs="Times New Roman"/>
                <w:color w:val="000000"/>
                <w:lang w:eastAsia="sr-Latn-RS"/>
              </w:rPr>
              <w:t>58k</w:t>
            </w:r>
          </w:p>
        </w:tc>
      </w:tr>
      <w:tr w:rsidR="007947BF" w:rsidRPr="008463F3" w14:paraId="4F3E4C87" w14:textId="77777777" w:rsidTr="00DA2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noWrap/>
          </w:tcPr>
          <w:p w14:paraId="6C05A354" w14:textId="77777777" w:rsidR="007947BF" w:rsidRPr="008463F3" w:rsidRDefault="007947BF" w:rsidP="00DA2AFC">
            <w:pPr>
              <w:rPr>
                <w:rFonts w:asciiTheme="minorHAnsi" w:eastAsia="Times New Roman" w:hAnsiTheme="minorHAnsi" w:cs="Times New Roman"/>
                <w:color w:val="000000"/>
                <w:lang w:eastAsia="sr-Latn-RS"/>
              </w:rPr>
            </w:pPr>
            <w:r w:rsidRPr="008463F3">
              <w:rPr>
                <w:rFonts w:asciiTheme="minorHAnsi" w:eastAsia="Times New Roman" w:hAnsiTheme="minorHAnsi" w:cs="Times New Roman"/>
                <w:color w:val="000000"/>
                <w:lang w:eastAsia="sr-Latn-RS"/>
              </w:rPr>
              <w:t>Advanced manufacturing and processing</w:t>
            </w:r>
          </w:p>
        </w:tc>
        <w:tc>
          <w:tcPr>
            <w:tcW w:w="1291" w:type="dxa"/>
            <w:noWrap/>
          </w:tcPr>
          <w:p w14:paraId="2F57D19E" w14:textId="77777777" w:rsidR="007947BF" w:rsidRPr="008463F3" w:rsidRDefault="007947BF" w:rsidP="00DA2AFC">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eastAsia="sr-Latn-RS"/>
              </w:rPr>
            </w:pPr>
            <w:r w:rsidRPr="008463F3">
              <w:rPr>
                <w:rFonts w:eastAsia="Times New Roman" w:cs="Times New Roman"/>
                <w:color w:val="000000"/>
                <w:lang w:eastAsia="sr-Latn-RS"/>
              </w:rPr>
              <w:t>1</w:t>
            </w:r>
          </w:p>
        </w:tc>
        <w:tc>
          <w:tcPr>
            <w:tcW w:w="1534" w:type="dxa"/>
            <w:noWrap/>
          </w:tcPr>
          <w:p w14:paraId="571156DD" w14:textId="77777777" w:rsidR="007947BF" w:rsidRPr="008463F3" w:rsidRDefault="007947BF" w:rsidP="00DA2AFC">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eastAsia="sr-Latn-RS"/>
              </w:rPr>
            </w:pPr>
            <w:r w:rsidRPr="008463F3">
              <w:rPr>
                <w:rFonts w:eastAsia="Times New Roman" w:cs="Times New Roman"/>
                <w:color w:val="000000"/>
                <w:lang w:eastAsia="sr-Latn-RS"/>
              </w:rPr>
              <w:t>221</w:t>
            </w:r>
            <w:r>
              <w:rPr>
                <w:rFonts w:eastAsia="Times New Roman" w:cs="Times New Roman"/>
                <w:color w:val="000000"/>
                <w:lang w:eastAsia="sr-Latn-RS"/>
              </w:rPr>
              <w:t>.</w:t>
            </w:r>
            <w:r w:rsidRPr="008463F3">
              <w:rPr>
                <w:rFonts w:eastAsia="Times New Roman" w:cs="Times New Roman"/>
                <w:color w:val="000000"/>
                <w:lang w:eastAsia="sr-Latn-RS"/>
              </w:rPr>
              <w:t>23k</w:t>
            </w:r>
          </w:p>
        </w:tc>
      </w:tr>
      <w:tr w:rsidR="007947BF" w:rsidRPr="008463F3" w14:paraId="6BC0EA26" w14:textId="77777777" w:rsidTr="00DA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noWrap/>
          </w:tcPr>
          <w:p w14:paraId="240AB4A1" w14:textId="77777777" w:rsidR="007947BF" w:rsidRPr="008463F3" w:rsidRDefault="007947BF" w:rsidP="00DA2AFC">
            <w:pPr>
              <w:rPr>
                <w:rFonts w:asciiTheme="minorHAnsi" w:eastAsia="Times New Roman" w:hAnsiTheme="minorHAnsi" w:cs="Times New Roman"/>
                <w:color w:val="000000"/>
                <w:lang w:eastAsia="sr-Latn-RS"/>
              </w:rPr>
            </w:pPr>
            <w:r w:rsidRPr="008463F3">
              <w:rPr>
                <w:rFonts w:asciiTheme="minorHAnsi" w:eastAsia="Times New Roman" w:hAnsiTheme="minorHAnsi" w:cs="Times New Roman"/>
                <w:color w:val="000000"/>
                <w:lang w:eastAsia="sr-Latn-RS"/>
              </w:rPr>
              <w:t>Space</w:t>
            </w:r>
          </w:p>
        </w:tc>
        <w:tc>
          <w:tcPr>
            <w:tcW w:w="1291" w:type="dxa"/>
            <w:noWrap/>
          </w:tcPr>
          <w:p w14:paraId="49C0594F" w14:textId="77777777" w:rsidR="007947BF" w:rsidRPr="008463F3" w:rsidRDefault="007947BF" w:rsidP="00DA2AF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sr-Latn-RS"/>
              </w:rPr>
            </w:pPr>
            <w:r w:rsidRPr="008463F3">
              <w:rPr>
                <w:rFonts w:eastAsia="Times New Roman" w:cs="Times New Roman"/>
                <w:color w:val="000000"/>
                <w:lang w:eastAsia="sr-Latn-RS"/>
              </w:rPr>
              <w:t>1</w:t>
            </w:r>
          </w:p>
        </w:tc>
        <w:tc>
          <w:tcPr>
            <w:tcW w:w="1534" w:type="dxa"/>
            <w:noWrap/>
          </w:tcPr>
          <w:p w14:paraId="732EF6D9" w14:textId="77777777" w:rsidR="007947BF" w:rsidRPr="008463F3" w:rsidRDefault="007947BF" w:rsidP="00DA2AF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sr-Latn-RS"/>
              </w:rPr>
            </w:pPr>
            <w:r w:rsidRPr="008463F3">
              <w:rPr>
                <w:rFonts w:eastAsia="Times New Roman" w:cs="Times New Roman"/>
                <w:color w:val="000000"/>
                <w:lang w:eastAsia="sr-Latn-RS"/>
              </w:rPr>
              <w:t>0</w:t>
            </w:r>
          </w:p>
        </w:tc>
      </w:tr>
      <w:tr w:rsidR="007947BF" w:rsidRPr="008463F3" w14:paraId="5C553E65" w14:textId="77777777" w:rsidTr="00DA2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noWrap/>
          </w:tcPr>
          <w:p w14:paraId="62E3B5CE" w14:textId="77777777" w:rsidR="007947BF" w:rsidRPr="008463F3" w:rsidRDefault="007947BF" w:rsidP="00DA2AFC">
            <w:pPr>
              <w:rPr>
                <w:rFonts w:asciiTheme="minorHAnsi" w:eastAsia="Times New Roman" w:hAnsiTheme="minorHAnsi" w:cs="Times New Roman"/>
                <w:color w:val="000000"/>
                <w:lang w:eastAsia="sr-Latn-RS"/>
              </w:rPr>
            </w:pPr>
            <w:r w:rsidRPr="008463F3">
              <w:rPr>
                <w:rFonts w:asciiTheme="minorHAnsi" w:eastAsia="Times New Roman" w:hAnsiTheme="minorHAnsi" w:cs="Times New Roman"/>
                <w:color w:val="000000"/>
                <w:lang w:eastAsia="sr-Latn-RS"/>
              </w:rPr>
              <w:t>Biotechnology</w:t>
            </w:r>
          </w:p>
        </w:tc>
        <w:tc>
          <w:tcPr>
            <w:tcW w:w="1291" w:type="dxa"/>
            <w:noWrap/>
          </w:tcPr>
          <w:p w14:paraId="54C27F5E" w14:textId="77777777" w:rsidR="007947BF" w:rsidRPr="008463F3" w:rsidRDefault="007947BF" w:rsidP="00DA2AFC">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eastAsia="sr-Latn-RS"/>
              </w:rPr>
            </w:pPr>
            <w:r w:rsidRPr="008463F3">
              <w:rPr>
                <w:rFonts w:eastAsia="Times New Roman" w:cs="Times New Roman"/>
                <w:color w:val="000000"/>
                <w:lang w:eastAsia="sr-Latn-RS"/>
              </w:rPr>
              <w:t>1</w:t>
            </w:r>
          </w:p>
        </w:tc>
        <w:tc>
          <w:tcPr>
            <w:tcW w:w="1534" w:type="dxa"/>
            <w:noWrap/>
          </w:tcPr>
          <w:p w14:paraId="449D29B1" w14:textId="77777777" w:rsidR="007947BF" w:rsidRPr="008463F3" w:rsidRDefault="007947BF" w:rsidP="00DA2AFC">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eastAsia="sr-Latn-RS"/>
              </w:rPr>
            </w:pPr>
            <w:r w:rsidRPr="008463F3">
              <w:rPr>
                <w:rFonts w:eastAsia="Times New Roman" w:cs="Times New Roman"/>
                <w:color w:val="000000"/>
                <w:lang w:eastAsia="sr-Latn-RS"/>
              </w:rPr>
              <w:t>181</w:t>
            </w:r>
            <w:r>
              <w:rPr>
                <w:rFonts w:eastAsia="Times New Roman" w:cs="Times New Roman"/>
                <w:color w:val="000000"/>
                <w:lang w:eastAsia="sr-Latn-RS"/>
              </w:rPr>
              <w:t>.</w:t>
            </w:r>
            <w:r w:rsidRPr="008463F3">
              <w:rPr>
                <w:rFonts w:eastAsia="Times New Roman" w:cs="Times New Roman"/>
                <w:color w:val="000000"/>
                <w:lang w:eastAsia="sr-Latn-RS"/>
              </w:rPr>
              <w:t>5k</w:t>
            </w:r>
          </w:p>
        </w:tc>
      </w:tr>
      <w:tr w:rsidR="007947BF" w:rsidRPr="008463F3" w14:paraId="12B785E2" w14:textId="77777777" w:rsidTr="00DA2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noWrap/>
          </w:tcPr>
          <w:p w14:paraId="4D479364" w14:textId="77777777" w:rsidR="007947BF" w:rsidRPr="008463F3" w:rsidRDefault="007947BF" w:rsidP="00DA2AFC">
            <w:pPr>
              <w:rPr>
                <w:rFonts w:asciiTheme="minorHAnsi" w:eastAsia="Times New Roman" w:hAnsiTheme="minorHAnsi" w:cs="Times New Roman"/>
                <w:color w:val="000000"/>
                <w:lang w:eastAsia="sr-Latn-RS"/>
              </w:rPr>
            </w:pPr>
            <w:r w:rsidRPr="008463F3">
              <w:rPr>
                <w:rFonts w:asciiTheme="minorHAnsi" w:eastAsia="Times New Roman" w:hAnsiTheme="minorHAnsi" w:cs="Times New Roman"/>
                <w:color w:val="000000"/>
                <w:lang w:eastAsia="sr-Latn-RS"/>
              </w:rPr>
              <w:t>Transnational networks of National Contact Points</w:t>
            </w:r>
          </w:p>
        </w:tc>
        <w:tc>
          <w:tcPr>
            <w:tcW w:w="1291" w:type="dxa"/>
            <w:noWrap/>
          </w:tcPr>
          <w:p w14:paraId="4DEE2FFB" w14:textId="77777777" w:rsidR="007947BF" w:rsidRPr="008463F3" w:rsidRDefault="007947BF" w:rsidP="00DA2AF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sr-Latn-RS"/>
              </w:rPr>
            </w:pPr>
            <w:r w:rsidRPr="008463F3">
              <w:rPr>
                <w:rFonts w:eastAsia="Times New Roman" w:cs="Times New Roman"/>
                <w:color w:val="000000"/>
                <w:lang w:eastAsia="sr-Latn-RS"/>
              </w:rPr>
              <w:t>1</w:t>
            </w:r>
          </w:p>
        </w:tc>
        <w:tc>
          <w:tcPr>
            <w:tcW w:w="1534" w:type="dxa"/>
            <w:noWrap/>
          </w:tcPr>
          <w:p w14:paraId="45B3830E" w14:textId="77777777" w:rsidR="007947BF" w:rsidRPr="008463F3" w:rsidRDefault="007947BF" w:rsidP="00DA2AFC">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sr-Latn-RS"/>
              </w:rPr>
            </w:pPr>
            <w:r w:rsidRPr="008463F3">
              <w:rPr>
                <w:rFonts w:eastAsia="Times New Roman" w:cs="Times New Roman"/>
                <w:color w:val="000000"/>
                <w:lang w:eastAsia="sr-Latn-RS"/>
              </w:rPr>
              <w:t>39</w:t>
            </w:r>
            <w:r>
              <w:rPr>
                <w:rFonts w:eastAsia="Times New Roman" w:cs="Times New Roman"/>
                <w:color w:val="000000"/>
                <w:lang w:eastAsia="sr-Latn-RS"/>
              </w:rPr>
              <w:t>.</w:t>
            </w:r>
            <w:r w:rsidRPr="008463F3">
              <w:rPr>
                <w:rFonts w:eastAsia="Times New Roman" w:cs="Times New Roman"/>
                <w:color w:val="000000"/>
                <w:lang w:eastAsia="sr-Latn-RS"/>
              </w:rPr>
              <w:t>19k</w:t>
            </w:r>
          </w:p>
        </w:tc>
      </w:tr>
      <w:tr w:rsidR="007947BF" w:rsidRPr="008463F3" w14:paraId="46DCD643" w14:textId="77777777" w:rsidTr="00DA2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noWrap/>
          </w:tcPr>
          <w:p w14:paraId="2597E1C1" w14:textId="77777777" w:rsidR="007947BF" w:rsidRPr="008463F3" w:rsidRDefault="007947BF" w:rsidP="00DA2AFC">
            <w:pPr>
              <w:rPr>
                <w:rFonts w:asciiTheme="minorHAnsi" w:eastAsia="Times New Roman" w:hAnsiTheme="minorHAnsi" w:cs="Times New Roman"/>
                <w:color w:val="000000"/>
                <w:lang w:eastAsia="sr-Latn-RS"/>
              </w:rPr>
            </w:pPr>
            <w:r w:rsidRPr="008463F3">
              <w:rPr>
                <w:rFonts w:asciiTheme="minorHAnsi" w:eastAsia="Times New Roman" w:hAnsiTheme="minorHAnsi" w:cs="Times New Roman"/>
                <w:color w:val="000000"/>
                <w:lang w:eastAsia="sr-Latn-RS"/>
              </w:rPr>
              <w:t>Twinning of research institutions</w:t>
            </w:r>
          </w:p>
        </w:tc>
        <w:tc>
          <w:tcPr>
            <w:tcW w:w="1291" w:type="dxa"/>
            <w:noWrap/>
          </w:tcPr>
          <w:p w14:paraId="4EBC7ADC" w14:textId="77777777" w:rsidR="007947BF" w:rsidRPr="008463F3" w:rsidRDefault="007947BF" w:rsidP="00DA2AFC">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eastAsia="sr-Latn-RS"/>
              </w:rPr>
            </w:pPr>
            <w:r w:rsidRPr="008463F3">
              <w:rPr>
                <w:rFonts w:eastAsia="Times New Roman" w:cs="Times New Roman"/>
                <w:color w:val="000000"/>
                <w:lang w:eastAsia="sr-Latn-RS"/>
              </w:rPr>
              <w:t>1</w:t>
            </w:r>
          </w:p>
        </w:tc>
        <w:tc>
          <w:tcPr>
            <w:tcW w:w="1534" w:type="dxa"/>
            <w:noWrap/>
          </w:tcPr>
          <w:p w14:paraId="2FC22A48" w14:textId="77777777" w:rsidR="007947BF" w:rsidRPr="008463F3" w:rsidRDefault="007947BF" w:rsidP="00DA2AFC">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eastAsia="sr-Latn-RS"/>
              </w:rPr>
            </w:pPr>
            <w:r w:rsidRPr="008463F3">
              <w:rPr>
                <w:rFonts w:eastAsia="Times New Roman" w:cs="Times New Roman"/>
                <w:color w:val="000000"/>
                <w:lang w:eastAsia="sr-Latn-RS"/>
              </w:rPr>
              <w:t>238</w:t>
            </w:r>
            <w:r>
              <w:rPr>
                <w:rFonts w:eastAsia="Times New Roman" w:cs="Times New Roman"/>
                <w:color w:val="000000"/>
                <w:lang w:eastAsia="sr-Latn-RS"/>
              </w:rPr>
              <w:t>.</w:t>
            </w:r>
            <w:r w:rsidRPr="008463F3">
              <w:rPr>
                <w:rFonts w:eastAsia="Times New Roman" w:cs="Times New Roman"/>
                <w:color w:val="000000"/>
                <w:lang w:eastAsia="sr-Latn-RS"/>
              </w:rPr>
              <w:t>7k</w:t>
            </w:r>
          </w:p>
        </w:tc>
      </w:tr>
    </w:tbl>
    <w:p w14:paraId="21149478" w14:textId="77777777" w:rsidR="007947BF" w:rsidRPr="008463F3" w:rsidRDefault="007947BF" w:rsidP="007947BF">
      <w:pPr>
        <w:jc w:val="both"/>
        <w:rPr>
          <w:rFonts w:cs="Times New Roman"/>
          <w:lang w:val="en-GB"/>
        </w:rPr>
      </w:pPr>
      <w:r w:rsidRPr="008463F3">
        <w:rPr>
          <w:rFonts w:cs="Times New Roman"/>
          <w:sz w:val="20"/>
          <w:lang w:val="en-GB"/>
        </w:rPr>
        <w:t xml:space="preserve">Source: Own calculations based on: </w:t>
      </w:r>
      <w:hyperlink r:id="rId8" w:history="1">
        <w:r w:rsidRPr="008463F3">
          <w:rPr>
            <w:rStyle w:val="Hyperlink"/>
            <w:rFonts w:cs="Times New Roman"/>
            <w:sz w:val="20"/>
          </w:rPr>
          <w:t>http://cordis.europa.eu</w:t>
        </w:r>
      </w:hyperlink>
      <w:r w:rsidRPr="008463F3">
        <w:rPr>
          <w:rFonts w:cs="Times New Roman"/>
          <w:lang w:val="en-GB"/>
        </w:rPr>
        <w:t xml:space="preserve"> </w:t>
      </w:r>
    </w:p>
    <w:p w14:paraId="2D90880D" w14:textId="77777777" w:rsidR="007947BF" w:rsidRPr="008463F3" w:rsidRDefault="007947BF" w:rsidP="007947BF">
      <w:pPr>
        <w:jc w:val="both"/>
        <w:rPr>
          <w:rFonts w:eastAsiaTheme="majorEastAsia" w:cstheme="majorBidi"/>
          <w:b/>
          <w:bCs/>
          <w:color w:val="365F91" w:themeColor="accent1" w:themeShade="BF"/>
          <w:sz w:val="28"/>
          <w:szCs w:val="28"/>
          <w:shd w:val="clear" w:color="auto" w:fill="FFFFFF"/>
          <w:lang w:val="en-GB"/>
        </w:rPr>
      </w:pPr>
      <w:r>
        <w:rPr>
          <w:lang w:val="en-GB"/>
        </w:rPr>
        <w:t>As regards</w:t>
      </w:r>
      <w:r w:rsidRPr="008463F3">
        <w:rPr>
          <w:lang w:val="en-GB"/>
        </w:rPr>
        <w:t xml:space="preserve"> North Macedonia</w:t>
      </w:r>
      <w:r>
        <w:rPr>
          <w:lang w:val="en-GB"/>
        </w:rPr>
        <w:t xml:space="preserve"> participation</w:t>
      </w:r>
      <w:r w:rsidRPr="008463F3">
        <w:rPr>
          <w:lang w:val="en-GB"/>
        </w:rPr>
        <w:t xml:space="preserve"> in FP7, the total of 105 institutions participated in the program</w:t>
      </w:r>
      <w:r>
        <w:rPr>
          <w:lang w:val="en-GB"/>
        </w:rPr>
        <w:t>me</w:t>
      </w:r>
      <w:r w:rsidRPr="008463F3">
        <w:rPr>
          <w:lang w:val="en-GB"/>
        </w:rPr>
        <w:t xml:space="preserve"> as part of 89 projects approved for financing. The total project budget (EC contribution) was 11.93 million euros.</w:t>
      </w:r>
      <w:bookmarkStart w:id="18" w:name="_Toc61096328"/>
      <w:r w:rsidRPr="008463F3">
        <w:rPr>
          <w:shd w:val="clear" w:color="auto" w:fill="FFFFFF"/>
          <w:lang w:val="en-GB"/>
        </w:rPr>
        <w:br w:type="page"/>
      </w:r>
    </w:p>
    <w:p w14:paraId="1CC02701" w14:textId="77777777" w:rsidR="007947BF" w:rsidRPr="008463F3" w:rsidRDefault="007947BF" w:rsidP="007947BF">
      <w:pPr>
        <w:pStyle w:val="Heading1"/>
        <w:spacing w:after="240"/>
        <w:rPr>
          <w:rFonts w:asciiTheme="minorHAnsi" w:hAnsiTheme="minorHAnsi"/>
          <w:shd w:val="clear" w:color="auto" w:fill="FFFFFF"/>
        </w:rPr>
      </w:pPr>
      <w:bookmarkStart w:id="19" w:name="_Toc77322028"/>
      <w:r w:rsidRPr="008463F3">
        <w:rPr>
          <w:rFonts w:asciiTheme="minorHAnsi" w:hAnsiTheme="minorHAnsi"/>
          <w:shd w:val="clear" w:color="auto" w:fill="FFFFFF"/>
        </w:rPr>
        <w:t xml:space="preserve">4. Analysis of the existing research infrastructures in </w:t>
      </w:r>
      <w:bookmarkEnd w:id="18"/>
      <w:r w:rsidRPr="008463F3">
        <w:rPr>
          <w:rFonts w:asciiTheme="minorHAnsi" w:hAnsiTheme="minorHAnsi"/>
          <w:shd w:val="clear" w:color="auto" w:fill="FFFFFF"/>
        </w:rPr>
        <w:t>North Macedonia</w:t>
      </w:r>
      <w:bookmarkEnd w:id="19"/>
    </w:p>
    <w:p w14:paraId="12A50165" w14:textId="77777777" w:rsidR="007947BF" w:rsidRPr="008463F3" w:rsidRDefault="007947BF" w:rsidP="007947BF">
      <w:pPr>
        <w:spacing w:after="360"/>
        <w:jc w:val="both"/>
        <w:rPr>
          <w:lang w:val="en-GB"/>
        </w:rPr>
      </w:pPr>
      <w:r w:rsidRPr="008463F3">
        <w:rPr>
          <w:lang w:val="en-GB"/>
        </w:rPr>
        <w:t xml:space="preserve">The questionnaire for providing data on research infrastructures was sent by the Ministry of Education and Science to all relevant research institutions in North Macedonia in December 2020. Questionnaires were completed at the level of research laboratories and institutes operating within the </w:t>
      </w:r>
      <w:r>
        <w:rPr>
          <w:lang w:val="en-GB"/>
        </w:rPr>
        <w:t xml:space="preserve">public </w:t>
      </w:r>
      <w:r w:rsidRPr="008463F3">
        <w:rPr>
          <w:lang w:val="en-GB"/>
        </w:rPr>
        <w:t xml:space="preserve">faculties and private universities. The response rate was at a very satisfactory level </w:t>
      </w:r>
      <w:r>
        <w:rPr>
          <w:lang w:val="en-GB"/>
        </w:rPr>
        <w:t>as</w:t>
      </w:r>
      <w:r w:rsidRPr="008463F3">
        <w:rPr>
          <w:lang w:val="en-GB"/>
        </w:rPr>
        <w:t xml:space="preserve"> most research institutions responded to the call. As expected, the largest number of answers came from the Ss. Cyril and Methodius University in Skopje since it is the most important University in the economy. Chapter 4.1 provides an overview of the research infrastructures </w:t>
      </w:r>
      <w:r>
        <w:rPr>
          <w:lang w:val="en-GB"/>
        </w:rPr>
        <w:t>based on the</w:t>
      </w:r>
      <w:r w:rsidRPr="008463F3">
        <w:rPr>
          <w:lang w:val="en-GB"/>
        </w:rPr>
        <w:t xml:space="preserve"> completed questionnaires.</w:t>
      </w:r>
    </w:p>
    <w:p w14:paraId="5F3343BA" w14:textId="77777777" w:rsidR="007947BF" w:rsidRPr="008463F3" w:rsidRDefault="007947BF" w:rsidP="007947BF">
      <w:pPr>
        <w:pStyle w:val="Heading2"/>
        <w:spacing w:after="240"/>
        <w:rPr>
          <w:rFonts w:asciiTheme="minorHAnsi" w:hAnsiTheme="minorHAnsi"/>
          <w:shd w:val="clear" w:color="auto" w:fill="FFFFFF"/>
          <w:lang w:val="en-GB"/>
        </w:rPr>
      </w:pPr>
      <w:bookmarkStart w:id="20" w:name="_Toc61096329"/>
      <w:bookmarkStart w:id="21" w:name="_Toc77322029"/>
      <w:r w:rsidRPr="008463F3">
        <w:rPr>
          <w:rFonts w:asciiTheme="minorHAnsi" w:hAnsiTheme="minorHAnsi"/>
          <w:shd w:val="clear" w:color="auto" w:fill="FFFFFF"/>
          <w:lang w:val="en-GB"/>
        </w:rPr>
        <w:t>4.1. Overview of research infrastructures</w:t>
      </w:r>
      <w:bookmarkEnd w:id="20"/>
      <w:bookmarkEnd w:id="21"/>
      <w:r w:rsidRPr="008463F3">
        <w:rPr>
          <w:rFonts w:asciiTheme="minorHAnsi" w:hAnsiTheme="minorHAnsi"/>
          <w:shd w:val="clear" w:color="auto" w:fill="FFFFFF"/>
          <w:lang w:val="en-GB"/>
        </w:rPr>
        <w:t xml:space="preserve"> </w:t>
      </w:r>
    </w:p>
    <w:p w14:paraId="4CBA0DB6" w14:textId="77777777" w:rsidR="007947BF" w:rsidRPr="008463F3" w:rsidRDefault="007947BF" w:rsidP="007947BF">
      <w:pPr>
        <w:jc w:val="both"/>
        <w:rPr>
          <w:lang w:val="en-GB"/>
        </w:rPr>
      </w:pPr>
      <w:r w:rsidRPr="008463F3">
        <w:rPr>
          <w:lang w:val="en-GB"/>
        </w:rPr>
        <w:t xml:space="preserve">Despite the fact that universities in North Macedonia are mostly focused on education, there is evidence </w:t>
      </w:r>
      <w:r>
        <w:rPr>
          <w:lang w:val="en-GB"/>
        </w:rPr>
        <w:t>of their</w:t>
      </w:r>
      <w:r w:rsidRPr="008463F3">
        <w:rPr>
          <w:lang w:val="en-GB"/>
        </w:rPr>
        <w:t xml:space="preserve"> engagement in research activities, predominantly </w:t>
      </w:r>
      <w:r>
        <w:rPr>
          <w:lang w:val="en-GB"/>
        </w:rPr>
        <w:t>of</w:t>
      </w:r>
      <w:r w:rsidRPr="008463F3">
        <w:rPr>
          <w:lang w:val="en-GB"/>
        </w:rPr>
        <w:t xml:space="preserve"> </w:t>
      </w:r>
      <w:r>
        <w:rPr>
          <w:lang w:val="en-GB"/>
        </w:rPr>
        <w:t>public</w:t>
      </w:r>
      <w:r w:rsidRPr="008463F3">
        <w:rPr>
          <w:lang w:val="en-GB"/>
        </w:rPr>
        <w:t xml:space="preserve"> universities. </w:t>
      </w:r>
      <w:r>
        <w:rPr>
          <w:lang w:val="en-GB"/>
        </w:rPr>
        <w:t>O</w:t>
      </w:r>
      <w:r w:rsidRPr="008463F3">
        <w:rPr>
          <w:lang w:val="en-GB"/>
        </w:rPr>
        <w:t xml:space="preserve">ut of a total of 70 research laboratories / institutes that responded to the questionnaire, 20 own single capital research equipment worth over 50,000 euros. With regards to the </w:t>
      </w:r>
      <w:r>
        <w:rPr>
          <w:lang w:val="en-GB"/>
        </w:rPr>
        <w:t>public</w:t>
      </w:r>
      <w:r w:rsidRPr="008463F3">
        <w:rPr>
          <w:lang w:val="en-GB"/>
        </w:rPr>
        <w:t xml:space="preserve"> universities, capital research equipment is mainly located at the Ss. Cyril and Methodius University in Skopje. The Institute for Advanced Composites and Robotics in </w:t>
      </w:r>
      <w:proofErr w:type="spellStart"/>
      <w:r w:rsidRPr="008463F3">
        <w:rPr>
          <w:lang w:val="en-GB"/>
        </w:rPr>
        <w:t>Prilep</w:t>
      </w:r>
      <w:proofErr w:type="spellEnd"/>
      <w:r w:rsidRPr="008463F3">
        <w:rPr>
          <w:lang w:val="en-GB"/>
        </w:rPr>
        <w:t xml:space="preserve"> is the only private research institution that owns single capital research equipment worth over 50,000 euros. The total purchase value of all evidenced capital research equipment (worth over 50.000 euro) is estimated at around 15 million euros (Table 2). However, it should be noted that the current value of the equipment is significantly lower</w:t>
      </w:r>
      <w:r>
        <w:rPr>
          <w:lang w:val="en-GB"/>
        </w:rPr>
        <w:t xml:space="preserve"> taking </w:t>
      </w:r>
      <w:r w:rsidRPr="008463F3">
        <w:rPr>
          <w:lang w:val="en-GB"/>
        </w:rPr>
        <w:t>into account</w:t>
      </w:r>
      <w:r>
        <w:rPr>
          <w:lang w:val="en-GB"/>
        </w:rPr>
        <w:t xml:space="preserve"> the depreciation</w:t>
      </w:r>
      <w:r w:rsidRPr="008463F3">
        <w:rPr>
          <w:lang w:val="en-GB"/>
        </w:rPr>
        <w:t>. The full list of research capital equipment is presented in Appendix 1.</w:t>
      </w:r>
    </w:p>
    <w:p w14:paraId="18ACE27A" w14:textId="77777777" w:rsidR="007947BF" w:rsidRPr="008463F3" w:rsidRDefault="007947BF" w:rsidP="007947BF">
      <w:pPr>
        <w:jc w:val="both"/>
        <w:rPr>
          <w:lang w:val="en-GB"/>
        </w:rPr>
      </w:pPr>
      <w:r w:rsidRPr="008463F3">
        <w:rPr>
          <w:lang w:val="en-GB"/>
        </w:rPr>
        <w:t xml:space="preserve">The average age of research equipment is 9 years. The most common sources of funds for the purchase of equipment include Ministry of Education and Science, </w:t>
      </w:r>
      <w:r>
        <w:rPr>
          <w:lang w:val="en-GB"/>
        </w:rPr>
        <w:t>i</w:t>
      </w:r>
      <w:r w:rsidRPr="008463F3">
        <w:rPr>
          <w:lang w:val="en-GB"/>
        </w:rPr>
        <w:t xml:space="preserve">nternational donations and </w:t>
      </w:r>
      <w:r>
        <w:rPr>
          <w:lang w:val="en-GB"/>
        </w:rPr>
        <w:t>o</w:t>
      </w:r>
      <w:r w:rsidRPr="008463F3">
        <w:rPr>
          <w:lang w:val="en-GB"/>
        </w:rPr>
        <w:t xml:space="preserve">wn funds. </w:t>
      </w:r>
    </w:p>
    <w:p w14:paraId="3B791041" w14:textId="77777777" w:rsidR="007947BF" w:rsidRPr="008463F3" w:rsidRDefault="007947BF" w:rsidP="007947BF">
      <w:pPr>
        <w:spacing w:after="0"/>
        <w:jc w:val="both"/>
        <w:rPr>
          <w:lang w:val="en-GB"/>
        </w:rPr>
      </w:pPr>
      <w:r w:rsidRPr="008463F3">
        <w:rPr>
          <w:b/>
          <w:lang w:val="en-GB"/>
        </w:rPr>
        <w:t>Table 2</w:t>
      </w:r>
      <w:r w:rsidRPr="008463F3">
        <w:rPr>
          <w:lang w:val="en-GB"/>
        </w:rPr>
        <w:t>: General overview of the state of capital research equipment within research institutions in North Macedonia</w:t>
      </w: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91"/>
        <w:gridCol w:w="1984"/>
        <w:gridCol w:w="2127"/>
        <w:gridCol w:w="1303"/>
      </w:tblGrid>
      <w:tr w:rsidR="007947BF" w:rsidRPr="008463F3" w14:paraId="078F9BCB" w14:textId="77777777" w:rsidTr="00DA2AFC">
        <w:trPr>
          <w:tblHeader/>
        </w:trPr>
        <w:tc>
          <w:tcPr>
            <w:tcW w:w="3691" w:type="dxa"/>
            <w:shd w:val="clear" w:color="auto" w:fill="D9D9D9" w:themeFill="background1" w:themeFillShade="D9"/>
          </w:tcPr>
          <w:p w14:paraId="2E714E5A" w14:textId="77777777" w:rsidR="007947BF" w:rsidRPr="008463F3" w:rsidRDefault="007947BF" w:rsidP="00DA2AFC">
            <w:pPr>
              <w:spacing w:after="0" w:line="240" w:lineRule="auto"/>
              <w:rPr>
                <w:rFonts w:cstheme="minorHAnsi"/>
                <w:b/>
                <w:sz w:val="20"/>
                <w:szCs w:val="20"/>
                <w:lang w:val="en-GB"/>
              </w:rPr>
            </w:pPr>
            <w:r w:rsidRPr="008463F3">
              <w:rPr>
                <w:rFonts w:cstheme="minorHAnsi"/>
                <w:b/>
                <w:sz w:val="20"/>
                <w:szCs w:val="20"/>
                <w:lang w:val="en-GB"/>
              </w:rPr>
              <w:t>Universities/scientific institutions</w:t>
            </w:r>
          </w:p>
        </w:tc>
        <w:tc>
          <w:tcPr>
            <w:tcW w:w="1984" w:type="dxa"/>
            <w:shd w:val="clear" w:color="auto" w:fill="D9D9D9" w:themeFill="background1" w:themeFillShade="D9"/>
          </w:tcPr>
          <w:p w14:paraId="4BD7AA23" w14:textId="77777777" w:rsidR="007947BF" w:rsidRPr="008463F3" w:rsidRDefault="007947BF" w:rsidP="00DA2AFC">
            <w:pPr>
              <w:spacing w:after="0" w:line="240" w:lineRule="auto"/>
              <w:jc w:val="center"/>
              <w:rPr>
                <w:rFonts w:cstheme="minorHAnsi"/>
                <w:b/>
                <w:sz w:val="20"/>
                <w:szCs w:val="20"/>
                <w:lang w:val="en-GB"/>
              </w:rPr>
            </w:pPr>
            <w:r w:rsidRPr="008463F3">
              <w:rPr>
                <w:rFonts w:cstheme="minorHAnsi"/>
                <w:b/>
                <w:sz w:val="20"/>
                <w:szCs w:val="20"/>
                <w:lang w:val="en-GB"/>
              </w:rPr>
              <w:t>Number of research laboratories/institutes that completed the questionnaire</w:t>
            </w:r>
          </w:p>
        </w:tc>
        <w:tc>
          <w:tcPr>
            <w:tcW w:w="2127" w:type="dxa"/>
            <w:shd w:val="clear" w:color="auto" w:fill="D9D9D9" w:themeFill="background1" w:themeFillShade="D9"/>
          </w:tcPr>
          <w:p w14:paraId="2BA6D995" w14:textId="77777777" w:rsidR="007947BF" w:rsidRPr="008463F3" w:rsidRDefault="007947BF" w:rsidP="00DA2AFC">
            <w:pPr>
              <w:spacing w:after="0" w:line="240" w:lineRule="auto"/>
              <w:jc w:val="center"/>
              <w:rPr>
                <w:rFonts w:cstheme="minorHAnsi"/>
                <w:b/>
                <w:sz w:val="20"/>
                <w:szCs w:val="20"/>
                <w:lang w:val="en-GB"/>
              </w:rPr>
            </w:pPr>
            <w:r w:rsidRPr="008463F3">
              <w:rPr>
                <w:rFonts w:cstheme="minorHAnsi"/>
                <w:b/>
                <w:sz w:val="20"/>
                <w:szCs w:val="20"/>
                <w:lang w:val="en-GB"/>
              </w:rPr>
              <w:t>Number of research laboratories/institutes with equipment relevant to the roadmap</w:t>
            </w:r>
          </w:p>
        </w:tc>
        <w:tc>
          <w:tcPr>
            <w:tcW w:w="1303" w:type="dxa"/>
            <w:shd w:val="clear" w:color="auto" w:fill="D9D9D9" w:themeFill="background1" w:themeFillShade="D9"/>
          </w:tcPr>
          <w:p w14:paraId="3AF5ECF1" w14:textId="77777777" w:rsidR="007947BF" w:rsidRPr="008463F3" w:rsidRDefault="007947BF" w:rsidP="00DA2AFC">
            <w:pPr>
              <w:spacing w:after="0" w:line="240" w:lineRule="auto"/>
              <w:jc w:val="center"/>
              <w:rPr>
                <w:rFonts w:cstheme="minorHAnsi"/>
                <w:b/>
                <w:sz w:val="20"/>
                <w:szCs w:val="20"/>
                <w:lang w:val="en-GB"/>
              </w:rPr>
            </w:pPr>
            <w:r w:rsidRPr="008463F3">
              <w:rPr>
                <w:rFonts w:cstheme="minorHAnsi"/>
                <w:b/>
                <w:sz w:val="20"/>
                <w:szCs w:val="20"/>
                <w:lang w:val="en-GB"/>
              </w:rPr>
              <w:t xml:space="preserve">Total purchase value of capital research equipment* </w:t>
            </w:r>
          </w:p>
        </w:tc>
      </w:tr>
      <w:tr w:rsidR="007947BF" w:rsidRPr="008463F3" w14:paraId="214904ED" w14:textId="77777777" w:rsidTr="00DA2AFC">
        <w:tc>
          <w:tcPr>
            <w:tcW w:w="3691" w:type="dxa"/>
          </w:tcPr>
          <w:p w14:paraId="2B585DBD" w14:textId="77777777" w:rsidR="007947BF" w:rsidRPr="008463F3" w:rsidRDefault="007947BF" w:rsidP="00DA2AFC">
            <w:pPr>
              <w:spacing w:after="0" w:line="240" w:lineRule="auto"/>
              <w:rPr>
                <w:rFonts w:cstheme="minorHAnsi"/>
                <w:sz w:val="20"/>
                <w:szCs w:val="20"/>
                <w:lang w:val="en-GB"/>
              </w:rPr>
            </w:pPr>
            <w:r w:rsidRPr="008463F3">
              <w:rPr>
                <w:rFonts w:cstheme="minorHAnsi"/>
                <w:sz w:val="20"/>
                <w:szCs w:val="20"/>
                <w:lang w:val="en-GB"/>
              </w:rPr>
              <w:t>Ss. Cyril and Methodius University in Skopje</w:t>
            </w:r>
          </w:p>
        </w:tc>
        <w:tc>
          <w:tcPr>
            <w:tcW w:w="1984" w:type="dxa"/>
          </w:tcPr>
          <w:p w14:paraId="7810EED4" w14:textId="77777777" w:rsidR="007947BF" w:rsidRPr="008463F3" w:rsidRDefault="007947BF" w:rsidP="00DA2AFC">
            <w:pPr>
              <w:spacing w:after="0" w:line="240" w:lineRule="auto"/>
              <w:jc w:val="center"/>
              <w:rPr>
                <w:rFonts w:cstheme="minorHAnsi"/>
                <w:sz w:val="20"/>
                <w:szCs w:val="20"/>
                <w:lang w:val="en-GB"/>
              </w:rPr>
            </w:pPr>
            <w:r w:rsidRPr="008463F3">
              <w:rPr>
                <w:rFonts w:cstheme="minorHAnsi"/>
                <w:sz w:val="20"/>
                <w:szCs w:val="20"/>
                <w:lang w:val="en-GB"/>
              </w:rPr>
              <w:t>44</w:t>
            </w:r>
          </w:p>
        </w:tc>
        <w:tc>
          <w:tcPr>
            <w:tcW w:w="2127" w:type="dxa"/>
          </w:tcPr>
          <w:p w14:paraId="3CA72CAF" w14:textId="77777777" w:rsidR="007947BF" w:rsidRPr="008463F3" w:rsidRDefault="007947BF" w:rsidP="00DA2AFC">
            <w:pPr>
              <w:spacing w:after="0" w:line="240" w:lineRule="auto"/>
              <w:jc w:val="center"/>
              <w:rPr>
                <w:rFonts w:cstheme="minorHAnsi"/>
                <w:sz w:val="20"/>
                <w:szCs w:val="20"/>
                <w:lang w:val="en-GB"/>
              </w:rPr>
            </w:pPr>
            <w:r w:rsidRPr="008463F3">
              <w:rPr>
                <w:rFonts w:cstheme="minorHAnsi"/>
                <w:sz w:val="20"/>
                <w:szCs w:val="20"/>
                <w:lang w:val="en-GB"/>
              </w:rPr>
              <w:t>15</w:t>
            </w:r>
          </w:p>
        </w:tc>
        <w:tc>
          <w:tcPr>
            <w:tcW w:w="1303" w:type="dxa"/>
          </w:tcPr>
          <w:p w14:paraId="7469FE2D" w14:textId="77777777" w:rsidR="007947BF" w:rsidRPr="008463F3" w:rsidRDefault="007947BF" w:rsidP="00DA2AFC">
            <w:pPr>
              <w:spacing w:after="0" w:line="240" w:lineRule="auto"/>
              <w:jc w:val="center"/>
              <w:rPr>
                <w:rFonts w:cstheme="minorHAnsi"/>
                <w:sz w:val="20"/>
                <w:szCs w:val="20"/>
                <w:lang w:val="en-GB"/>
              </w:rPr>
            </w:pPr>
            <w:r w:rsidRPr="008463F3">
              <w:rPr>
                <w:rFonts w:cstheme="minorHAnsi"/>
                <w:sz w:val="20"/>
                <w:szCs w:val="20"/>
                <w:lang w:val="en-GB"/>
              </w:rPr>
              <w:t>10.200.000</w:t>
            </w:r>
          </w:p>
        </w:tc>
      </w:tr>
      <w:tr w:rsidR="007947BF" w:rsidRPr="008463F3" w14:paraId="1C220613" w14:textId="77777777" w:rsidTr="00DA2AFC">
        <w:tc>
          <w:tcPr>
            <w:tcW w:w="3691" w:type="dxa"/>
          </w:tcPr>
          <w:p w14:paraId="094EC640" w14:textId="77777777" w:rsidR="007947BF" w:rsidRPr="008463F3" w:rsidRDefault="007947BF" w:rsidP="00DA2AFC">
            <w:pPr>
              <w:spacing w:after="0" w:line="240" w:lineRule="auto"/>
              <w:rPr>
                <w:rFonts w:cstheme="minorHAnsi"/>
                <w:sz w:val="20"/>
                <w:szCs w:val="20"/>
                <w:lang w:val="en-GB"/>
              </w:rPr>
            </w:pPr>
            <w:r w:rsidRPr="008463F3">
              <w:rPr>
                <w:rFonts w:cstheme="minorHAnsi"/>
                <w:sz w:val="20"/>
                <w:szCs w:val="20"/>
                <w:lang w:val="en-GB"/>
              </w:rPr>
              <w:t xml:space="preserve">St </w:t>
            </w:r>
            <w:proofErr w:type="spellStart"/>
            <w:r w:rsidRPr="008463F3">
              <w:rPr>
                <w:rFonts w:cstheme="minorHAnsi"/>
                <w:sz w:val="20"/>
                <w:szCs w:val="20"/>
                <w:lang w:val="en-GB"/>
              </w:rPr>
              <w:t>Kliment</w:t>
            </w:r>
            <w:proofErr w:type="spellEnd"/>
            <w:r w:rsidRPr="008463F3">
              <w:rPr>
                <w:rFonts w:cstheme="minorHAnsi"/>
                <w:sz w:val="20"/>
                <w:szCs w:val="20"/>
                <w:lang w:val="en-GB"/>
              </w:rPr>
              <w:t xml:space="preserve"> </w:t>
            </w:r>
            <w:proofErr w:type="spellStart"/>
            <w:r w:rsidRPr="008463F3">
              <w:rPr>
                <w:rFonts w:cstheme="minorHAnsi"/>
                <w:sz w:val="20"/>
                <w:szCs w:val="20"/>
                <w:lang w:val="en-GB"/>
              </w:rPr>
              <w:t>Ohridski</w:t>
            </w:r>
            <w:proofErr w:type="spellEnd"/>
            <w:r w:rsidRPr="008463F3">
              <w:rPr>
                <w:rFonts w:cstheme="minorHAnsi"/>
                <w:sz w:val="20"/>
                <w:szCs w:val="20"/>
                <w:lang w:val="en-GB"/>
              </w:rPr>
              <w:t> University - Bitola</w:t>
            </w:r>
          </w:p>
        </w:tc>
        <w:tc>
          <w:tcPr>
            <w:tcW w:w="1984" w:type="dxa"/>
          </w:tcPr>
          <w:p w14:paraId="2E184A09" w14:textId="77777777" w:rsidR="007947BF" w:rsidRPr="008463F3" w:rsidRDefault="007947BF" w:rsidP="00DA2AFC">
            <w:pPr>
              <w:spacing w:after="0" w:line="240" w:lineRule="auto"/>
              <w:jc w:val="center"/>
              <w:rPr>
                <w:rFonts w:cstheme="minorHAnsi"/>
                <w:sz w:val="20"/>
                <w:szCs w:val="20"/>
                <w:lang w:val="en-GB"/>
              </w:rPr>
            </w:pPr>
            <w:r w:rsidRPr="008463F3">
              <w:rPr>
                <w:rFonts w:cstheme="minorHAnsi"/>
                <w:sz w:val="20"/>
                <w:szCs w:val="20"/>
                <w:lang w:val="en-GB"/>
              </w:rPr>
              <w:t>9</w:t>
            </w:r>
          </w:p>
        </w:tc>
        <w:tc>
          <w:tcPr>
            <w:tcW w:w="2127" w:type="dxa"/>
          </w:tcPr>
          <w:p w14:paraId="74DD0B5D" w14:textId="77777777" w:rsidR="007947BF" w:rsidRPr="008463F3" w:rsidRDefault="007947BF" w:rsidP="00DA2AFC">
            <w:pPr>
              <w:spacing w:after="0" w:line="240" w:lineRule="auto"/>
              <w:jc w:val="center"/>
              <w:rPr>
                <w:rFonts w:cstheme="minorHAnsi"/>
                <w:sz w:val="20"/>
                <w:szCs w:val="20"/>
                <w:lang w:val="en-GB"/>
              </w:rPr>
            </w:pPr>
            <w:r w:rsidRPr="008463F3">
              <w:rPr>
                <w:rFonts w:cstheme="minorHAnsi"/>
                <w:sz w:val="20"/>
                <w:szCs w:val="20"/>
                <w:lang w:val="en-GB"/>
              </w:rPr>
              <w:t>1</w:t>
            </w:r>
          </w:p>
        </w:tc>
        <w:tc>
          <w:tcPr>
            <w:tcW w:w="1303" w:type="dxa"/>
          </w:tcPr>
          <w:p w14:paraId="5F09F5A8" w14:textId="77777777" w:rsidR="007947BF" w:rsidRPr="008463F3" w:rsidRDefault="007947BF" w:rsidP="00DA2AFC">
            <w:pPr>
              <w:spacing w:after="0" w:line="240" w:lineRule="auto"/>
              <w:jc w:val="center"/>
              <w:rPr>
                <w:rFonts w:cstheme="minorHAnsi"/>
                <w:sz w:val="20"/>
                <w:szCs w:val="20"/>
                <w:lang w:val="en-GB"/>
              </w:rPr>
            </w:pPr>
            <w:r w:rsidRPr="008463F3">
              <w:rPr>
                <w:rFonts w:cstheme="minorHAnsi"/>
                <w:sz w:val="20"/>
                <w:szCs w:val="20"/>
                <w:lang w:val="en-GB"/>
              </w:rPr>
              <w:t>600.000</w:t>
            </w:r>
          </w:p>
        </w:tc>
      </w:tr>
      <w:tr w:rsidR="007947BF" w:rsidRPr="008463F3" w14:paraId="15A0BCB4" w14:textId="77777777" w:rsidTr="00DA2AFC">
        <w:tc>
          <w:tcPr>
            <w:tcW w:w="3691" w:type="dxa"/>
          </w:tcPr>
          <w:p w14:paraId="604FCAC9" w14:textId="77777777" w:rsidR="007947BF" w:rsidRPr="008463F3" w:rsidRDefault="007947BF" w:rsidP="00DA2AFC">
            <w:pPr>
              <w:spacing w:after="0" w:line="240" w:lineRule="auto"/>
              <w:rPr>
                <w:rFonts w:cstheme="minorHAnsi"/>
                <w:sz w:val="20"/>
                <w:szCs w:val="20"/>
                <w:lang w:val="en-GB"/>
              </w:rPr>
            </w:pPr>
            <w:proofErr w:type="spellStart"/>
            <w:r w:rsidRPr="008463F3">
              <w:rPr>
                <w:rFonts w:cstheme="minorHAnsi"/>
                <w:sz w:val="20"/>
                <w:szCs w:val="20"/>
                <w:lang w:val="en-GB"/>
              </w:rPr>
              <w:t>Goce</w:t>
            </w:r>
            <w:proofErr w:type="spellEnd"/>
            <w:r w:rsidRPr="008463F3">
              <w:rPr>
                <w:rFonts w:cstheme="minorHAnsi"/>
                <w:sz w:val="20"/>
                <w:szCs w:val="20"/>
                <w:lang w:val="en-GB"/>
              </w:rPr>
              <w:t xml:space="preserve"> </w:t>
            </w:r>
            <w:proofErr w:type="spellStart"/>
            <w:r w:rsidRPr="008463F3">
              <w:rPr>
                <w:rFonts w:cstheme="minorHAnsi"/>
                <w:sz w:val="20"/>
                <w:szCs w:val="20"/>
                <w:lang w:val="en-GB"/>
              </w:rPr>
              <w:t>Delchev</w:t>
            </w:r>
            <w:proofErr w:type="spellEnd"/>
            <w:r w:rsidRPr="008463F3">
              <w:rPr>
                <w:rFonts w:cstheme="minorHAnsi"/>
                <w:sz w:val="20"/>
                <w:szCs w:val="20"/>
                <w:lang w:val="en-GB"/>
              </w:rPr>
              <w:t xml:space="preserve"> University </w:t>
            </w:r>
          </w:p>
        </w:tc>
        <w:tc>
          <w:tcPr>
            <w:tcW w:w="1984" w:type="dxa"/>
          </w:tcPr>
          <w:p w14:paraId="70237096" w14:textId="77777777" w:rsidR="007947BF" w:rsidRPr="008463F3" w:rsidRDefault="007947BF" w:rsidP="00DA2AFC">
            <w:pPr>
              <w:spacing w:after="0" w:line="240" w:lineRule="auto"/>
              <w:jc w:val="center"/>
              <w:rPr>
                <w:rFonts w:cstheme="minorHAnsi"/>
                <w:sz w:val="20"/>
                <w:szCs w:val="20"/>
                <w:lang w:val="en-GB"/>
              </w:rPr>
            </w:pPr>
            <w:r w:rsidRPr="008463F3">
              <w:rPr>
                <w:rFonts w:cstheme="minorHAnsi"/>
                <w:sz w:val="20"/>
                <w:szCs w:val="20"/>
                <w:lang w:val="en-GB"/>
              </w:rPr>
              <w:t>3</w:t>
            </w:r>
          </w:p>
        </w:tc>
        <w:tc>
          <w:tcPr>
            <w:tcW w:w="2127" w:type="dxa"/>
          </w:tcPr>
          <w:p w14:paraId="1AA31618" w14:textId="77777777" w:rsidR="007947BF" w:rsidRPr="008463F3" w:rsidRDefault="007947BF" w:rsidP="00DA2AFC">
            <w:pPr>
              <w:spacing w:after="0" w:line="240" w:lineRule="auto"/>
              <w:jc w:val="center"/>
              <w:rPr>
                <w:rFonts w:cstheme="minorHAnsi"/>
                <w:sz w:val="20"/>
                <w:szCs w:val="20"/>
                <w:lang w:val="en-GB"/>
              </w:rPr>
            </w:pPr>
            <w:r w:rsidRPr="008463F3">
              <w:rPr>
                <w:rFonts w:cstheme="minorHAnsi"/>
                <w:sz w:val="20"/>
                <w:szCs w:val="20"/>
                <w:lang w:val="en-GB"/>
              </w:rPr>
              <w:t>3</w:t>
            </w:r>
          </w:p>
        </w:tc>
        <w:tc>
          <w:tcPr>
            <w:tcW w:w="1303" w:type="dxa"/>
          </w:tcPr>
          <w:p w14:paraId="7D9343E6" w14:textId="77777777" w:rsidR="007947BF" w:rsidRPr="008463F3" w:rsidRDefault="007947BF" w:rsidP="00DA2AFC">
            <w:pPr>
              <w:spacing w:after="0" w:line="240" w:lineRule="auto"/>
              <w:jc w:val="center"/>
              <w:rPr>
                <w:rFonts w:cstheme="minorHAnsi"/>
                <w:sz w:val="20"/>
                <w:szCs w:val="20"/>
                <w:lang w:val="en-GB"/>
              </w:rPr>
            </w:pPr>
            <w:r w:rsidRPr="008463F3">
              <w:rPr>
                <w:rFonts w:cstheme="minorHAnsi"/>
                <w:sz w:val="20"/>
                <w:szCs w:val="20"/>
                <w:lang w:val="en-GB"/>
              </w:rPr>
              <w:t>2.950.000</w:t>
            </w:r>
          </w:p>
        </w:tc>
      </w:tr>
      <w:tr w:rsidR="007947BF" w:rsidRPr="008463F3" w14:paraId="29EA88E5" w14:textId="77777777" w:rsidTr="00DA2AFC">
        <w:tc>
          <w:tcPr>
            <w:tcW w:w="3691" w:type="dxa"/>
          </w:tcPr>
          <w:p w14:paraId="5273F977" w14:textId="77777777" w:rsidR="007947BF" w:rsidRPr="008463F3" w:rsidRDefault="007947BF" w:rsidP="00DA2AFC">
            <w:pPr>
              <w:spacing w:after="0" w:line="240" w:lineRule="auto"/>
              <w:rPr>
                <w:rFonts w:cstheme="minorHAnsi"/>
                <w:sz w:val="20"/>
                <w:szCs w:val="20"/>
                <w:lang w:val="en-GB"/>
              </w:rPr>
            </w:pPr>
            <w:r w:rsidRPr="008463F3">
              <w:rPr>
                <w:rFonts w:cstheme="minorHAnsi"/>
                <w:sz w:val="20"/>
                <w:szCs w:val="20"/>
                <w:lang w:val="en-GB"/>
              </w:rPr>
              <w:t>Mother Teresa</w:t>
            </w:r>
            <w:r>
              <w:rPr>
                <w:rFonts w:cstheme="minorHAnsi"/>
                <w:sz w:val="20"/>
                <w:szCs w:val="20"/>
                <w:lang w:val="en-GB"/>
              </w:rPr>
              <w:t xml:space="preserve"> </w:t>
            </w:r>
            <w:r w:rsidRPr="008463F3">
              <w:rPr>
                <w:rFonts w:cstheme="minorHAnsi"/>
                <w:sz w:val="20"/>
                <w:szCs w:val="20"/>
                <w:lang w:val="en-GB"/>
              </w:rPr>
              <w:t>University, Skopje</w:t>
            </w:r>
          </w:p>
        </w:tc>
        <w:tc>
          <w:tcPr>
            <w:tcW w:w="1984" w:type="dxa"/>
          </w:tcPr>
          <w:p w14:paraId="46362D49" w14:textId="77777777" w:rsidR="007947BF" w:rsidRPr="008463F3" w:rsidRDefault="007947BF" w:rsidP="00DA2AFC">
            <w:pPr>
              <w:spacing w:after="0" w:line="240" w:lineRule="auto"/>
              <w:jc w:val="center"/>
              <w:rPr>
                <w:rFonts w:cstheme="minorHAnsi"/>
                <w:sz w:val="20"/>
                <w:szCs w:val="20"/>
                <w:lang w:val="en-GB"/>
              </w:rPr>
            </w:pPr>
            <w:r w:rsidRPr="008463F3">
              <w:rPr>
                <w:rFonts w:cstheme="minorHAnsi"/>
                <w:sz w:val="20"/>
                <w:szCs w:val="20"/>
                <w:lang w:val="en-GB"/>
              </w:rPr>
              <w:t>4</w:t>
            </w:r>
          </w:p>
        </w:tc>
        <w:tc>
          <w:tcPr>
            <w:tcW w:w="2127" w:type="dxa"/>
          </w:tcPr>
          <w:p w14:paraId="2774284E" w14:textId="77777777" w:rsidR="007947BF" w:rsidRPr="008463F3" w:rsidRDefault="007947BF" w:rsidP="00DA2AFC">
            <w:pPr>
              <w:spacing w:after="0" w:line="240" w:lineRule="auto"/>
              <w:jc w:val="center"/>
              <w:rPr>
                <w:rFonts w:cstheme="minorHAnsi"/>
                <w:sz w:val="20"/>
                <w:szCs w:val="20"/>
                <w:lang w:val="en-GB"/>
              </w:rPr>
            </w:pPr>
            <w:r w:rsidRPr="008463F3">
              <w:rPr>
                <w:rFonts w:cstheme="minorHAnsi"/>
                <w:sz w:val="20"/>
                <w:szCs w:val="20"/>
                <w:lang w:val="en-GB"/>
              </w:rPr>
              <w:t>0</w:t>
            </w:r>
          </w:p>
        </w:tc>
        <w:tc>
          <w:tcPr>
            <w:tcW w:w="1303" w:type="dxa"/>
          </w:tcPr>
          <w:p w14:paraId="2E3B098F" w14:textId="77777777" w:rsidR="007947BF" w:rsidRPr="008463F3" w:rsidRDefault="007947BF" w:rsidP="00DA2AFC">
            <w:pPr>
              <w:spacing w:after="0" w:line="240" w:lineRule="auto"/>
              <w:jc w:val="center"/>
              <w:rPr>
                <w:rFonts w:cstheme="minorHAnsi"/>
                <w:sz w:val="20"/>
                <w:szCs w:val="20"/>
                <w:lang w:val="en-GB"/>
              </w:rPr>
            </w:pPr>
            <w:r w:rsidRPr="008463F3">
              <w:rPr>
                <w:rFonts w:cstheme="minorHAnsi"/>
                <w:sz w:val="20"/>
                <w:szCs w:val="20"/>
                <w:lang w:val="en-GB"/>
              </w:rPr>
              <w:t>/</w:t>
            </w:r>
          </w:p>
        </w:tc>
      </w:tr>
      <w:tr w:rsidR="007947BF" w:rsidRPr="008463F3" w14:paraId="316B0CE1" w14:textId="77777777" w:rsidTr="00DA2AFC">
        <w:tc>
          <w:tcPr>
            <w:tcW w:w="3691" w:type="dxa"/>
          </w:tcPr>
          <w:p w14:paraId="259279C8" w14:textId="77777777" w:rsidR="007947BF" w:rsidRPr="008463F3" w:rsidRDefault="007947BF" w:rsidP="00DA2AFC">
            <w:pPr>
              <w:spacing w:after="0" w:line="240" w:lineRule="auto"/>
              <w:rPr>
                <w:rFonts w:cstheme="minorHAnsi"/>
                <w:sz w:val="20"/>
                <w:szCs w:val="20"/>
                <w:lang w:val="en-GB"/>
              </w:rPr>
            </w:pPr>
            <w:r w:rsidRPr="008463F3">
              <w:rPr>
                <w:rFonts w:cstheme="minorHAnsi"/>
                <w:sz w:val="20"/>
                <w:szCs w:val="20"/>
                <w:lang w:val="en-GB"/>
              </w:rPr>
              <w:t xml:space="preserve">University of </w:t>
            </w:r>
            <w:proofErr w:type="spellStart"/>
            <w:r w:rsidRPr="008463F3">
              <w:rPr>
                <w:rFonts w:cstheme="minorHAnsi"/>
                <w:sz w:val="20"/>
                <w:szCs w:val="20"/>
                <w:lang w:val="en-GB"/>
              </w:rPr>
              <w:t>Tetova</w:t>
            </w:r>
            <w:proofErr w:type="spellEnd"/>
          </w:p>
        </w:tc>
        <w:tc>
          <w:tcPr>
            <w:tcW w:w="1984" w:type="dxa"/>
          </w:tcPr>
          <w:p w14:paraId="7F56B728" w14:textId="77777777" w:rsidR="007947BF" w:rsidRPr="008463F3" w:rsidRDefault="007947BF" w:rsidP="00DA2AFC">
            <w:pPr>
              <w:spacing w:after="0" w:line="240" w:lineRule="auto"/>
              <w:jc w:val="center"/>
              <w:rPr>
                <w:rFonts w:cstheme="minorHAnsi"/>
                <w:sz w:val="20"/>
                <w:szCs w:val="20"/>
                <w:lang w:val="en-GB"/>
              </w:rPr>
            </w:pPr>
            <w:r w:rsidRPr="008463F3">
              <w:rPr>
                <w:rFonts w:cstheme="minorHAnsi"/>
                <w:sz w:val="20"/>
                <w:szCs w:val="20"/>
                <w:lang w:val="en-GB"/>
              </w:rPr>
              <w:t>1</w:t>
            </w:r>
          </w:p>
        </w:tc>
        <w:tc>
          <w:tcPr>
            <w:tcW w:w="2127" w:type="dxa"/>
          </w:tcPr>
          <w:p w14:paraId="3CBD8101" w14:textId="77777777" w:rsidR="007947BF" w:rsidRPr="008463F3" w:rsidRDefault="007947BF" w:rsidP="00DA2AFC">
            <w:pPr>
              <w:spacing w:after="0" w:line="240" w:lineRule="auto"/>
              <w:jc w:val="center"/>
              <w:rPr>
                <w:rFonts w:cstheme="minorHAnsi"/>
                <w:sz w:val="20"/>
                <w:szCs w:val="20"/>
                <w:lang w:val="en-GB"/>
              </w:rPr>
            </w:pPr>
            <w:r w:rsidRPr="008463F3">
              <w:rPr>
                <w:rFonts w:cstheme="minorHAnsi"/>
                <w:sz w:val="20"/>
                <w:szCs w:val="20"/>
                <w:lang w:val="en-GB"/>
              </w:rPr>
              <w:t>0</w:t>
            </w:r>
          </w:p>
        </w:tc>
        <w:tc>
          <w:tcPr>
            <w:tcW w:w="1303" w:type="dxa"/>
          </w:tcPr>
          <w:p w14:paraId="4D0AC66C" w14:textId="77777777" w:rsidR="007947BF" w:rsidRPr="008463F3" w:rsidRDefault="007947BF" w:rsidP="00DA2AFC">
            <w:pPr>
              <w:spacing w:after="0" w:line="240" w:lineRule="auto"/>
              <w:jc w:val="center"/>
              <w:rPr>
                <w:rFonts w:cstheme="minorHAnsi"/>
                <w:sz w:val="20"/>
                <w:szCs w:val="20"/>
                <w:lang w:val="en-GB"/>
              </w:rPr>
            </w:pPr>
            <w:r w:rsidRPr="008463F3">
              <w:rPr>
                <w:rFonts w:cstheme="minorHAnsi"/>
                <w:sz w:val="20"/>
                <w:szCs w:val="20"/>
                <w:lang w:val="en-GB"/>
              </w:rPr>
              <w:t>/</w:t>
            </w:r>
          </w:p>
        </w:tc>
      </w:tr>
      <w:tr w:rsidR="007947BF" w:rsidRPr="008463F3" w14:paraId="38FCB35F" w14:textId="77777777" w:rsidTr="00DA2AFC">
        <w:tc>
          <w:tcPr>
            <w:tcW w:w="3691" w:type="dxa"/>
          </w:tcPr>
          <w:p w14:paraId="72D9DFF0" w14:textId="77777777" w:rsidR="007947BF" w:rsidRPr="008463F3" w:rsidRDefault="007947BF" w:rsidP="00DA2AFC">
            <w:pPr>
              <w:spacing w:after="0" w:line="240" w:lineRule="auto"/>
              <w:rPr>
                <w:rFonts w:cstheme="minorHAnsi"/>
                <w:sz w:val="20"/>
                <w:szCs w:val="20"/>
                <w:lang w:val="en-GB"/>
              </w:rPr>
            </w:pPr>
            <w:r w:rsidRPr="008463F3">
              <w:rPr>
                <w:rFonts w:cstheme="minorHAnsi"/>
                <w:sz w:val="20"/>
                <w:szCs w:val="20"/>
                <w:lang w:val="en-GB"/>
              </w:rPr>
              <w:t xml:space="preserve">Macedonian Academy of Sciences and Arts </w:t>
            </w:r>
          </w:p>
        </w:tc>
        <w:tc>
          <w:tcPr>
            <w:tcW w:w="1984" w:type="dxa"/>
          </w:tcPr>
          <w:p w14:paraId="2B70EFFA" w14:textId="77777777" w:rsidR="007947BF" w:rsidRPr="008463F3" w:rsidRDefault="007947BF" w:rsidP="00DA2AFC">
            <w:pPr>
              <w:spacing w:after="0" w:line="240" w:lineRule="auto"/>
              <w:jc w:val="center"/>
              <w:rPr>
                <w:rFonts w:cstheme="minorHAnsi"/>
                <w:sz w:val="20"/>
                <w:szCs w:val="20"/>
                <w:lang w:val="en-GB"/>
              </w:rPr>
            </w:pPr>
            <w:r w:rsidRPr="008463F3">
              <w:rPr>
                <w:rFonts w:cstheme="minorHAnsi"/>
                <w:sz w:val="20"/>
                <w:szCs w:val="20"/>
                <w:lang w:val="en-GB"/>
              </w:rPr>
              <w:t>1</w:t>
            </w:r>
          </w:p>
        </w:tc>
        <w:tc>
          <w:tcPr>
            <w:tcW w:w="2127" w:type="dxa"/>
          </w:tcPr>
          <w:p w14:paraId="26B311FA" w14:textId="77777777" w:rsidR="007947BF" w:rsidRPr="008463F3" w:rsidRDefault="007947BF" w:rsidP="00DA2AFC">
            <w:pPr>
              <w:spacing w:after="0" w:line="240" w:lineRule="auto"/>
              <w:jc w:val="center"/>
              <w:rPr>
                <w:rFonts w:cstheme="minorHAnsi"/>
                <w:sz w:val="20"/>
                <w:szCs w:val="20"/>
                <w:lang w:val="en-GB"/>
              </w:rPr>
            </w:pPr>
            <w:r w:rsidRPr="008463F3">
              <w:rPr>
                <w:rFonts w:cstheme="minorHAnsi"/>
                <w:sz w:val="20"/>
                <w:szCs w:val="20"/>
                <w:lang w:val="en-GB"/>
              </w:rPr>
              <w:t>0</w:t>
            </w:r>
          </w:p>
        </w:tc>
        <w:tc>
          <w:tcPr>
            <w:tcW w:w="1303" w:type="dxa"/>
          </w:tcPr>
          <w:p w14:paraId="3EC57A96" w14:textId="77777777" w:rsidR="007947BF" w:rsidRPr="008463F3" w:rsidRDefault="007947BF" w:rsidP="00DA2AFC">
            <w:pPr>
              <w:spacing w:after="0" w:line="240" w:lineRule="auto"/>
              <w:jc w:val="center"/>
              <w:rPr>
                <w:rFonts w:cstheme="minorHAnsi"/>
                <w:sz w:val="20"/>
                <w:szCs w:val="20"/>
                <w:lang w:val="en-GB"/>
              </w:rPr>
            </w:pPr>
            <w:r w:rsidRPr="008463F3">
              <w:rPr>
                <w:rFonts w:cstheme="minorHAnsi"/>
                <w:sz w:val="20"/>
                <w:szCs w:val="20"/>
                <w:lang w:val="en-GB"/>
              </w:rPr>
              <w:t>/</w:t>
            </w:r>
          </w:p>
        </w:tc>
      </w:tr>
      <w:tr w:rsidR="007947BF" w:rsidRPr="008463F3" w14:paraId="01AFD76C" w14:textId="77777777" w:rsidTr="00DA2AFC">
        <w:tc>
          <w:tcPr>
            <w:tcW w:w="3691" w:type="dxa"/>
          </w:tcPr>
          <w:p w14:paraId="517A060C" w14:textId="77777777" w:rsidR="007947BF" w:rsidRPr="008463F3" w:rsidRDefault="007947BF" w:rsidP="00DA2AFC">
            <w:pPr>
              <w:spacing w:after="0" w:line="240" w:lineRule="auto"/>
              <w:rPr>
                <w:rFonts w:cstheme="minorHAnsi"/>
                <w:sz w:val="20"/>
                <w:szCs w:val="20"/>
                <w:lang w:val="en-GB"/>
              </w:rPr>
            </w:pPr>
            <w:r w:rsidRPr="008463F3">
              <w:rPr>
                <w:rFonts w:cstheme="minorHAnsi"/>
                <w:sz w:val="20"/>
                <w:szCs w:val="20"/>
                <w:lang w:val="en-GB"/>
              </w:rPr>
              <w:t>Institute for Spiritual and Cultural Heritage of the Albanians, Skopje</w:t>
            </w:r>
          </w:p>
        </w:tc>
        <w:tc>
          <w:tcPr>
            <w:tcW w:w="1984" w:type="dxa"/>
          </w:tcPr>
          <w:p w14:paraId="5146DF96" w14:textId="77777777" w:rsidR="007947BF" w:rsidRPr="008463F3" w:rsidRDefault="007947BF" w:rsidP="00DA2AFC">
            <w:pPr>
              <w:spacing w:after="0" w:line="240" w:lineRule="auto"/>
              <w:jc w:val="center"/>
              <w:rPr>
                <w:rFonts w:cstheme="minorHAnsi"/>
                <w:sz w:val="20"/>
                <w:szCs w:val="20"/>
                <w:lang w:val="en-GB"/>
              </w:rPr>
            </w:pPr>
            <w:r w:rsidRPr="008463F3">
              <w:rPr>
                <w:rFonts w:cstheme="minorHAnsi"/>
                <w:sz w:val="20"/>
                <w:szCs w:val="20"/>
                <w:lang w:val="en-GB"/>
              </w:rPr>
              <w:t>1</w:t>
            </w:r>
          </w:p>
        </w:tc>
        <w:tc>
          <w:tcPr>
            <w:tcW w:w="2127" w:type="dxa"/>
          </w:tcPr>
          <w:p w14:paraId="26FC668B" w14:textId="77777777" w:rsidR="007947BF" w:rsidRPr="008463F3" w:rsidRDefault="007947BF" w:rsidP="00DA2AFC">
            <w:pPr>
              <w:spacing w:after="0" w:line="240" w:lineRule="auto"/>
              <w:jc w:val="center"/>
              <w:rPr>
                <w:rFonts w:cstheme="minorHAnsi"/>
                <w:sz w:val="20"/>
                <w:szCs w:val="20"/>
                <w:lang w:val="en-GB"/>
              </w:rPr>
            </w:pPr>
            <w:r w:rsidRPr="008463F3">
              <w:rPr>
                <w:rFonts w:cstheme="minorHAnsi"/>
                <w:sz w:val="20"/>
                <w:szCs w:val="20"/>
                <w:lang w:val="en-GB"/>
              </w:rPr>
              <w:t>0</w:t>
            </w:r>
          </w:p>
        </w:tc>
        <w:tc>
          <w:tcPr>
            <w:tcW w:w="1303" w:type="dxa"/>
          </w:tcPr>
          <w:p w14:paraId="3BF6AF4C" w14:textId="77777777" w:rsidR="007947BF" w:rsidRPr="008463F3" w:rsidRDefault="007947BF" w:rsidP="00DA2AFC">
            <w:pPr>
              <w:spacing w:after="0" w:line="240" w:lineRule="auto"/>
              <w:jc w:val="center"/>
              <w:rPr>
                <w:rFonts w:cstheme="minorHAnsi"/>
                <w:sz w:val="20"/>
                <w:szCs w:val="20"/>
                <w:lang w:val="en-GB"/>
              </w:rPr>
            </w:pPr>
            <w:r w:rsidRPr="008463F3">
              <w:rPr>
                <w:rFonts w:cstheme="minorHAnsi"/>
                <w:sz w:val="20"/>
                <w:szCs w:val="20"/>
                <w:lang w:val="en-GB"/>
              </w:rPr>
              <w:t>/</w:t>
            </w:r>
          </w:p>
        </w:tc>
      </w:tr>
      <w:tr w:rsidR="007947BF" w:rsidRPr="008463F3" w14:paraId="76F5AE33" w14:textId="77777777" w:rsidTr="00DA2AFC">
        <w:tc>
          <w:tcPr>
            <w:tcW w:w="3691" w:type="dxa"/>
          </w:tcPr>
          <w:p w14:paraId="51E7F16C" w14:textId="77777777" w:rsidR="007947BF" w:rsidRPr="008463F3" w:rsidRDefault="007947BF" w:rsidP="00DA2AFC">
            <w:pPr>
              <w:spacing w:after="0" w:line="240" w:lineRule="auto"/>
              <w:rPr>
                <w:rFonts w:cstheme="minorHAnsi"/>
                <w:sz w:val="20"/>
                <w:szCs w:val="20"/>
                <w:lang w:val="en-GB"/>
              </w:rPr>
            </w:pPr>
            <w:r w:rsidRPr="008463F3">
              <w:rPr>
                <w:rFonts w:cstheme="minorHAnsi"/>
                <w:sz w:val="20"/>
                <w:szCs w:val="20"/>
                <w:lang w:val="en-GB"/>
              </w:rPr>
              <w:t xml:space="preserve">Institute of Old Slavic Culture, </w:t>
            </w:r>
            <w:proofErr w:type="spellStart"/>
            <w:r w:rsidRPr="008463F3">
              <w:rPr>
                <w:rFonts w:cstheme="minorHAnsi"/>
                <w:sz w:val="20"/>
                <w:szCs w:val="20"/>
                <w:lang w:val="en-GB"/>
              </w:rPr>
              <w:t>Prilep</w:t>
            </w:r>
            <w:proofErr w:type="spellEnd"/>
          </w:p>
        </w:tc>
        <w:tc>
          <w:tcPr>
            <w:tcW w:w="1984" w:type="dxa"/>
          </w:tcPr>
          <w:p w14:paraId="4A259600" w14:textId="77777777" w:rsidR="007947BF" w:rsidRPr="008463F3" w:rsidRDefault="007947BF" w:rsidP="00DA2AFC">
            <w:pPr>
              <w:spacing w:after="0" w:line="240" w:lineRule="auto"/>
              <w:jc w:val="center"/>
              <w:rPr>
                <w:rFonts w:cstheme="minorHAnsi"/>
                <w:sz w:val="20"/>
                <w:szCs w:val="20"/>
                <w:lang w:val="en-GB"/>
              </w:rPr>
            </w:pPr>
            <w:r w:rsidRPr="008463F3">
              <w:rPr>
                <w:rFonts w:cstheme="minorHAnsi"/>
                <w:sz w:val="20"/>
                <w:szCs w:val="20"/>
                <w:lang w:val="en-GB"/>
              </w:rPr>
              <w:t>1</w:t>
            </w:r>
          </w:p>
        </w:tc>
        <w:tc>
          <w:tcPr>
            <w:tcW w:w="2127" w:type="dxa"/>
          </w:tcPr>
          <w:p w14:paraId="1EF85FB5" w14:textId="77777777" w:rsidR="007947BF" w:rsidRPr="008463F3" w:rsidRDefault="007947BF" w:rsidP="00DA2AFC">
            <w:pPr>
              <w:spacing w:after="0" w:line="240" w:lineRule="auto"/>
              <w:jc w:val="center"/>
              <w:rPr>
                <w:rFonts w:cstheme="minorHAnsi"/>
                <w:sz w:val="20"/>
                <w:szCs w:val="20"/>
                <w:lang w:val="en-GB"/>
              </w:rPr>
            </w:pPr>
            <w:r w:rsidRPr="008463F3">
              <w:rPr>
                <w:rFonts w:cstheme="minorHAnsi"/>
                <w:sz w:val="20"/>
                <w:szCs w:val="20"/>
                <w:lang w:val="en-GB"/>
              </w:rPr>
              <w:t>0</w:t>
            </w:r>
          </w:p>
        </w:tc>
        <w:tc>
          <w:tcPr>
            <w:tcW w:w="1303" w:type="dxa"/>
          </w:tcPr>
          <w:p w14:paraId="397C7733" w14:textId="77777777" w:rsidR="007947BF" w:rsidRPr="008463F3" w:rsidRDefault="007947BF" w:rsidP="00DA2AFC">
            <w:pPr>
              <w:spacing w:after="0" w:line="240" w:lineRule="auto"/>
              <w:jc w:val="center"/>
              <w:rPr>
                <w:rFonts w:cstheme="minorHAnsi"/>
                <w:sz w:val="20"/>
                <w:szCs w:val="20"/>
                <w:lang w:val="en-GB"/>
              </w:rPr>
            </w:pPr>
            <w:r w:rsidRPr="008463F3">
              <w:rPr>
                <w:rFonts w:cstheme="minorHAnsi"/>
                <w:sz w:val="20"/>
                <w:szCs w:val="20"/>
                <w:lang w:val="en-GB"/>
              </w:rPr>
              <w:t>/</w:t>
            </w:r>
          </w:p>
        </w:tc>
      </w:tr>
      <w:tr w:rsidR="007947BF" w:rsidRPr="008463F3" w14:paraId="2EA4F82C" w14:textId="77777777" w:rsidTr="00DA2AFC">
        <w:tc>
          <w:tcPr>
            <w:tcW w:w="3691" w:type="dxa"/>
          </w:tcPr>
          <w:p w14:paraId="4A28D017" w14:textId="77777777" w:rsidR="007947BF" w:rsidRPr="008463F3" w:rsidRDefault="007947BF" w:rsidP="00DA2AFC">
            <w:pPr>
              <w:spacing w:after="0" w:line="240" w:lineRule="auto"/>
              <w:rPr>
                <w:rFonts w:cstheme="minorHAnsi"/>
                <w:sz w:val="20"/>
                <w:szCs w:val="20"/>
                <w:lang w:val="en-GB"/>
              </w:rPr>
            </w:pPr>
            <w:r w:rsidRPr="008463F3">
              <w:rPr>
                <w:rFonts w:cstheme="minorHAnsi"/>
                <w:sz w:val="20"/>
                <w:szCs w:val="20"/>
                <w:lang w:val="en-GB"/>
              </w:rPr>
              <w:t xml:space="preserve">Institute for Advanced Composites and Robotics, </w:t>
            </w:r>
            <w:proofErr w:type="spellStart"/>
            <w:r w:rsidRPr="008463F3">
              <w:rPr>
                <w:rFonts w:cstheme="minorHAnsi"/>
                <w:sz w:val="20"/>
                <w:szCs w:val="20"/>
                <w:lang w:val="en-GB"/>
              </w:rPr>
              <w:t>Prilep</w:t>
            </w:r>
            <w:proofErr w:type="spellEnd"/>
          </w:p>
        </w:tc>
        <w:tc>
          <w:tcPr>
            <w:tcW w:w="1984" w:type="dxa"/>
          </w:tcPr>
          <w:p w14:paraId="1AC3DC0C" w14:textId="77777777" w:rsidR="007947BF" w:rsidRPr="008463F3" w:rsidRDefault="007947BF" w:rsidP="00DA2AFC">
            <w:pPr>
              <w:spacing w:after="0" w:line="240" w:lineRule="auto"/>
              <w:jc w:val="center"/>
              <w:rPr>
                <w:rFonts w:cstheme="minorHAnsi"/>
                <w:sz w:val="20"/>
                <w:szCs w:val="20"/>
                <w:lang w:val="en-GB"/>
              </w:rPr>
            </w:pPr>
            <w:r w:rsidRPr="008463F3">
              <w:rPr>
                <w:rFonts w:cstheme="minorHAnsi"/>
                <w:sz w:val="20"/>
                <w:szCs w:val="20"/>
                <w:lang w:val="en-GB"/>
              </w:rPr>
              <w:t>1</w:t>
            </w:r>
          </w:p>
        </w:tc>
        <w:tc>
          <w:tcPr>
            <w:tcW w:w="2127" w:type="dxa"/>
          </w:tcPr>
          <w:p w14:paraId="66DD7C18" w14:textId="77777777" w:rsidR="007947BF" w:rsidRPr="008463F3" w:rsidRDefault="007947BF" w:rsidP="00DA2AFC">
            <w:pPr>
              <w:spacing w:after="0" w:line="240" w:lineRule="auto"/>
              <w:jc w:val="center"/>
              <w:rPr>
                <w:rFonts w:cstheme="minorHAnsi"/>
                <w:sz w:val="20"/>
                <w:szCs w:val="20"/>
                <w:lang w:val="en-GB"/>
              </w:rPr>
            </w:pPr>
            <w:r w:rsidRPr="008463F3">
              <w:rPr>
                <w:rFonts w:cstheme="minorHAnsi"/>
                <w:sz w:val="20"/>
                <w:szCs w:val="20"/>
                <w:lang w:val="en-GB"/>
              </w:rPr>
              <w:t>1</w:t>
            </w:r>
          </w:p>
        </w:tc>
        <w:tc>
          <w:tcPr>
            <w:tcW w:w="1303" w:type="dxa"/>
          </w:tcPr>
          <w:p w14:paraId="59EE8659" w14:textId="77777777" w:rsidR="007947BF" w:rsidRPr="008463F3" w:rsidRDefault="007947BF" w:rsidP="00DA2AFC">
            <w:pPr>
              <w:spacing w:after="0" w:line="240" w:lineRule="auto"/>
              <w:jc w:val="center"/>
              <w:rPr>
                <w:rFonts w:cstheme="minorHAnsi"/>
                <w:sz w:val="20"/>
                <w:szCs w:val="20"/>
                <w:lang w:val="en-GB"/>
              </w:rPr>
            </w:pPr>
            <w:r w:rsidRPr="008463F3">
              <w:rPr>
                <w:rFonts w:cstheme="minorHAnsi"/>
                <w:sz w:val="20"/>
                <w:szCs w:val="20"/>
                <w:lang w:val="en-GB"/>
              </w:rPr>
              <w:t xml:space="preserve">1.200.000 </w:t>
            </w:r>
          </w:p>
        </w:tc>
      </w:tr>
      <w:tr w:rsidR="007947BF" w:rsidRPr="008463F3" w14:paraId="6FAAA445" w14:textId="77777777" w:rsidTr="00DA2AFC">
        <w:tc>
          <w:tcPr>
            <w:tcW w:w="3691" w:type="dxa"/>
          </w:tcPr>
          <w:p w14:paraId="09D182C9" w14:textId="77777777" w:rsidR="007947BF" w:rsidRPr="008463F3" w:rsidRDefault="007947BF" w:rsidP="00DA2AFC">
            <w:pPr>
              <w:spacing w:after="0" w:line="240" w:lineRule="auto"/>
              <w:rPr>
                <w:rFonts w:cstheme="minorHAnsi"/>
                <w:sz w:val="20"/>
                <w:szCs w:val="20"/>
                <w:lang w:val="en-GB"/>
              </w:rPr>
            </w:pPr>
            <w:r w:rsidRPr="008463F3">
              <w:rPr>
                <w:rFonts w:cstheme="minorHAnsi"/>
                <w:sz w:val="20"/>
                <w:szCs w:val="20"/>
                <w:lang w:val="en-GB"/>
              </w:rPr>
              <w:t>Integrated Business Faculty</w:t>
            </w:r>
          </w:p>
        </w:tc>
        <w:tc>
          <w:tcPr>
            <w:tcW w:w="1984" w:type="dxa"/>
          </w:tcPr>
          <w:p w14:paraId="4593017B" w14:textId="77777777" w:rsidR="007947BF" w:rsidRPr="008463F3" w:rsidRDefault="007947BF" w:rsidP="00DA2AFC">
            <w:pPr>
              <w:spacing w:after="0" w:line="240" w:lineRule="auto"/>
              <w:jc w:val="center"/>
              <w:rPr>
                <w:rFonts w:cstheme="minorHAnsi"/>
                <w:sz w:val="20"/>
                <w:szCs w:val="20"/>
                <w:lang w:val="en-GB"/>
              </w:rPr>
            </w:pPr>
            <w:r w:rsidRPr="008463F3">
              <w:rPr>
                <w:rFonts w:cstheme="minorHAnsi"/>
                <w:sz w:val="20"/>
                <w:szCs w:val="20"/>
                <w:lang w:val="en-GB"/>
              </w:rPr>
              <w:t>1</w:t>
            </w:r>
          </w:p>
        </w:tc>
        <w:tc>
          <w:tcPr>
            <w:tcW w:w="2127" w:type="dxa"/>
          </w:tcPr>
          <w:p w14:paraId="33ACA8D2" w14:textId="77777777" w:rsidR="007947BF" w:rsidRPr="008463F3" w:rsidRDefault="007947BF" w:rsidP="00DA2AFC">
            <w:pPr>
              <w:spacing w:after="0" w:line="240" w:lineRule="auto"/>
              <w:jc w:val="center"/>
              <w:rPr>
                <w:rFonts w:cstheme="minorHAnsi"/>
                <w:sz w:val="20"/>
                <w:szCs w:val="20"/>
                <w:lang w:val="en-GB"/>
              </w:rPr>
            </w:pPr>
            <w:r w:rsidRPr="008463F3">
              <w:rPr>
                <w:rFonts w:cstheme="minorHAnsi"/>
                <w:sz w:val="20"/>
                <w:szCs w:val="20"/>
                <w:lang w:val="en-GB"/>
              </w:rPr>
              <w:t>0</w:t>
            </w:r>
          </w:p>
        </w:tc>
        <w:tc>
          <w:tcPr>
            <w:tcW w:w="1303" w:type="dxa"/>
          </w:tcPr>
          <w:p w14:paraId="01D551AA" w14:textId="77777777" w:rsidR="007947BF" w:rsidRPr="008463F3" w:rsidRDefault="007947BF" w:rsidP="00DA2AFC">
            <w:pPr>
              <w:spacing w:after="0" w:line="240" w:lineRule="auto"/>
              <w:jc w:val="center"/>
              <w:rPr>
                <w:rFonts w:cstheme="minorHAnsi"/>
                <w:sz w:val="20"/>
                <w:szCs w:val="20"/>
                <w:lang w:val="en-GB"/>
              </w:rPr>
            </w:pPr>
            <w:r w:rsidRPr="008463F3">
              <w:rPr>
                <w:rFonts w:cstheme="minorHAnsi"/>
                <w:sz w:val="20"/>
                <w:szCs w:val="20"/>
                <w:lang w:val="en-GB"/>
              </w:rPr>
              <w:t>/</w:t>
            </w:r>
          </w:p>
        </w:tc>
      </w:tr>
      <w:tr w:rsidR="007947BF" w:rsidRPr="008463F3" w14:paraId="776AFE9F" w14:textId="77777777" w:rsidTr="00DA2AFC">
        <w:tc>
          <w:tcPr>
            <w:tcW w:w="3691" w:type="dxa"/>
          </w:tcPr>
          <w:p w14:paraId="006CF025" w14:textId="77777777" w:rsidR="007947BF" w:rsidRPr="008463F3" w:rsidRDefault="007947BF" w:rsidP="00DA2AFC">
            <w:pPr>
              <w:spacing w:after="0" w:line="240" w:lineRule="auto"/>
              <w:rPr>
                <w:rFonts w:cstheme="minorHAnsi"/>
                <w:sz w:val="20"/>
                <w:szCs w:val="20"/>
                <w:lang w:val="en-GB"/>
              </w:rPr>
            </w:pPr>
            <w:r w:rsidRPr="008463F3">
              <w:rPr>
                <w:rFonts w:cstheme="minorHAnsi"/>
                <w:sz w:val="20"/>
                <w:szCs w:val="20"/>
                <w:lang w:val="en-GB"/>
              </w:rPr>
              <w:t>International Slavic University</w:t>
            </w:r>
          </w:p>
        </w:tc>
        <w:tc>
          <w:tcPr>
            <w:tcW w:w="1984" w:type="dxa"/>
          </w:tcPr>
          <w:p w14:paraId="6E457668" w14:textId="77777777" w:rsidR="007947BF" w:rsidRPr="008463F3" w:rsidRDefault="007947BF" w:rsidP="00DA2AFC">
            <w:pPr>
              <w:spacing w:after="0" w:line="240" w:lineRule="auto"/>
              <w:jc w:val="center"/>
              <w:rPr>
                <w:rFonts w:cstheme="minorHAnsi"/>
                <w:sz w:val="20"/>
                <w:szCs w:val="20"/>
                <w:lang w:val="en-GB"/>
              </w:rPr>
            </w:pPr>
            <w:r w:rsidRPr="008463F3">
              <w:rPr>
                <w:rFonts w:cstheme="minorHAnsi"/>
                <w:sz w:val="20"/>
                <w:szCs w:val="20"/>
                <w:lang w:val="en-GB"/>
              </w:rPr>
              <w:t>1</w:t>
            </w:r>
          </w:p>
        </w:tc>
        <w:tc>
          <w:tcPr>
            <w:tcW w:w="2127" w:type="dxa"/>
          </w:tcPr>
          <w:p w14:paraId="79DC721C" w14:textId="77777777" w:rsidR="007947BF" w:rsidRPr="008463F3" w:rsidRDefault="007947BF" w:rsidP="00DA2AFC">
            <w:pPr>
              <w:spacing w:after="0" w:line="240" w:lineRule="auto"/>
              <w:jc w:val="center"/>
              <w:rPr>
                <w:rFonts w:cstheme="minorHAnsi"/>
                <w:sz w:val="20"/>
                <w:szCs w:val="20"/>
                <w:lang w:val="en-GB"/>
              </w:rPr>
            </w:pPr>
            <w:r w:rsidRPr="008463F3">
              <w:rPr>
                <w:rFonts w:cstheme="minorHAnsi"/>
                <w:sz w:val="20"/>
                <w:szCs w:val="20"/>
                <w:lang w:val="en-GB"/>
              </w:rPr>
              <w:t>0</w:t>
            </w:r>
          </w:p>
        </w:tc>
        <w:tc>
          <w:tcPr>
            <w:tcW w:w="1303" w:type="dxa"/>
          </w:tcPr>
          <w:p w14:paraId="19128AFE" w14:textId="77777777" w:rsidR="007947BF" w:rsidRPr="008463F3" w:rsidRDefault="007947BF" w:rsidP="00DA2AFC">
            <w:pPr>
              <w:spacing w:after="0" w:line="240" w:lineRule="auto"/>
              <w:jc w:val="center"/>
              <w:rPr>
                <w:rFonts w:cstheme="minorHAnsi"/>
                <w:sz w:val="20"/>
                <w:szCs w:val="20"/>
                <w:lang w:val="en-GB"/>
              </w:rPr>
            </w:pPr>
            <w:r w:rsidRPr="008463F3">
              <w:rPr>
                <w:rFonts w:cstheme="minorHAnsi"/>
                <w:sz w:val="20"/>
                <w:szCs w:val="20"/>
                <w:lang w:val="en-GB"/>
              </w:rPr>
              <w:t>/</w:t>
            </w:r>
          </w:p>
        </w:tc>
      </w:tr>
      <w:tr w:rsidR="007947BF" w:rsidRPr="008463F3" w14:paraId="3FC30D19" w14:textId="77777777" w:rsidTr="00DA2AFC">
        <w:tc>
          <w:tcPr>
            <w:tcW w:w="3691" w:type="dxa"/>
          </w:tcPr>
          <w:p w14:paraId="5EB71D7C" w14:textId="77777777" w:rsidR="007947BF" w:rsidRPr="008463F3" w:rsidRDefault="007947BF" w:rsidP="00DA2AFC">
            <w:pPr>
              <w:spacing w:after="0" w:line="240" w:lineRule="auto"/>
              <w:rPr>
                <w:rFonts w:cstheme="minorHAnsi"/>
                <w:sz w:val="20"/>
                <w:szCs w:val="20"/>
                <w:lang w:val="en-GB"/>
              </w:rPr>
            </w:pPr>
            <w:r w:rsidRPr="008463F3">
              <w:rPr>
                <w:rFonts w:cstheme="minorHAnsi"/>
                <w:sz w:val="20"/>
                <w:szCs w:val="20"/>
                <w:lang w:val="en-GB"/>
              </w:rPr>
              <w:t>South East European University</w:t>
            </w:r>
          </w:p>
        </w:tc>
        <w:tc>
          <w:tcPr>
            <w:tcW w:w="1984" w:type="dxa"/>
          </w:tcPr>
          <w:p w14:paraId="31F3047A" w14:textId="77777777" w:rsidR="007947BF" w:rsidRPr="008463F3" w:rsidRDefault="007947BF" w:rsidP="00DA2AFC">
            <w:pPr>
              <w:spacing w:after="0" w:line="240" w:lineRule="auto"/>
              <w:jc w:val="center"/>
              <w:rPr>
                <w:rFonts w:cstheme="minorHAnsi"/>
                <w:sz w:val="20"/>
                <w:szCs w:val="20"/>
                <w:lang w:val="en-GB"/>
              </w:rPr>
            </w:pPr>
            <w:r w:rsidRPr="008463F3">
              <w:rPr>
                <w:rFonts w:cstheme="minorHAnsi"/>
                <w:sz w:val="20"/>
                <w:szCs w:val="20"/>
                <w:lang w:val="en-GB"/>
              </w:rPr>
              <w:t>2</w:t>
            </w:r>
          </w:p>
        </w:tc>
        <w:tc>
          <w:tcPr>
            <w:tcW w:w="2127" w:type="dxa"/>
          </w:tcPr>
          <w:p w14:paraId="52FF7B69" w14:textId="77777777" w:rsidR="007947BF" w:rsidRPr="008463F3" w:rsidRDefault="007947BF" w:rsidP="00DA2AFC">
            <w:pPr>
              <w:spacing w:after="0" w:line="240" w:lineRule="auto"/>
              <w:jc w:val="center"/>
              <w:rPr>
                <w:rFonts w:cstheme="minorHAnsi"/>
                <w:sz w:val="20"/>
                <w:szCs w:val="20"/>
                <w:lang w:val="en-GB"/>
              </w:rPr>
            </w:pPr>
            <w:r w:rsidRPr="008463F3">
              <w:rPr>
                <w:rFonts w:cstheme="minorHAnsi"/>
                <w:sz w:val="20"/>
                <w:szCs w:val="20"/>
                <w:lang w:val="en-GB"/>
              </w:rPr>
              <w:t>0</w:t>
            </w:r>
          </w:p>
        </w:tc>
        <w:tc>
          <w:tcPr>
            <w:tcW w:w="1303" w:type="dxa"/>
          </w:tcPr>
          <w:p w14:paraId="2E2E42BD" w14:textId="77777777" w:rsidR="007947BF" w:rsidRPr="008463F3" w:rsidRDefault="007947BF" w:rsidP="00DA2AFC">
            <w:pPr>
              <w:spacing w:after="0" w:line="240" w:lineRule="auto"/>
              <w:jc w:val="center"/>
              <w:rPr>
                <w:rFonts w:cstheme="minorHAnsi"/>
                <w:sz w:val="20"/>
                <w:szCs w:val="20"/>
                <w:lang w:val="en-GB"/>
              </w:rPr>
            </w:pPr>
            <w:r w:rsidRPr="008463F3">
              <w:rPr>
                <w:rFonts w:cstheme="minorHAnsi"/>
                <w:sz w:val="20"/>
                <w:szCs w:val="20"/>
                <w:lang w:val="en-GB"/>
              </w:rPr>
              <w:t>/</w:t>
            </w:r>
          </w:p>
        </w:tc>
      </w:tr>
      <w:tr w:rsidR="007947BF" w:rsidRPr="008463F3" w14:paraId="00E2003A" w14:textId="77777777" w:rsidTr="00DA2AFC">
        <w:tc>
          <w:tcPr>
            <w:tcW w:w="3691" w:type="dxa"/>
          </w:tcPr>
          <w:p w14:paraId="38DA5A04" w14:textId="77777777" w:rsidR="007947BF" w:rsidRPr="008463F3" w:rsidRDefault="007947BF" w:rsidP="00DA2AFC">
            <w:pPr>
              <w:spacing w:after="0" w:line="240" w:lineRule="auto"/>
              <w:rPr>
                <w:rFonts w:cstheme="minorHAnsi"/>
                <w:sz w:val="20"/>
                <w:szCs w:val="20"/>
                <w:lang w:val="en-GB"/>
              </w:rPr>
            </w:pPr>
            <w:r w:rsidRPr="008463F3">
              <w:rPr>
                <w:rFonts w:cstheme="minorHAnsi"/>
                <w:sz w:val="20"/>
                <w:szCs w:val="20"/>
                <w:lang w:val="en-GB"/>
              </w:rPr>
              <w:t xml:space="preserve">Business Academy </w:t>
            </w:r>
            <w:proofErr w:type="spellStart"/>
            <w:r w:rsidRPr="008463F3">
              <w:rPr>
                <w:rFonts w:cstheme="minorHAnsi"/>
                <w:sz w:val="20"/>
                <w:szCs w:val="20"/>
                <w:lang w:val="en-GB"/>
              </w:rPr>
              <w:t>Smilevski</w:t>
            </w:r>
            <w:proofErr w:type="spellEnd"/>
          </w:p>
        </w:tc>
        <w:tc>
          <w:tcPr>
            <w:tcW w:w="1984" w:type="dxa"/>
          </w:tcPr>
          <w:p w14:paraId="2BBC0E71" w14:textId="77777777" w:rsidR="007947BF" w:rsidRPr="008463F3" w:rsidRDefault="007947BF" w:rsidP="00DA2AFC">
            <w:pPr>
              <w:spacing w:after="0" w:line="240" w:lineRule="auto"/>
              <w:jc w:val="center"/>
              <w:rPr>
                <w:rFonts w:cstheme="minorHAnsi"/>
                <w:sz w:val="20"/>
                <w:szCs w:val="20"/>
                <w:lang w:val="en-GB"/>
              </w:rPr>
            </w:pPr>
            <w:r w:rsidRPr="008463F3">
              <w:rPr>
                <w:rFonts w:cstheme="minorHAnsi"/>
                <w:sz w:val="20"/>
                <w:szCs w:val="20"/>
                <w:lang w:val="en-GB"/>
              </w:rPr>
              <w:t>1</w:t>
            </w:r>
          </w:p>
        </w:tc>
        <w:tc>
          <w:tcPr>
            <w:tcW w:w="2127" w:type="dxa"/>
          </w:tcPr>
          <w:p w14:paraId="6882C75C" w14:textId="77777777" w:rsidR="007947BF" w:rsidRPr="008463F3" w:rsidRDefault="007947BF" w:rsidP="00DA2AFC">
            <w:pPr>
              <w:spacing w:after="0" w:line="240" w:lineRule="auto"/>
              <w:jc w:val="center"/>
              <w:rPr>
                <w:rFonts w:cstheme="minorHAnsi"/>
                <w:sz w:val="20"/>
                <w:szCs w:val="20"/>
                <w:lang w:val="en-GB"/>
              </w:rPr>
            </w:pPr>
            <w:r w:rsidRPr="008463F3">
              <w:rPr>
                <w:rFonts w:cstheme="minorHAnsi"/>
                <w:sz w:val="20"/>
                <w:szCs w:val="20"/>
                <w:lang w:val="en-GB"/>
              </w:rPr>
              <w:t>0</w:t>
            </w:r>
          </w:p>
        </w:tc>
        <w:tc>
          <w:tcPr>
            <w:tcW w:w="1303" w:type="dxa"/>
          </w:tcPr>
          <w:p w14:paraId="7C270B1B" w14:textId="77777777" w:rsidR="007947BF" w:rsidRPr="008463F3" w:rsidRDefault="007947BF" w:rsidP="00DA2AFC">
            <w:pPr>
              <w:spacing w:after="0" w:line="240" w:lineRule="auto"/>
              <w:jc w:val="center"/>
              <w:rPr>
                <w:rFonts w:cstheme="minorHAnsi"/>
                <w:sz w:val="20"/>
                <w:szCs w:val="20"/>
                <w:lang w:val="en-GB"/>
              </w:rPr>
            </w:pPr>
            <w:r w:rsidRPr="008463F3">
              <w:rPr>
                <w:rFonts w:cstheme="minorHAnsi"/>
                <w:sz w:val="20"/>
                <w:szCs w:val="20"/>
                <w:lang w:val="en-GB"/>
              </w:rPr>
              <w:t>/</w:t>
            </w:r>
          </w:p>
        </w:tc>
      </w:tr>
      <w:tr w:rsidR="007947BF" w:rsidRPr="008463F3" w14:paraId="3E0422E4" w14:textId="77777777" w:rsidTr="00DA2AFC">
        <w:tc>
          <w:tcPr>
            <w:tcW w:w="3691" w:type="dxa"/>
          </w:tcPr>
          <w:p w14:paraId="792F5675" w14:textId="77777777" w:rsidR="007947BF" w:rsidRPr="008463F3" w:rsidRDefault="007947BF" w:rsidP="00DA2AFC">
            <w:pPr>
              <w:spacing w:after="0" w:line="240" w:lineRule="auto"/>
              <w:rPr>
                <w:rFonts w:cstheme="minorHAnsi"/>
                <w:sz w:val="20"/>
                <w:szCs w:val="20"/>
                <w:lang w:val="en-GB"/>
              </w:rPr>
            </w:pPr>
            <w:r w:rsidRPr="008463F3">
              <w:rPr>
                <w:rFonts w:cstheme="minorHAnsi"/>
                <w:sz w:val="20"/>
                <w:szCs w:val="20"/>
                <w:lang w:val="en-GB"/>
              </w:rPr>
              <w:t>University American College Skopje</w:t>
            </w:r>
          </w:p>
        </w:tc>
        <w:tc>
          <w:tcPr>
            <w:tcW w:w="5414" w:type="dxa"/>
            <w:gridSpan w:val="3"/>
          </w:tcPr>
          <w:p w14:paraId="2814B8D9" w14:textId="77777777" w:rsidR="007947BF" w:rsidRPr="008463F3" w:rsidRDefault="007947BF" w:rsidP="00DA2AFC">
            <w:pPr>
              <w:spacing w:after="0" w:line="240" w:lineRule="auto"/>
              <w:jc w:val="center"/>
              <w:rPr>
                <w:rFonts w:cstheme="minorHAnsi"/>
                <w:sz w:val="20"/>
                <w:szCs w:val="20"/>
                <w:lang w:val="en-GB"/>
              </w:rPr>
            </w:pPr>
            <w:r w:rsidRPr="008463F3">
              <w:rPr>
                <w:rFonts w:cstheme="minorHAnsi"/>
                <w:sz w:val="20"/>
                <w:szCs w:val="20"/>
                <w:lang w:val="en-GB"/>
              </w:rPr>
              <w:t>Reported that they do not have research equipment</w:t>
            </w:r>
          </w:p>
        </w:tc>
      </w:tr>
      <w:tr w:rsidR="007947BF" w:rsidRPr="008463F3" w14:paraId="1009F76F" w14:textId="77777777" w:rsidTr="00DA2AFC">
        <w:tc>
          <w:tcPr>
            <w:tcW w:w="3691" w:type="dxa"/>
          </w:tcPr>
          <w:p w14:paraId="3FBB584C" w14:textId="77777777" w:rsidR="007947BF" w:rsidRPr="008463F3" w:rsidRDefault="007947BF" w:rsidP="00DA2AFC">
            <w:pPr>
              <w:spacing w:after="0" w:line="240" w:lineRule="auto"/>
              <w:rPr>
                <w:rFonts w:cstheme="minorHAnsi"/>
                <w:sz w:val="20"/>
                <w:szCs w:val="20"/>
                <w:lang w:val="en-GB"/>
              </w:rPr>
            </w:pPr>
            <w:r w:rsidRPr="008463F3">
              <w:rPr>
                <w:rFonts w:cstheme="minorHAnsi"/>
                <w:sz w:val="20"/>
                <w:szCs w:val="20"/>
                <w:lang w:val="en-GB"/>
              </w:rPr>
              <w:t>International Vision University</w:t>
            </w:r>
          </w:p>
        </w:tc>
        <w:tc>
          <w:tcPr>
            <w:tcW w:w="5414" w:type="dxa"/>
            <w:gridSpan w:val="3"/>
          </w:tcPr>
          <w:p w14:paraId="113742CA" w14:textId="77777777" w:rsidR="007947BF" w:rsidRPr="008463F3" w:rsidRDefault="007947BF" w:rsidP="00DA2AFC">
            <w:pPr>
              <w:spacing w:after="0" w:line="240" w:lineRule="auto"/>
              <w:jc w:val="center"/>
              <w:rPr>
                <w:rFonts w:cstheme="minorHAnsi"/>
                <w:sz w:val="20"/>
                <w:szCs w:val="20"/>
                <w:lang w:val="en-GB"/>
              </w:rPr>
            </w:pPr>
            <w:r w:rsidRPr="008463F3">
              <w:rPr>
                <w:rFonts w:cstheme="minorHAnsi"/>
                <w:sz w:val="20"/>
                <w:szCs w:val="20"/>
                <w:lang w:val="en-GB"/>
              </w:rPr>
              <w:t>Reported that they do not have research equipment</w:t>
            </w:r>
          </w:p>
        </w:tc>
      </w:tr>
      <w:tr w:rsidR="007947BF" w:rsidRPr="008463F3" w14:paraId="309DF644" w14:textId="77777777" w:rsidTr="00DA2AFC">
        <w:tc>
          <w:tcPr>
            <w:tcW w:w="3691" w:type="dxa"/>
          </w:tcPr>
          <w:p w14:paraId="69660BB4" w14:textId="77777777" w:rsidR="007947BF" w:rsidRPr="008463F3" w:rsidRDefault="007947BF" w:rsidP="00DA2AFC">
            <w:pPr>
              <w:spacing w:after="0" w:line="240" w:lineRule="auto"/>
              <w:rPr>
                <w:rFonts w:cstheme="minorHAnsi"/>
                <w:sz w:val="20"/>
                <w:szCs w:val="20"/>
                <w:lang w:val="en-GB"/>
              </w:rPr>
            </w:pPr>
            <w:r w:rsidRPr="008463F3">
              <w:rPr>
                <w:rFonts w:cstheme="minorHAnsi"/>
                <w:sz w:val="20"/>
                <w:szCs w:val="20"/>
                <w:lang w:val="en-GB"/>
              </w:rPr>
              <w:t>Institute INAKU Skopje</w:t>
            </w:r>
          </w:p>
        </w:tc>
        <w:tc>
          <w:tcPr>
            <w:tcW w:w="5414" w:type="dxa"/>
            <w:gridSpan w:val="3"/>
          </w:tcPr>
          <w:p w14:paraId="0ADBE2F1" w14:textId="77777777" w:rsidR="007947BF" w:rsidRPr="008463F3" w:rsidRDefault="007947BF" w:rsidP="00DA2AFC">
            <w:pPr>
              <w:spacing w:after="0" w:line="240" w:lineRule="auto"/>
              <w:jc w:val="center"/>
              <w:rPr>
                <w:rFonts w:cstheme="minorHAnsi"/>
                <w:sz w:val="20"/>
                <w:szCs w:val="20"/>
                <w:lang w:val="en-GB"/>
              </w:rPr>
            </w:pPr>
            <w:r w:rsidRPr="008463F3">
              <w:rPr>
                <w:rFonts w:cstheme="minorHAnsi"/>
                <w:sz w:val="20"/>
                <w:szCs w:val="20"/>
                <w:lang w:val="en-GB"/>
              </w:rPr>
              <w:t>Reported that they do not have research equipment</w:t>
            </w:r>
          </w:p>
        </w:tc>
      </w:tr>
      <w:tr w:rsidR="007947BF" w:rsidRPr="008463F3" w14:paraId="225C4927" w14:textId="77777777" w:rsidTr="00DA2AFC">
        <w:tc>
          <w:tcPr>
            <w:tcW w:w="3691" w:type="dxa"/>
          </w:tcPr>
          <w:p w14:paraId="36FD69D1" w14:textId="77777777" w:rsidR="007947BF" w:rsidRPr="008463F3" w:rsidRDefault="007947BF" w:rsidP="00DA2AFC">
            <w:pPr>
              <w:spacing w:after="0" w:line="240" w:lineRule="auto"/>
              <w:rPr>
                <w:rFonts w:cstheme="minorHAnsi"/>
                <w:sz w:val="20"/>
                <w:szCs w:val="20"/>
                <w:lang w:val="en-GB"/>
              </w:rPr>
            </w:pPr>
            <w:r w:rsidRPr="008463F3">
              <w:rPr>
                <w:rFonts w:cstheme="minorHAnsi"/>
                <w:sz w:val="20"/>
                <w:szCs w:val="20"/>
                <w:lang w:val="en-GB"/>
              </w:rPr>
              <w:t>International Balkan University</w:t>
            </w:r>
          </w:p>
        </w:tc>
        <w:tc>
          <w:tcPr>
            <w:tcW w:w="5414" w:type="dxa"/>
            <w:gridSpan w:val="3"/>
          </w:tcPr>
          <w:p w14:paraId="32D14BF8" w14:textId="77777777" w:rsidR="007947BF" w:rsidRPr="008463F3" w:rsidRDefault="007947BF" w:rsidP="00DA2AFC">
            <w:pPr>
              <w:spacing w:after="0" w:line="240" w:lineRule="auto"/>
              <w:jc w:val="center"/>
              <w:rPr>
                <w:rFonts w:cstheme="minorHAnsi"/>
                <w:sz w:val="20"/>
                <w:szCs w:val="20"/>
                <w:lang w:val="en-GB"/>
              </w:rPr>
            </w:pPr>
            <w:r w:rsidRPr="008463F3">
              <w:rPr>
                <w:rFonts w:cstheme="minorHAnsi"/>
                <w:sz w:val="20"/>
                <w:szCs w:val="20"/>
                <w:lang w:val="en-GB"/>
              </w:rPr>
              <w:t>Reported that they do not have research equipment</w:t>
            </w:r>
          </w:p>
        </w:tc>
      </w:tr>
      <w:tr w:rsidR="007947BF" w:rsidRPr="008463F3" w14:paraId="0700431A" w14:textId="77777777" w:rsidTr="00DA2AFC">
        <w:tc>
          <w:tcPr>
            <w:tcW w:w="3691" w:type="dxa"/>
          </w:tcPr>
          <w:p w14:paraId="496F31C3" w14:textId="77777777" w:rsidR="007947BF" w:rsidRPr="008463F3" w:rsidRDefault="007947BF" w:rsidP="00DA2AFC">
            <w:pPr>
              <w:spacing w:after="0" w:line="240" w:lineRule="auto"/>
              <w:rPr>
                <w:rFonts w:cstheme="minorHAnsi"/>
                <w:sz w:val="20"/>
                <w:szCs w:val="20"/>
                <w:lang w:val="en-GB"/>
              </w:rPr>
            </w:pPr>
            <w:r w:rsidRPr="008463F3">
              <w:rPr>
                <w:rFonts w:cstheme="minorHAnsi"/>
                <w:sz w:val="20"/>
                <w:szCs w:val="20"/>
                <w:lang w:val="en-GB"/>
              </w:rPr>
              <w:t xml:space="preserve">International University of </w:t>
            </w:r>
            <w:proofErr w:type="spellStart"/>
            <w:r w:rsidRPr="008463F3">
              <w:rPr>
                <w:rFonts w:cstheme="minorHAnsi"/>
                <w:sz w:val="20"/>
                <w:szCs w:val="20"/>
                <w:lang w:val="en-GB"/>
              </w:rPr>
              <w:t>Struga</w:t>
            </w:r>
            <w:proofErr w:type="spellEnd"/>
          </w:p>
        </w:tc>
        <w:tc>
          <w:tcPr>
            <w:tcW w:w="5414" w:type="dxa"/>
            <w:gridSpan w:val="3"/>
          </w:tcPr>
          <w:p w14:paraId="49D4E273" w14:textId="77777777" w:rsidR="007947BF" w:rsidRPr="008463F3" w:rsidRDefault="007947BF" w:rsidP="00DA2AFC">
            <w:pPr>
              <w:spacing w:after="0" w:line="240" w:lineRule="auto"/>
              <w:jc w:val="center"/>
              <w:rPr>
                <w:rFonts w:cstheme="minorHAnsi"/>
                <w:sz w:val="20"/>
                <w:szCs w:val="20"/>
                <w:lang w:val="en-GB"/>
              </w:rPr>
            </w:pPr>
            <w:r w:rsidRPr="008463F3">
              <w:rPr>
                <w:rFonts w:cstheme="minorHAnsi"/>
                <w:sz w:val="20"/>
                <w:szCs w:val="20"/>
                <w:lang w:val="en-GB"/>
              </w:rPr>
              <w:t>Reported that they do not have research equipment</w:t>
            </w:r>
          </w:p>
        </w:tc>
      </w:tr>
      <w:tr w:rsidR="007947BF" w:rsidRPr="008463F3" w14:paraId="1F1D0E68" w14:textId="77777777" w:rsidTr="00DA2AFC">
        <w:tc>
          <w:tcPr>
            <w:tcW w:w="3691" w:type="dxa"/>
          </w:tcPr>
          <w:p w14:paraId="301AF072" w14:textId="77777777" w:rsidR="007947BF" w:rsidRPr="008463F3" w:rsidRDefault="007947BF" w:rsidP="00DA2AFC">
            <w:pPr>
              <w:spacing w:after="0" w:line="240" w:lineRule="auto"/>
              <w:rPr>
                <w:rFonts w:cstheme="minorHAnsi"/>
                <w:sz w:val="20"/>
                <w:szCs w:val="20"/>
                <w:lang w:val="en-GB"/>
              </w:rPr>
            </w:pPr>
            <w:r w:rsidRPr="008463F3">
              <w:rPr>
                <w:rFonts w:cstheme="minorHAnsi"/>
                <w:sz w:val="20"/>
                <w:szCs w:val="20"/>
                <w:lang w:val="en-GB"/>
              </w:rPr>
              <w:t>University for Information Science and Technology "St. Paul the Apostle"</w:t>
            </w:r>
          </w:p>
        </w:tc>
        <w:tc>
          <w:tcPr>
            <w:tcW w:w="5414" w:type="dxa"/>
            <w:gridSpan w:val="3"/>
          </w:tcPr>
          <w:p w14:paraId="14872181" w14:textId="77777777" w:rsidR="007947BF" w:rsidRPr="008463F3" w:rsidRDefault="007947BF" w:rsidP="00DA2AFC">
            <w:pPr>
              <w:spacing w:after="0" w:line="240" w:lineRule="auto"/>
              <w:jc w:val="center"/>
              <w:rPr>
                <w:rFonts w:cstheme="minorHAnsi"/>
                <w:sz w:val="20"/>
                <w:szCs w:val="20"/>
                <w:lang w:val="en-GB"/>
              </w:rPr>
            </w:pPr>
            <w:r w:rsidRPr="008463F3">
              <w:rPr>
                <w:rFonts w:cstheme="minorHAnsi"/>
                <w:sz w:val="20"/>
                <w:szCs w:val="20"/>
                <w:lang w:val="en-GB"/>
              </w:rPr>
              <w:t>Reported that they do not have research equipment</w:t>
            </w:r>
          </w:p>
        </w:tc>
      </w:tr>
      <w:tr w:rsidR="007947BF" w:rsidRPr="008463F3" w14:paraId="6BA04A18" w14:textId="77777777" w:rsidTr="00DA2AFC">
        <w:tc>
          <w:tcPr>
            <w:tcW w:w="3691" w:type="dxa"/>
          </w:tcPr>
          <w:p w14:paraId="38BE7CA1" w14:textId="77777777" w:rsidR="007947BF" w:rsidRPr="008463F3" w:rsidRDefault="007947BF" w:rsidP="00DA2AFC">
            <w:pPr>
              <w:spacing w:after="0" w:line="240" w:lineRule="auto"/>
              <w:rPr>
                <w:rFonts w:cstheme="minorHAnsi"/>
                <w:b/>
                <w:sz w:val="20"/>
                <w:szCs w:val="20"/>
                <w:lang w:val="en-GB"/>
              </w:rPr>
            </w:pPr>
            <w:r w:rsidRPr="008463F3">
              <w:rPr>
                <w:rFonts w:cstheme="minorHAnsi"/>
                <w:b/>
                <w:sz w:val="20"/>
                <w:szCs w:val="20"/>
                <w:lang w:val="en-GB"/>
              </w:rPr>
              <w:t>Total</w:t>
            </w:r>
          </w:p>
        </w:tc>
        <w:tc>
          <w:tcPr>
            <w:tcW w:w="1984" w:type="dxa"/>
          </w:tcPr>
          <w:p w14:paraId="7EC005F3" w14:textId="77777777" w:rsidR="007947BF" w:rsidRPr="008463F3" w:rsidRDefault="007947BF" w:rsidP="00DA2AFC">
            <w:pPr>
              <w:spacing w:after="0" w:line="240" w:lineRule="auto"/>
              <w:jc w:val="center"/>
              <w:rPr>
                <w:rFonts w:cstheme="minorHAnsi"/>
                <w:b/>
                <w:sz w:val="20"/>
                <w:szCs w:val="20"/>
                <w:lang w:val="en-GB"/>
              </w:rPr>
            </w:pPr>
            <w:r w:rsidRPr="008463F3">
              <w:rPr>
                <w:rFonts w:cstheme="minorHAnsi"/>
                <w:b/>
                <w:sz w:val="20"/>
                <w:szCs w:val="20"/>
                <w:lang w:val="en-GB"/>
              </w:rPr>
              <w:t>70</w:t>
            </w:r>
          </w:p>
        </w:tc>
        <w:tc>
          <w:tcPr>
            <w:tcW w:w="2127" w:type="dxa"/>
          </w:tcPr>
          <w:p w14:paraId="27B136D6" w14:textId="77777777" w:rsidR="007947BF" w:rsidRPr="008463F3" w:rsidRDefault="007947BF" w:rsidP="00DA2AFC">
            <w:pPr>
              <w:spacing w:after="0" w:line="240" w:lineRule="auto"/>
              <w:jc w:val="center"/>
              <w:rPr>
                <w:rFonts w:cstheme="minorHAnsi"/>
                <w:b/>
                <w:sz w:val="20"/>
                <w:szCs w:val="20"/>
                <w:lang w:val="en-GB"/>
              </w:rPr>
            </w:pPr>
            <w:r w:rsidRPr="008463F3">
              <w:rPr>
                <w:rFonts w:cstheme="minorHAnsi"/>
                <w:b/>
                <w:sz w:val="20"/>
                <w:szCs w:val="20"/>
                <w:lang w:val="en-GB"/>
              </w:rPr>
              <w:t>20</w:t>
            </w:r>
          </w:p>
        </w:tc>
        <w:tc>
          <w:tcPr>
            <w:tcW w:w="1303" w:type="dxa"/>
          </w:tcPr>
          <w:p w14:paraId="54917773" w14:textId="77777777" w:rsidR="007947BF" w:rsidRPr="008463F3" w:rsidRDefault="007947BF" w:rsidP="00DA2AFC">
            <w:pPr>
              <w:spacing w:after="0" w:line="240" w:lineRule="auto"/>
              <w:jc w:val="center"/>
              <w:rPr>
                <w:rFonts w:cstheme="minorHAnsi"/>
                <w:b/>
                <w:sz w:val="20"/>
                <w:szCs w:val="20"/>
                <w:lang w:val="en-GB"/>
              </w:rPr>
            </w:pPr>
            <w:r w:rsidRPr="008463F3">
              <w:rPr>
                <w:rFonts w:cstheme="minorHAnsi"/>
                <w:b/>
                <w:sz w:val="20"/>
                <w:szCs w:val="20"/>
                <w:lang w:val="en-GB"/>
              </w:rPr>
              <w:t>14.950.000</w:t>
            </w:r>
          </w:p>
        </w:tc>
      </w:tr>
    </w:tbl>
    <w:p w14:paraId="7F477A51" w14:textId="77777777" w:rsidR="007947BF" w:rsidRPr="008463F3" w:rsidRDefault="007947BF" w:rsidP="007947BF">
      <w:pPr>
        <w:spacing w:after="0"/>
        <w:jc w:val="both"/>
        <w:rPr>
          <w:sz w:val="20"/>
          <w:lang w:val="en-GB"/>
        </w:rPr>
      </w:pPr>
      <w:r w:rsidRPr="008463F3">
        <w:rPr>
          <w:sz w:val="20"/>
          <w:lang w:val="en-GB"/>
        </w:rPr>
        <w:t>*(includes only equipment which individual purchase value is at least 50,000 euros)</w:t>
      </w:r>
    </w:p>
    <w:p w14:paraId="742C8283" w14:textId="77777777" w:rsidR="007947BF" w:rsidRPr="008463F3" w:rsidRDefault="007947BF" w:rsidP="007947BF">
      <w:pPr>
        <w:jc w:val="both"/>
        <w:rPr>
          <w:lang w:val="en-GB"/>
        </w:rPr>
      </w:pPr>
      <w:r w:rsidRPr="008463F3">
        <w:rPr>
          <w:rFonts w:cs="Times New Roman"/>
          <w:sz w:val="20"/>
          <w:lang w:val="en-GB"/>
        </w:rPr>
        <w:t xml:space="preserve">Source: </w:t>
      </w:r>
      <w:proofErr w:type="spellStart"/>
      <w:r w:rsidRPr="008463F3">
        <w:rPr>
          <w:rFonts w:cs="Times New Roman"/>
          <w:sz w:val="20"/>
          <w:lang w:val="en-GB"/>
        </w:rPr>
        <w:t>ToE</w:t>
      </w:r>
      <w:proofErr w:type="spellEnd"/>
      <w:r w:rsidRPr="008463F3">
        <w:rPr>
          <w:rFonts w:cs="Times New Roman"/>
          <w:sz w:val="20"/>
          <w:lang w:val="en-GB"/>
        </w:rPr>
        <w:t xml:space="preserve"> – Team of Experts, analysis of collected questionnaires </w:t>
      </w:r>
    </w:p>
    <w:p w14:paraId="6A97DCFD" w14:textId="77777777" w:rsidR="007947BF" w:rsidRPr="008463F3" w:rsidRDefault="007947BF" w:rsidP="007947BF">
      <w:pPr>
        <w:jc w:val="both"/>
        <w:rPr>
          <w:lang w:val="en-GB"/>
        </w:rPr>
      </w:pPr>
      <w:r w:rsidRPr="008463F3">
        <w:rPr>
          <w:lang w:val="en-GB"/>
        </w:rPr>
        <w:t>The sub-sections below provide basic information on research institutions in which the greatest research potential and capital research equipment has been recorded. In addition, the information on the services provided by each research laboratory/institute is presented.</w:t>
      </w:r>
    </w:p>
    <w:p w14:paraId="5F05CA6C" w14:textId="77777777" w:rsidR="007947BF" w:rsidRPr="008463F3" w:rsidRDefault="007947BF" w:rsidP="007947BF">
      <w:pPr>
        <w:jc w:val="both"/>
        <w:rPr>
          <w:lang w:val="en-GB"/>
        </w:rPr>
      </w:pPr>
    </w:p>
    <w:p w14:paraId="7C337C61" w14:textId="77777777" w:rsidR="007947BF" w:rsidRPr="008463F3" w:rsidRDefault="007947BF" w:rsidP="007947BF">
      <w:pPr>
        <w:pStyle w:val="Heading3"/>
        <w:spacing w:after="240"/>
        <w:rPr>
          <w:rFonts w:asciiTheme="minorHAnsi" w:hAnsiTheme="minorHAnsi"/>
          <w:lang w:val="en-GB"/>
        </w:rPr>
      </w:pPr>
      <w:bookmarkStart w:id="22" w:name="_Toc77322030"/>
      <w:r w:rsidRPr="008463F3">
        <w:rPr>
          <w:rFonts w:asciiTheme="minorHAnsi" w:hAnsiTheme="minorHAnsi"/>
          <w:lang w:val="en-GB"/>
        </w:rPr>
        <w:t>4.1.1. Ss. Cyril and Methodius University of Skopje (UKIM)</w:t>
      </w:r>
      <w:bookmarkEnd w:id="22"/>
    </w:p>
    <w:p w14:paraId="5E378BB3" w14:textId="77777777" w:rsidR="007947BF" w:rsidRPr="008463F3" w:rsidRDefault="007947BF" w:rsidP="007947BF">
      <w:pPr>
        <w:jc w:val="both"/>
        <w:rPr>
          <w:lang w:val="en-GB"/>
        </w:rPr>
      </w:pPr>
      <w:r w:rsidRPr="008463F3">
        <w:rPr>
          <w:lang w:val="en-GB"/>
        </w:rPr>
        <w:t xml:space="preserve">The Ss. Cyril and Methodius University in Skopje is the first </w:t>
      </w:r>
      <w:r>
        <w:rPr>
          <w:lang w:val="en-GB"/>
        </w:rPr>
        <w:t>public</w:t>
      </w:r>
      <w:r w:rsidRPr="008463F3">
        <w:rPr>
          <w:lang w:val="en-GB"/>
        </w:rPr>
        <w:t xml:space="preserve"> University in North Macedonia, founded in 1949. It is the largest University in North Macedonia representing a functional community of 23 faculties, 5 research institutes, 4 public scientific institutions - associate members, 1 associate member - other higher education institution and 7 associate members - other organi</w:t>
      </w:r>
      <w:r>
        <w:rPr>
          <w:lang w:val="en-GB"/>
        </w:rPr>
        <w:t>s</w:t>
      </w:r>
      <w:r w:rsidRPr="008463F3">
        <w:rPr>
          <w:lang w:val="en-GB"/>
        </w:rPr>
        <w:t>ations. The Ss. Cyril and Methodius University develops study programmes in all scientific fields – natural sciences and mathematics, technical and technological sciences, medical sciences and health, biotechnical sciences, social sciences, humanities and arts. Research activities are carried out within the faculties and independent research institutes that are an integral part of the University. Over 3.100 teaching, research, associate and administrative staff participates in the teaching and scientific process at the faculties and institutes.</w:t>
      </w:r>
    </w:p>
    <w:p w14:paraId="13F7329D" w14:textId="77777777" w:rsidR="007947BF" w:rsidRPr="008463F3" w:rsidRDefault="007947BF" w:rsidP="007947BF">
      <w:pPr>
        <w:pStyle w:val="Heading4"/>
        <w:spacing w:after="240"/>
        <w:rPr>
          <w:rFonts w:asciiTheme="minorHAnsi" w:hAnsiTheme="minorHAnsi"/>
          <w:lang w:val="en-GB"/>
        </w:rPr>
      </w:pPr>
      <w:r w:rsidRPr="008463F3">
        <w:rPr>
          <w:rFonts w:asciiTheme="minorHAnsi" w:hAnsiTheme="minorHAnsi"/>
          <w:lang w:val="en-GB"/>
        </w:rPr>
        <w:t xml:space="preserve">Faculty of Technology and Metallurgy </w:t>
      </w:r>
    </w:p>
    <w:p w14:paraId="0D5D69AF" w14:textId="77777777" w:rsidR="007947BF" w:rsidRPr="008463F3" w:rsidRDefault="007947BF" w:rsidP="007947BF">
      <w:pPr>
        <w:pStyle w:val="Heading5"/>
        <w:rPr>
          <w:rFonts w:asciiTheme="minorHAnsi" w:hAnsiTheme="minorHAnsi"/>
          <w:lang w:val="en-GB"/>
        </w:rPr>
      </w:pPr>
      <w:r w:rsidRPr="008463F3">
        <w:rPr>
          <w:rFonts w:asciiTheme="minorHAnsi" w:hAnsiTheme="minorHAnsi"/>
          <w:lang w:val="en-GB"/>
        </w:rPr>
        <w:t xml:space="preserve">Laboratory for Materials and Nanostructure Analysis </w:t>
      </w:r>
    </w:p>
    <w:p w14:paraId="53AC1E56" w14:textId="77777777" w:rsidR="007947BF" w:rsidRPr="008463F3" w:rsidRDefault="007947BF" w:rsidP="007947BF">
      <w:pPr>
        <w:jc w:val="both"/>
        <w:rPr>
          <w:lang w:val="en-GB"/>
        </w:rPr>
      </w:pPr>
      <w:r w:rsidRPr="008463F3">
        <w:rPr>
          <w:lang w:val="en-GB"/>
        </w:rPr>
        <w:t>The Laboratory for Materials and Nanostructure Analysis performs testing and characterisation for structural and morphological analysis of all type of materials (inorganic: metals, ceramics, composites and organic</w:t>
      </w:r>
      <w:r>
        <w:rPr>
          <w:lang w:val="en-GB"/>
        </w:rPr>
        <w:t>:</w:t>
      </w:r>
      <w:r w:rsidRPr="008463F3">
        <w:rPr>
          <w:lang w:val="en-GB"/>
        </w:rPr>
        <w:t xml:space="preserve"> polymers, fibr</w:t>
      </w:r>
      <w:r>
        <w:rPr>
          <w:lang w:val="en-GB"/>
        </w:rPr>
        <w:t>e</w:t>
      </w:r>
      <w:r w:rsidRPr="008463F3">
        <w:rPr>
          <w:lang w:val="en-GB"/>
        </w:rPr>
        <w:t>s, foods, pharmaceutical compounds, natural components). The Lab also conducts analysis of organic food and biodegradable compounds since it is able to work under low vacuum and scan organic compounds.</w:t>
      </w:r>
    </w:p>
    <w:p w14:paraId="0D14B930" w14:textId="77777777" w:rsidR="007947BF" w:rsidRPr="008463F3" w:rsidRDefault="007947BF" w:rsidP="007947BF">
      <w:pPr>
        <w:jc w:val="both"/>
        <w:rPr>
          <w:lang w:val="en-GB"/>
        </w:rPr>
      </w:pPr>
      <w:r w:rsidRPr="008463F3">
        <w:rPr>
          <w:lang w:val="en-GB"/>
        </w:rPr>
        <w:t xml:space="preserve">Services provided include </w:t>
      </w:r>
      <w:r>
        <w:rPr>
          <w:lang w:val="en-GB"/>
        </w:rPr>
        <w:t>m</w:t>
      </w:r>
      <w:r w:rsidRPr="008463F3">
        <w:rPr>
          <w:lang w:val="en-GB"/>
        </w:rPr>
        <w:t xml:space="preserve">orphological analysis of </w:t>
      </w:r>
      <w:proofErr w:type="spellStart"/>
      <w:r w:rsidRPr="008463F3">
        <w:rPr>
          <w:lang w:val="en-GB"/>
        </w:rPr>
        <w:t>stomic</w:t>
      </w:r>
      <w:proofErr w:type="spellEnd"/>
      <w:r w:rsidRPr="008463F3">
        <w:rPr>
          <w:lang w:val="en-GB"/>
        </w:rPr>
        <w:t xml:space="preserve"> level of metals, plastics, ceramics, and all other materials; </w:t>
      </w:r>
      <w:r>
        <w:rPr>
          <w:lang w:val="en-GB"/>
        </w:rPr>
        <w:t>c</w:t>
      </w:r>
      <w:r w:rsidRPr="008463F3">
        <w:rPr>
          <w:lang w:val="en-GB"/>
        </w:rPr>
        <w:t xml:space="preserve">hemical composition of the scanned surfaces; </w:t>
      </w:r>
      <w:r>
        <w:rPr>
          <w:lang w:val="en-GB"/>
        </w:rPr>
        <w:t>c</w:t>
      </w:r>
      <w:r w:rsidRPr="008463F3">
        <w:rPr>
          <w:lang w:val="en-GB"/>
        </w:rPr>
        <w:t>alorimetric (</w:t>
      </w:r>
      <w:r>
        <w:rPr>
          <w:lang w:val="en-GB"/>
        </w:rPr>
        <w:t>e</w:t>
      </w:r>
      <w:r w:rsidRPr="008463F3">
        <w:rPr>
          <w:lang w:val="en-GB"/>
        </w:rPr>
        <w:t xml:space="preserve">nergy) value of oils, foods, plastics; </w:t>
      </w:r>
      <w:r>
        <w:rPr>
          <w:lang w:val="en-GB"/>
        </w:rPr>
        <w:t>R</w:t>
      </w:r>
      <w:r w:rsidRPr="008463F3">
        <w:rPr>
          <w:lang w:val="en-GB"/>
        </w:rPr>
        <w:t xml:space="preserve">aman - structural analysis of all type of materials; </w:t>
      </w:r>
      <w:r>
        <w:rPr>
          <w:lang w:val="en-GB"/>
        </w:rPr>
        <w:t>t</w:t>
      </w:r>
      <w:r w:rsidRPr="008463F3">
        <w:rPr>
          <w:lang w:val="en-GB"/>
        </w:rPr>
        <w:t>hermal analysis (</w:t>
      </w:r>
      <w:r>
        <w:rPr>
          <w:lang w:val="en-GB"/>
        </w:rPr>
        <w:t>t</w:t>
      </w:r>
      <w:r w:rsidRPr="008463F3">
        <w:rPr>
          <w:lang w:val="en-GB"/>
        </w:rPr>
        <w:t>hermal degradation, crystallisation and melting ) of all types of materials.</w:t>
      </w:r>
    </w:p>
    <w:p w14:paraId="6F112826" w14:textId="77777777" w:rsidR="007947BF" w:rsidRPr="008463F3" w:rsidRDefault="007947BF" w:rsidP="007947BF">
      <w:pPr>
        <w:jc w:val="both"/>
        <w:rPr>
          <w:lang w:val="en-GB"/>
        </w:rPr>
      </w:pPr>
      <w:r w:rsidRPr="008463F3">
        <w:rPr>
          <w:lang w:val="en-GB"/>
        </w:rPr>
        <w:t>The Laboratory has capital research equipment worth over 50.000 euro. A total estimated value of research capital equipment is 304.000 euro (purchase value was 379.000 euro). The list of individual capital research equipment is provided in Appendix 1.</w:t>
      </w:r>
    </w:p>
    <w:p w14:paraId="003E1F1D" w14:textId="77777777" w:rsidR="007947BF" w:rsidRPr="008463F3" w:rsidRDefault="007947BF" w:rsidP="007947BF">
      <w:pPr>
        <w:pStyle w:val="Heading5"/>
        <w:spacing w:after="240"/>
        <w:rPr>
          <w:rFonts w:asciiTheme="minorHAnsi" w:hAnsiTheme="minorHAnsi"/>
          <w:lang w:val="en-GB"/>
        </w:rPr>
      </w:pPr>
      <w:r w:rsidRPr="008463F3">
        <w:rPr>
          <w:rFonts w:asciiTheme="minorHAnsi" w:hAnsiTheme="minorHAnsi"/>
          <w:lang w:val="en-GB"/>
        </w:rPr>
        <w:t>Laboratory for Food Technology and Biotechnology</w:t>
      </w:r>
    </w:p>
    <w:p w14:paraId="6A3C3ED3" w14:textId="77777777" w:rsidR="007947BF" w:rsidRPr="008463F3" w:rsidRDefault="007947BF" w:rsidP="007947BF">
      <w:pPr>
        <w:jc w:val="both"/>
        <w:rPr>
          <w:lang w:val="en-GB"/>
        </w:rPr>
      </w:pPr>
      <w:r w:rsidRPr="008463F3">
        <w:rPr>
          <w:lang w:val="en-GB"/>
        </w:rPr>
        <w:t xml:space="preserve">Food Technology and Biotechnology Laboratory is primarily used for educational activities. It is constructed to do both research (national, regional, European and international projects) as well as routine quality control of new and innovative food processes, traditional food processes, food and biotechnological products, etc. </w:t>
      </w:r>
    </w:p>
    <w:p w14:paraId="244313B3" w14:textId="77777777" w:rsidR="007947BF" w:rsidRPr="008463F3" w:rsidRDefault="007947BF" w:rsidP="007947BF">
      <w:pPr>
        <w:jc w:val="both"/>
        <w:rPr>
          <w:lang w:val="en-GB"/>
        </w:rPr>
      </w:pPr>
      <w:r w:rsidRPr="008463F3">
        <w:rPr>
          <w:lang w:val="en-GB"/>
        </w:rPr>
        <w:t>Services provided</w:t>
      </w:r>
      <w:r>
        <w:rPr>
          <w:lang w:val="en-GB"/>
        </w:rPr>
        <w:t xml:space="preserve"> include</w:t>
      </w:r>
      <w:r w:rsidRPr="008463F3">
        <w:rPr>
          <w:lang w:val="en-GB"/>
        </w:rPr>
        <w:t xml:space="preserve"> analysis of products (ph</w:t>
      </w:r>
      <w:r>
        <w:rPr>
          <w:lang w:val="en-GB"/>
        </w:rPr>
        <w:t>y</w:t>
      </w:r>
      <w:r w:rsidRPr="008463F3">
        <w:rPr>
          <w:lang w:val="en-GB"/>
        </w:rPr>
        <w:t xml:space="preserve">sicochemical and microbiological properties); </w:t>
      </w:r>
      <w:proofErr w:type="spellStart"/>
      <w:r w:rsidRPr="008463F3">
        <w:rPr>
          <w:lang w:val="en-GB"/>
        </w:rPr>
        <w:t>microscoping</w:t>
      </w:r>
      <w:proofErr w:type="spellEnd"/>
      <w:r w:rsidRPr="008463F3">
        <w:rPr>
          <w:lang w:val="en-GB"/>
        </w:rPr>
        <w:t xml:space="preserve"> of products; interpretation and discussion of results and statistical evaluation and correlation of results.</w:t>
      </w:r>
    </w:p>
    <w:p w14:paraId="3C57833C" w14:textId="77777777" w:rsidR="007947BF" w:rsidRPr="008463F3" w:rsidRDefault="007947BF" w:rsidP="007947BF">
      <w:pPr>
        <w:jc w:val="both"/>
        <w:rPr>
          <w:lang w:val="en-GB"/>
        </w:rPr>
      </w:pPr>
      <w:r w:rsidRPr="008463F3">
        <w:rPr>
          <w:lang w:val="en-GB"/>
        </w:rPr>
        <w:t xml:space="preserve">Research equipment: regarding capital research equipment, the Laboratory owns High performance liquid chromatography (HPLC) whose purchase price was 53.000 euros. The future investments in research equipment include GC with electronic nose; </w:t>
      </w:r>
      <w:r>
        <w:rPr>
          <w:lang w:val="en-GB"/>
        </w:rPr>
        <w:t>f</w:t>
      </w:r>
      <w:r w:rsidRPr="008463F3">
        <w:rPr>
          <w:lang w:val="en-GB"/>
        </w:rPr>
        <w:t xml:space="preserve">luorescent microscope; </w:t>
      </w:r>
      <w:r>
        <w:rPr>
          <w:lang w:val="en-GB"/>
        </w:rPr>
        <w:t>r</w:t>
      </w:r>
      <w:r w:rsidRPr="008463F3">
        <w:rPr>
          <w:lang w:val="en-GB"/>
        </w:rPr>
        <w:t xml:space="preserve">heometer and </w:t>
      </w:r>
      <w:r>
        <w:rPr>
          <w:lang w:val="en-GB"/>
        </w:rPr>
        <w:t>s</w:t>
      </w:r>
      <w:r w:rsidRPr="008463F3">
        <w:rPr>
          <w:lang w:val="en-GB"/>
        </w:rPr>
        <w:t>maller laboratory equipment.</w:t>
      </w:r>
    </w:p>
    <w:p w14:paraId="04525A09" w14:textId="77777777" w:rsidR="007947BF" w:rsidRPr="008463F3" w:rsidRDefault="007947BF" w:rsidP="007947BF">
      <w:pPr>
        <w:pStyle w:val="Heading5"/>
        <w:spacing w:after="240"/>
        <w:rPr>
          <w:rFonts w:asciiTheme="minorHAnsi" w:hAnsiTheme="minorHAnsi"/>
          <w:lang w:val="en-GB"/>
        </w:rPr>
      </w:pPr>
      <w:r w:rsidRPr="008463F3">
        <w:rPr>
          <w:rFonts w:asciiTheme="minorHAnsi" w:hAnsiTheme="minorHAnsi"/>
          <w:lang w:val="en-GB"/>
        </w:rPr>
        <w:t>Polymer processing lab</w:t>
      </w:r>
    </w:p>
    <w:p w14:paraId="6654B873" w14:textId="77777777" w:rsidR="007947BF" w:rsidRPr="008463F3" w:rsidRDefault="007947BF" w:rsidP="007947BF">
      <w:pPr>
        <w:jc w:val="both"/>
        <w:rPr>
          <w:lang w:val="en-GB"/>
        </w:rPr>
      </w:pPr>
      <w:r w:rsidRPr="008463F3">
        <w:rPr>
          <w:lang w:val="en-GB"/>
        </w:rPr>
        <w:t>Polymer processing lab is a new facility established in 2021. It owns research infrastructure that is based on processing and preparative facilities mainly for polymer processing and composite materials. The main objectives are to provide fast processing and preparation of different polymer base formulations for wide spectrum of application.</w:t>
      </w:r>
    </w:p>
    <w:p w14:paraId="5B3501EC" w14:textId="77777777" w:rsidR="007947BF" w:rsidRPr="008463F3" w:rsidRDefault="007947BF" w:rsidP="007947BF">
      <w:pPr>
        <w:jc w:val="both"/>
        <w:rPr>
          <w:lang w:val="en-GB"/>
        </w:rPr>
      </w:pPr>
      <w:r w:rsidRPr="008463F3">
        <w:rPr>
          <w:lang w:val="en-GB"/>
        </w:rPr>
        <w:t xml:space="preserve">Services provided: The users are all employees </w:t>
      </w:r>
      <w:r>
        <w:rPr>
          <w:lang w:val="en-GB"/>
        </w:rPr>
        <w:t>of</w:t>
      </w:r>
      <w:r w:rsidRPr="008463F3">
        <w:rPr>
          <w:lang w:val="en-GB"/>
        </w:rPr>
        <w:t xml:space="preserve"> the Faculty of Technology and </w:t>
      </w:r>
      <w:r>
        <w:rPr>
          <w:lang w:val="en-GB"/>
        </w:rPr>
        <w:t>M</w:t>
      </w:r>
      <w:r w:rsidRPr="008463F3">
        <w:rPr>
          <w:lang w:val="en-GB"/>
        </w:rPr>
        <w:t>etallurgy and students o</w:t>
      </w:r>
      <w:r>
        <w:rPr>
          <w:lang w:val="en-GB"/>
        </w:rPr>
        <w:t>f</w:t>
      </w:r>
      <w:r w:rsidRPr="008463F3">
        <w:rPr>
          <w:lang w:val="en-GB"/>
        </w:rPr>
        <w:t xml:space="preserve"> the polymer </w:t>
      </w:r>
      <w:r>
        <w:rPr>
          <w:lang w:val="en-GB"/>
        </w:rPr>
        <w:t>m</w:t>
      </w:r>
      <w:r w:rsidRPr="008463F3">
        <w:rPr>
          <w:lang w:val="en-GB"/>
        </w:rPr>
        <w:t xml:space="preserve">aterials </w:t>
      </w:r>
      <w:r>
        <w:rPr>
          <w:lang w:val="en-GB"/>
        </w:rPr>
        <w:t>s</w:t>
      </w:r>
      <w:r w:rsidRPr="008463F3">
        <w:rPr>
          <w:lang w:val="en-GB"/>
        </w:rPr>
        <w:t xml:space="preserve">cience </w:t>
      </w:r>
      <w:r>
        <w:rPr>
          <w:lang w:val="en-GB"/>
        </w:rPr>
        <w:t>programme</w:t>
      </w:r>
      <w:r w:rsidRPr="008463F3">
        <w:rPr>
          <w:lang w:val="en-GB"/>
        </w:rPr>
        <w:t xml:space="preserve">. The intention is to </w:t>
      </w:r>
      <w:r>
        <w:rPr>
          <w:lang w:val="en-GB"/>
        </w:rPr>
        <w:t>increase the number of</w:t>
      </w:r>
      <w:r w:rsidRPr="008463F3">
        <w:rPr>
          <w:lang w:val="en-GB"/>
        </w:rPr>
        <w:t xml:space="preserve"> infrastructure users from industry who need fast preparation of different formulations and their testing.</w:t>
      </w:r>
    </w:p>
    <w:p w14:paraId="1B979507" w14:textId="77777777" w:rsidR="007947BF" w:rsidRPr="008463F3" w:rsidRDefault="007947BF" w:rsidP="007947BF">
      <w:pPr>
        <w:spacing w:after="0"/>
        <w:jc w:val="both"/>
        <w:rPr>
          <w:lang w:val="en-GB"/>
        </w:rPr>
      </w:pPr>
      <w:r w:rsidRPr="008463F3">
        <w:rPr>
          <w:lang w:val="en-GB"/>
        </w:rPr>
        <w:t xml:space="preserve">Research equipment: The Lab </w:t>
      </w:r>
      <w:r>
        <w:rPr>
          <w:lang w:val="en-GB"/>
        </w:rPr>
        <w:t>is</w:t>
      </w:r>
      <w:r w:rsidRPr="008463F3">
        <w:rPr>
          <w:lang w:val="en-GB"/>
        </w:rPr>
        <w:t xml:space="preserve"> equipped with research instruments. </w:t>
      </w:r>
      <w:r>
        <w:rPr>
          <w:lang w:val="en-GB"/>
        </w:rPr>
        <w:t xml:space="preserve">The </w:t>
      </w:r>
      <w:r w:rsidRPr="008463F3">
        <w:rPr>
          <w:lang w:val="en-GB"/>
        </w:rPr>
        <w:t xml:space="preserve">funds for purchase of equipment </w:t>
      </w:r>
      <w:r>
        <w:rPr>
          <w:lang w:val="en-GB"/>
        </w:rPr>
        <w:t>were provided by</w:t>
      </w:r>
      <w:r w:rsidRPr="008463F3">
        <w:rPr>
          <w:lang w:val="en-GB"/>
        </w:rPr>
        <w:t xml:space="preserve"> SPS NATO </w:t>
      </w:r>
      <w:r>
        <w:rPr>
          <w:lang w:val="en-GB"/>
        </w:rPr>
        <w:t>S</w:t>
      </w:r>
      <w:r w:rsidRPr="008463F3">
        <w:rPr>
          <w:lang w:val="en-GB"/>
        </w:rPr>
        <w:t xml:space="preserve">cience for </w:t>
      </w:r>
      <w:r>
        <w:rPr>
          <w:lang w:val="en-GB"/>
        </w:rPr>
        <w:t>P</w:t>
      </w:r>
      <w:r w:rsidRPr="008463F3">
        <w:rPr>
          <w:lang w:val="en-GB"/>
        </w:rPr>
        <w:t>eace. The following research equipment was procured: Electrospinning machine, Flat and drum collectors and Coaxial electrospinning (total of 22.000 euro); Extruder (40.000 euro); Ultrasonic processor (5.000 euro) and Spin Coater (2.200 euro).</w:t>
      </w:r>
    </w:p>
    <w:p w14:paraId="213CDC4D" w14:textId="77777777" w:rsidR="007947BF" w:rsidRPr="008463F3" w:rsidRDefault="007947BF" w:rsidP="007947BF">
      <w:pPr>
        <w:pStyle w:val="Heading5"/>
        <w:spacing w:after="240"/>
        <w:rPr>
          <w:rFonts w:asciiTheme="minorHAnsi" w:hAnsiTheme="minorHAnsi"/>
          <w:lang w:val="en-GB"/>
        </w:rPr>
      </w:pPr>
      <w:r w:rsidRPr="008463F3">
        <w:rPr>
          <w:rFonts w:asciiTheme="minorHAnsi" w:hAnsiTheme="minorHAnsi"/>
          <w:lang w:val="en-GB"/>
        </w:rPr>
        <w:t>Textile Research Laboratory</w:t>
      </w:r>
    </w:p>
    <w:p w14:paraId="36DC36A3" w14:textId="77777777" w:rsidR="007947BF" w:rsidRPr="008463F3" w:rsidRDefault="007947BF" w:rsidP="007947BF">
      <w:pPr>
        <w:jc w:val="both"/>
        <w:rPr>
          <w:lang w:val="en-GB"/>
        </w:rPr>
      </w:pPr>
      <w:r w:rsidRPr="0002130B">
        <w:rPr>
          <w:lang w:val="en-GB"/>
        </w:rPr>
        <w:t xml:space="preserve">Textile </w:t>
      </w:r>
      <w:r w:rsidRPr="007B1A30">
        <w:rPr>
          <w:lang w:val="en-GB"/>
        </w:rPr>
        <w:t>L</w:t>
      </w:r>
      <w:r w:rsidRPr="0002130B">
        <w:rPr>
          <w:lang w:val="en-GB"/>
        </w:rPr>
        <w:t xml:space="preserve">aboratory </w:t>
      </w:r>
      <w:r w:rsidRPr="007B1A30">
        <w:rPr>
          <w:lang w:val="en-GB"/>
        </w:rPr>
        <w:t>was</w:t>
      </w:r>
      <w:r w:rsidRPr="0002130B">
        <w:rPr>
          <w:lang w:val="en-GB"/>
        </w:rPr>
        <w:t xml:space="preserve"> established</w:t>
      </w:r>
      <w:r w:rsidRPr="008463F3">
        <w:rPr>
          <w:lang w:val="en-GB"/>
        </w:rPr>
        <w:t xml:space="preserve"> in 2012 at the Faculty of Technology and Metallurgy. The main objective of the laboratory is to conduct research activities and provide services for the textile industry and product development. Additionally, </w:t>
      </w:r>
      <w:r>
        <w:rPr>
          <w:lang w:val="en-GB"/>
        </w:rPr>
        <w:t>it is</w:t>
      </w:r>
      <w:r w:rsidRPr="008463F3">
        <w:rPr>
          <w:lang w:val="en-GB"/>
        </w:rPr>
        <w:t xml:space="preserve"> engaged in research projects with industry and work</w:t>
      </w:r>
      <w:r>
        <w:rPr>
          <w:lang w:val="en-GB"/>
        </w:rPr>
        <w:t>s</w:t>
      </w:r>
      <w:r w:rsidRPr="008463F3">
        <w:rPr>
          <w:lang w:val="en-GB"/>
        </w:rPr>
        <w:t xml:space="preserve"> on joint projects with other universities or entities in the region and beyond.</w:t>
      </w:r>
    </w:p>
    <w:p w14:paraId="3928DBB0" w14:textId="77777777" w:rsidR="007947BF" w:rsidRPr="008463F3" w:rsidRDefault="007947BF" w:rsidP="007947BF">
      <w:pPr>
        <w:jc w:val="both"/>
        <w:rPr>
          <w:lang w:val="en-GB"/>
        </w:rPr>
      </w:pPr>
      <w:r w:rsidRPr="008463F3">
        <w:rPr>
          <w:lang w:val="en-GB"/>
        </w:rPr>
        <w:t xml:space="preserve">Services provided: </w:t>
      </w:r>
      <w:r>
        <w:rPr>
          <w:lang w:val="en-GB"/>
        </w:rPr>
        <w:t>q</w:t>
      </w:r>
      <w:r w:rsidRPr="008463F3">
        <w:rPr>
          <w:lang w:val="en-GB"/>
        </w:rPr>
        <w:t xml:space="preserve">uantitative chemical analysis; </w:t>
      </w:r>
      <w:r>
        <w:rPr>
          <w:lang w:val="en-GB"/>
        </w:rPr>
        <w:t>t</w:t>
      </w:r>
      <w:r w:rsidRPr="008463F3">
        <w:rPr>
          <w:lang w:val="en-GB"/>
        </w:rPr>
        <w:t xml:space="preserve">est for colour fastness; </w:t>
      </w:r>
      <w:r>
        <w:rPr>
          <w:lang w:val="en-GB"/>
        </w:rPr>
        <w:t>m</w:t>
      </w:r>
      <w:r w:rsidRPr="008463F3">
        <w:rPr>
          <w:lang w:val="en-GB"/>
        </w:rPr>
        <w:t xml:space="preserve">easurement of surface colour; </w:t>
      </w:r>
      <w:r>
        <w:rPr>
          <w:lang w:val="en-GB"/>
        </w:rPr>
        <w:t>d</w:t>
      </w:r>
      <w:r w:rsidRPr="008463F3">
        <w:rPr>
          <w:lang w:val="en-GB"/>
        </w:rPr>
        <w:t xml:space="preserve">etermination of pH of aqueous extract; </w:t>
      </w:r>
      <w:r>
        <w:rPr>
          <w:lang w:val="en-GB"/>
        </w:rPr>
        <w:t>d</w:t>
      </w:r>
      <w:r w:rsidRPr="008463F3">
        <w:rPr>
          <w:lang w:val="en-GB"/>
        </w:rPr>
        <w:t xml:space="preserve">etermination of dimensional change in washing and drying; </w:t>
      </w:r>
      <w:r>
        <w:rPr>
          <w:lang w:val="en-GB"/>
        </w:rPr>
        <w:t>w</w:t>
      </w:r>
      <w:r w:rsidRPr="008463F3">
        <w:rPr>
          <w:lang w:val="en-GB"/>
        </w:rPr>
        <w:t xml:space="preserve">oven and knitted fabrics - </w:t>
      </w:r>
      <w:r>
        <w:rPr>
          <w:lang w:val="en-GB"/>
        </w:rPr>
        <w:t>c</w:t>
      </w:r>
      <w:r w:rsidRPr="008463F3">
        <w:rPr>
          <w:lang w:val="en-GB"/>
        </w:rPr>
        <w:t xml:space="preserve">onstruction - </w:t>
      </w:r>
      <w:r>
        <w:rPr>
          <w:lang w:val="en-GB"/>
        </w:rPr>
        <w:t>m</w:t>
      </w:r>
      <w:r w:rsidRPr="008463F3">
        <w:rPr>
          <w:lang w:val="en-GB"/>
        </w:rPr>
        <w:t xml:space="preserve">ethods of analysis; </w:t>
      </w:r>
      <w:r>
        <w:rPr>
          <w:lang w:val="en-GB"/>
        </w:rPr>
        <w:t>d</w:t>
      </w:r>
      <w:r w:rsidRPr="008463F3">
        <w:rPr>
          <w:lang w:val="en-GB"/>
        </w:rPr>
        <w:t xml:space="preserve">etermination of fabric propensity to surface fuzzing and to pilling; </w:t>
      </w:r>
      <w:r>
        <w:rPr>
          <w:lang w:val="en-GB"/>
        </w:rPr>
        <w:t>d</w:t>
      </w:r>
      <w:r w:rsidRPr="008463F3">
        <w:rPr>
          <w:lang w:val="en-GB"/>
        </w:rPr>
        <w:t xml:space="preserve">etermination of the abrasion resistance of fabrics by the Martindale method; </w:t>
      </w:r>
      <w:r>
        <w:rPr>
          <w:lang w:val="en-GB"/>
        </w:rPr>
        <w:t>t</w:t>
      </w:r>
      <w:r w:rsidRPr="008463F3">
        <w:rPr>
          <w:lang w:val="en-GB"/>
        </w:rPr>
        <w:t xml:space="preserve">ensile properties of fabrics; </w:t>
      </w:r>
      <w:r>
        <w:rPr>
          <w:lang w:val="en-GB"/>
        </w:rPr>
        <w:t>s</w:t>
      </w:r>
      <w:r w:rsidRPr="008463F3">
        <w:rPr>
          <w:lang w:val="en-GB"/>
        </w:rPr>
        <w:t xml:space="preserve">eam tensile properties of fabrics and made-up textile articles; </w:t>
      </w:r>
      <w:r>
        <w:rPr>
          <w:lang w:val="en-GB"/>
        </w:rPr>
        <w:t>d</w:t>
      </w:r>
      <w:r w:rsidRPr="008463F3">
        <w:rPr>
          <w:lang w:val="en-GB"/>
        </w:rPr>
        <w:t xml:space="preserve">etermination of the slippage resistance of yarns at a seam in woven fabrics; </w:t>
      </w:r>
      <w:r>
        <w:rPr>
          <w:lang w:val="en-GB"/>
        </w:rPr>
        <w:t>t</w:t>
      </w:r>
      <w:r w:rsidRPr="008463F3">
        <w:rPr>
          <w:lang w:val="en-GB"/>
        </w:rPr>
        <w:t xml:space="preserve">ear properties of fabrics; </w:t>
      </w:r>
      <w:r>
        <w:rPr>
          <w:lang w:val="en-GB"/>
        </w:rPr>
        <w:t>d</w:t>
      </w:r>
      <w:r w:rsidRPr="008463F3">
        <w:rPr>
          <w:lang w:val="en-GB"/>
        </w:rPr>
        <w:t xml:space="preserve">etermination of the permeability of fabrics to air; </w:t>
      </w:r>
      <w:r>
        <w:rPr>
          <w:lang w:val="en-GB"/>
        </w:rPr>
        <w:t>f</w:t>
      </w:r>
      <w:r w:rsidRPr="008463F3">
        <w:rPr>
          <w:lang w:val="en-GB"/>
        </w:rPr>
        <w:t xml:space="preserve">abric </w:t>
      </w:r>
      <w:proofErr w:type="spellStart"/>
      <w:r w:rsidRPr="008463F3">
        <w:rPr>
          <w:lang w:val="en-GB"/>
        </w:rPr>
        <w:t>sewability</w:t>
      </w:r>
      <w:proofErr w:type="spellEnd"/>
      <w:r>
        <w:rPr>
          <w:lang w:val="en-GB"/>
        </w:rPr>
        <w:t>;</w:t>
      </w:r>
      <w:r w:rsidRPr="008463F3">
        <w:rPr>
          <w:lang w:val="en-GB"/>
        </w:rPr>
        <w:t xml:space="preserve"> etc.</w:t>
      </w:r>
    </w:p>
    <w:p w14:paraId="6F80CBEC" w14:textId="77777777" w:rsidR="007947BF" w:rsidRPr="008463F3" w:rsidRDefault="007947BF" w:rsidP="007947BF">
      <w:pPr>
        <w:jc w:val="both"/>
        <w:rPr>
          <w:lang w:val="en-GB"/>
        </w:rPr>
      </w:pPr>
      <w:r w:rsidRPr="008463F3">
        <w:rPr>
          <w:lang w:val="en-GB"/>
        </w:rPr>
        <w:t xml:space="preserve">The research equipment was purchased in the framework of the project </w:t>
      </w:r>
      <w:r>
        <w:rPr>
          <w:lang w:val="en-GB"/>
        </w:rPr>
        <w:t>implemented</w:t>
      </w:r>
      <w:r w:rsidRPr="008463F3">
        <w:rPr>
          <w:lang w:val="en-GB"/>
        </w:rPr>
        <w:t xml:space="preserve"> by the Ministry of Education and Science in 2010. The total purchase value of procured research equipment was 156.000 euro. (The current value is estimated at 78.000 euro)</w:t>
      </w:r>
    </w:p>
    <w:p w14:paraId="3B1C0689" w14:textId="77777777" w:rsidR="007947BF" w:rsidRPr="008463F3" w:rsidRDefault="007947BF" w:rsidP="007947BF">
      <w:pPr>
        <w:spacing w:after="0"/>
        <w:jc w:val="both"/>
        <w:rPr>
          <w:lang w:val="en-GB"/>
        </w:rPr>
      </w:pPr>
      <w:r w:rsidRPr="008463F3">
        <w:rPr>
          <w:lang w:val="en-GB"/>
        </w:rPr>
        <w:t xml:space="preserve">In addition to the mentioned research laboratories, the Faculty of Technology and Metallurgy also owns the following research equipment </w:t>
      </w:r>
      <w:r>
        <w:rPr>
          <w:lang w:val="en-GB"/>
        </w:rPr>
        <w:t>with no value attributed</w:t>
      </w:r>
      <w:r w:rsidRPr="008463F3">
        <w:rPr>
          <w:lang w:val="en-GB"/>
        </w:rPr>
        <w:t>:</w:t>
      </w:r>
    </w:p>
    <w:p w14:paraId="3D337B87" w14:textId="77777777" w:rsidR="007947BF" w:rsidRPr="008463F3" w:rsidRDefault="007947BF" w:rsidP="007947BF">
      <w:pPr>
        <w:pStyle w:val="ListParagraph"/>
        <w:numPr>
          <w:ilvl w:val="0"/>
          <w:numId w:val="37"/>
        </w:numPr>
        <w:jc w:val="both"/>
        <w:rPr>
          <w:lang w:val="en-GB"/>
        </w:rPr>
      </w:pPr>
      <w:r w:rsidRPr="008463F3">
        <w:rPr>
          <w:lang w:val="en-GB"/>
        </w:rPr>
        <w:t xml:space="preserve">Atomic Absorption Spectroscopy - is a </w:t>
      </w:r>
      <w:proofErr w:type="spellStart"/>
      <w:r w:rsidRPr="008463F3">
        <w:rPr>
          <w:lang w:val="en-GB"/>
        </w:rPr>
        <w:t>spectroanalytical</w:t>
      </w:r>
      <w:proofErr w:type="spellEnd"/>
      <w:r w:rsidRPr="008463F3">
        <w:rPr>
          <w:lang w:val="en-GB"/>
        </w:rPr>
        <w:t xml:space="preserve"> procedure for the quantitative determination of chemical elements using the absorption of optical radiation (light) by free atoms in the gaseous state. Atomic absorption spectroscopy is based on absorption of light by free metallic ions.</w:t>
      </w:r>
    </w:p>
    <w:p w14:paraId="7B16C800" w14:textId="77777777" w:rsidR="007947BF" w:rsidRPr="008463F3" w:rsidRDefault="007947BF" w:rsidP="007947BF">
      <w:pPr>
        <w:pStyle w:val="ListParagraph"/>
        <w:numPr>
          <w:ilvl w:val="0"/>
          <w:numId w:val="37"/>
        </w:numPr>
        <w:jc w:val="both"/>
        <w:rPr>
          <w:lang w:val="en-GB"/>
        </w:rPr>
      </w:pPr>
      <w:r w:rsidRPr="008463F3">
        <w:rPr>
          <w:lang w:val="en-GB"/>
        </w:rPr>
        <w:t xml:space="preserve">High Current </w:t>
      </w:r>
      <w:proofErr w:type="spellStart"/>
      <w:r w:rsidRPr="008463F3">
        <w:rPr>
          <w:lang w:val="en-GB"/>
        </w:rPr>
        <w:t>Potentiostat-Galvanostat</w:t>
      </w:r>
      <w:proofErr w:type="spellEnd"/>
      <w:r w:rsidRPr="008463F3">
        <w:rPr>
          <w:lang w:val="en-GB"/>
        </w:rPr>
        <w:t xml:space="preserve"> - This equipment is fundamental to modern electrochemical studies using three electrode systems for investigations of reaction mechanisms related to redox chemistry and other chemical phenomena.</w:t>
      </w:r>
    </w:p>
    <w:p w14:paraId="34039FA9" w14:textId="77777777" w:rsidR="007947BF" w:rsidRPr="008463F3" w:rsidRDefault="007947BF" w:rsidP="007947BF">
      <w:pPr>
        <w:pStyle w:val="ListParagraph"/>
        <w:numPr>
          <w:ilvl w:val="0"/>
          <w:numId w:val="37"/>
        </w:numPr>
        <w:jc w:val="both"/>
        <w:rPr>
          <w:lang w:val="en-GB"/>
        </w:rPr>
      </w:pPr>
      <w:r w:rsidRPr="008463F3">
        <w:rPr>
          <w:lang w:val="en-GB"/>
        </w:rPr>
        <w:t>High Temperature Electrochemical Reactor - Performing electrochemical experiments in Molten salts.</w:t>
      </w:r>
    </w:p>
    <w:p w14:paraId="0A10F362" w14:textId="77777777" w:rsidR="007947BF" w:rsidRPr="008463F3" w:rsidRDefault="007947BF" w:rsidP="007947BF">
      <w:pPr>
        <w:spacing w:after="0"/>
        <w:jc w:val="both"/>
        <w:rPr>
          <w:lang w:val="en-GB"/>
        </w:rPr>
      </w:pPr>
      <w:r w:rsidRPr="008463F3">
        <w:rPr>
          <w:lang w:val="en-GB"/>
        </w:rPr>
        <w:t>With regards to polymer chemistry and physics, polymer technology and polymer composites, the Faculty is providing the following services:</w:t>
      </w:r>
    </w:p>
    <w:p w14:paraId="4755BA09" w14:textId="77777777" w:rsidR="007947BF" w:rsidRPr="008463F3" w:rsidRDefault="007947BF" w:rsidP="007947BF">
      <w:pPr>
        <w:pStyle w:val="ListParagraph"/>
        <w:numPr>
          <w:ilvl w:val="0"/>
          <w:numId w:val="38"/>
        </w:numPr>
        <w:jc w:val="both"/>
        <w:rPr>
          <w:lang w:val="en-GB"/>
        </w:rPr>
      </w:pPr>
      <w:r w:rsidRPr="008463F3">
        <w:rPr>
          <w:lang w:val="en-GB"/>
        </w:rPr>
        <w:t xml:space="preserve">Laser ablation of polymers and polymer nanocomposites </w:t>
      </w:r>
    </w:p>
    <w:p w14:paraId="3ECED764" w14:textId="77777777" w:rsidR="007947BF" w:rsidRPr="008463F3" w:rsidRDefault="007947BF" w:rsidP="007947BF">
      <w:pPr>
        <w:pStyle w:val="ListParagraph"/>
        <w:numPr>
          <w:ilvl w:val="0"/>
          <w:numId w:val="38"/>
        </w:numPr>
        <w:jc w:val="both"/>
        <w:rPr>
          <w:lang w:val="en-GB"/>
        </w:rPr>
      </w:pPr>
      <w:r w:rsidRPr="008463F3">
        <w:rPr>
          <w:lang w:val="en-GB"/>
        </w:rPr>
        <w:t xml:space="preserve">UV/VIS Spectroscopy measurements of polymers and polymer composites </w:t>
      </w:r>
    </w:p>
    <w:p w14:paraId="2029F54A" w14:textId="77777777" w:rsidR="007947BF" w:rsidRPr="008463F3" w:rsidRDefault="007947BF" w:rsidP="007947BF">
      <w:pPr>
        <w:pStyle w:val="ListParagraph"/>
        <w:numPr>
          <w:ilvl w:val="0"/>
          <w:numId w:val="38"/>
        </w:numPr>
        <w:jc w:val="both"/>
        <w:rPr>
          <w:lang w:val="en-GB"/>
        </w:rPr>
      </w:pPr>
      <w:r>
        <w:rPr>
          <w:lang w:val="en-GB"/>
        </w:rPr>
        <w:t>C</w:t>
      </w:r>
      <w:r w:rsidRPr="008463F3">
        <w:rPr>
          <w:lang w:val="en-GB"/>
        </w:rPr>
        <w:t xml:space="preserve">ontact angle measurements of polymers and polymer nanocomposites </w:t>
      </w:r>
    </w:p>
    <w:p w14:paraId="04B3E92F" w14:textId="77777777" w:rsidR="007947BF" w:rsidRPr="008463F3" w:rsidRDefault="007947BF" w:rsidP="007947BF">
      <w:pPr>
        <w:pStyle w:val="ListParagraph"/>
        <w:numPr>
          <w:ilvl w:val="0"/>
          <w:numId w:val="38"/>
        </w:numPr>
        <w:jc w:val="both"/>
        <w:rPr>
          <w:lang w:val="en-GB"/>
        </w:rPr>
      </w:pPr>
      <w:r w:rsidRPr="008463F3">
        <w:rPr>
          <w:lang w:val="en-GB"/>
        </w:rPr>
        <w:t xml:space="preserve">Mechanical testing of polymers </w:t>
      </w:r>
    </w:p>
    <w:p w14:paraId="050566A0" w14:textId="77777777" w:rsidR="007947BF" w:rsidRPr="008463F3" w:rsidRDefault="007947BF" w:rsidP="007947BF">
      <w:pPr>
        <w:pStyle w:val="ListParagraph"/>
        <w:numPr>
          <w:ilvl w:val="0"/>
          <w:numId w:val="38"/>
        </w:numPr>
        <w:jc w:val="both"/>
        <w:rPr>
          <w:lang w:val="en-GB"/>
        </w:rPr>
      </w:pPr>
      <w:r w:rsidRPr="008463F3">
        <w:rPr>
          <w:lang w:val="en-GB"/>
        </w:rPr>
        <w:t xml:space="preserve">Conductivity measurement of polymers and polymer nanocomposites </w:t>
      </w:r>
    </w:p>
    <w:p w14:paraId="3B3EC498" w14:textId="77777777" w:rsidR="007947BF" w:rsidRPr="008463F3" w:rsidRDefault="007947BF" w:rsidP="007947BF">
      <w:pPr>
        <w:pStyle w:val="ListParagraph"/>
        <w:numPr>
          <w:ilvl w:val="0"/>
          <w:numId w:val="38"/>
        </w:numPr>
        <w:jc w:val="both"/>
        <w:rPr>
          <w:lang w:val="en-GB"/>
        </w:rPr>
      </w:pPr>
      <w:r w:rsidRPr="008463F3">
        <w:rPr>
          <w:lang w:val="en-GB"/>
        </w:rPr>
        <w:t>Sensor measurement of polymers and polymer nanocomposites</w:t>
      </w:r>
    </w:p>
    <w:p w14:paraId="7208C518" w14:textId="77777777" w:rsidR="007947BF" w:rsidRPr="008463F3" w:rsidRDefault="007947BF" w:rsidP="007947BF">
      <w:pPr>
        <w:spacing w:after="0"/>
        <w:jc w:val="both"/>
        <w:rPr>
          <w:lang w:val="en-GB"/>
        </w:rPr>
      </w:pPr>
      <w:r w:rsidRPr="008463F3">
        <w:rPr>
          <w:lang w:val="en-GB"/>
        </w:rPr>
        <w:t>These services are provided by using the following research instruments:</w:t>
      </w:r>
    </w:p>
    <w:p w14:paraId="557E2DAB" w14:textId="77777777" w:rsidR="007947BF" w:rsidRPr="008463F3" w:rsidRDefault="007947BF" w:rsidP="007947BF">
      <w:pPr>
        <w:pStyle w:val="ListParagraph"/>
        <w:numPr>
          <w:ilvl w:val="0"/>
          <w:numId w:val="25"/>
        </w:numPr>
        <w:jc w:val="both"/>
        <w:rPr>
          <w:lang w:val="en-GB"/>
        </w:rPr>
      </w:pPr>
      <w:r w:rsidRPr="008463F3">
        <w:rPr>
          <w:lang w:val="en-GB"/>
        </w:rPr>
        <w:t xml:space="preserve">IR CO2 Laser, LADEC LTD </w:t>
      </w:r>
    </w:p>
    <w:p w14:paraId="64AACE03" w14:textId="77777777" w:rsidR="007947BF" w:rsidRPr="008463F3" w:rsidRDefault="007947BF" w:rsidP="007947BF">
      <w:pPr>
        <w:pStyle w:val="ListParagraph"/>
        <w:numPr>
          <w:ilvl w:val="0"/>
          <w:numId w:val="25"/>
        </w:numPr>
        <w:jc w:val="both"/>
        <w:rPr>
          <w:lang w:val="en-GB"/>
        </w:rPr>
      </w:pPr>
      <w:r w:rsidRPr="008463F3">
        <w:rPr>
          <w:lang w:val="en-GB"/>
        </w:rPr>
        <w:t xml:space="preserve">UV/VIS Spectrophotometer </w:t>
      </w:r>
    </w:p>
    <w:p w14:paraId="07AE4194" w14:textId="77777777" w:rsidR="007947BF" w:rsidRPr="008463F3" w:rsidRDefault="007947BF" w:rsidP="007947BF">
      <w:pPr>
        <w:pStyle w:val="ListParagraph"/>
        <w:numPr>
          <w:ilvl w:val="0"/>
          <w:numId w:val="25"/>
        </w:numPr>
        <w:jc w:val="both"/>
        <w:rPr>
          <w:lang w:val="en-GB"/>
        </w:rPr>
      </w:pPr>
      <w:r w:rsidRPr="008463F3">
        <w:rPr>
          <w:lang w:val="en-GB"/>
        </w:rPr>
        <w:t xml:space="preserve">Instrument for contact angle measurements </w:t>
      </w:r>
    </w:p>
    <w:p w14:paraId="4316813D" w14:textId="77777777" w:rsidR="007947BF" w:rsidRPr="008463F3" w:rsidRDefault="007947BF" w:rsidP="007947BF">
      <w:pPr>
        <w:pStyle w:val="ListParagraph"/>
        <w:numPr>
          <w:ilvl w:val="0"/>
          <w:numId w:val="25"/>
        </w:numPr>
        <w:jc w:val="both"/>
        <w:rPr>
          <w:lang w:val="en-GB"/>
        </w:rPr>
      </w:pPr>
      <w:r w:rsidRPr="008463F3">
        <w:rPr>
          <w:lang w:val="en-GB"/>
        </w:rPr>
        <w:t xml:space="preserve">Instrument for </w:t>
      </w:r>
      <w:r>
        <w:rPr>
          <w:lang w:val="en-GB"/>
        </w:rPr>
        <w:t>m</w:t>
      </w:r>
      <w:r w:rsidRPr="008463F3">
        <w:rPr>
          <w:lang w:val="en-GB"/>
        </w:rPr>
        <w:t>echanical testing of polymers</w:t>
      </w:r>
    </w:p>
    <w:p w14:paraId="5168DD06" w14:textId="77777777" w:rsidR="007947BF" w:rsidRPr="008463F3" w:rsidRDefault="007947BF" w:rsidP="007947BF">
      <w:pPr>
        <w:pStyle w:val="ListParagraph"/>
        <w:numPr>
          <w:ilvl w:val="0"/>
          <w:numId w:val="25"/>
        </w:numPr>
        <w:jc w:val="both"/>
        <w:rPr>
          <w:lang w:val="en-GB"/>
        </w:rPr>
      </w:pPr>
      <w:r w:rsidRPr="008463F3">
        <w:rPr>
          <w:lang w:val="en-GB"/>
        </w:rPr>
        <w:t xml:space="preserve">Conductivity measurement device (Four probe resistivity meter) </w:t>
      </w:r>
    </w:p>
    <w:p w14:paraId="3EF3FD2E" w14:textId="77777777" w:rsidR="007947BF" w:rsidRPr="008463F3" w:rsidRDefault="007947BF" w:rsidP="007947BF">
      <w:pPr>
        <w:pStyle w:val="ListParagraph"/>
        <w:numPr>
          <w:ilvl w:val="0"/>
          <w:numId w:val="25"/>
        </w:numPr>
        <w:spacing w:after="240"/>
        <w:ind w:left="714" w:hanging="357"/>
        <w:jc w:val="both"/>
        <w:rPr>
          <w:lang w:val="en-GB"/>
        </w:rPr>
      </w:pPr>
      <w:r w:rsidRPr="008463F3">
        <w:rPr>
          <w:lang w:val="en-GB"/>
        </w:rPr>
        <w:t xml:space="preserve">Instrument for sensor measurement (Quartz crystal microbalance) </w:t>
      </w:r>
    </w:p>
    <w:p w14:paraId="3144AAEC" w14:textId="77777777" w:rsidR="007947BF" w:rsidRPr="008463F3" w:rsidRDefault="007947BF" w:rsidP="007947BF">
      <w:pPr>
        <w:pStyle w:val="Heading4"/>
        <w:spacing w:after="240"/>
        <w:rPr>
          <w:rFonts w:asciiTheme="minorHAnsi" w:hAnsiTheme="minorHAnsi"/>
          <w:lang w:val="en-GB"/>
        </w:rPr>
      </w:pPr>
      <w:r w:rsidRPr="008463F3">
        <w:rPr>
          <w:rFonts w:asciiTheme="minorHAnsi" w:hAnsiTheme="minorHAnsi"/>
          <w:lang w:val="en-GB"/>
        </w:rPr>
        <w:t>Faculty of Computer Science and Engineering (FCSE)</w:t>
      </w:r>
    </w:p>
    <w:p w14:paraId="325DF813" w14:textId="77777777" w:rsidR="007947BF" w:rsidRPr="008463F3" w:rsidRDefault="007947BF" w:rsidP="007947BF">
      <w:pPr>
        <w:spacing w:after="0"/>
        <w:jc w:val="both"/>
        <w:rPr>
          <w:lang w:val="en-GB"/>
        </w:rPr>
      </w:pPr>
      <w:r w:rsidRPr="008463F3">
        <w:rPr>
          <w:lang w:val="en-GB"/>
        </w:rPr>
        <w:t xml:space="preserve">Faculty of Computer Science and Engineering (FCSE, UKIM) is the largest e-Infrastructure provider in the </w:t>
      </w:r>
      <w:r>
        <w:rPr>
          <w:lang w:val="en-GB"/>
        </w:rPr>
        <w:t>economy</w:t>
      </w:r>
      <w:r w:rsidRPr="008463F3">
        <w:rPr>
          <w:lang w:val="en-GB"/>
        </w:rPr>
        <w:t>. Through participation in many international e-Infrastructure projects and membership in the large pan-European research infrastructures, the FCSE has developed a strong technical and human potential to support the academic and research communities, as well as other user communities such as ministries, public sector and the industry and offer</w:t>
      </w:r>
      <w:r>
        <w:rPr>
          <w:lang w:val="en-GB"/>
        </w:rPr>
        <w:t>s</w:t>
      </w:r>
      <w:r w:rsidRPr="008463F3">
        <w:rPr>
          <w:lang w:val="en-GB"/>
        </w:rPr>
        <w:t xml:space="preserve"> relevant services to them. FCSE is the member of the following Large RIs:</w:t>
      </w:r>
    </w:p>
    <w:p w14:paraId="5A02D0A9" w14:textId="77777777" w:rsidR="007947BF" w:rsidRPr="008463F3" w:rsidRDefault="007947BF" w:rsidP="007947BF">
      <w:pPr>
        <w:pStyle w:val="ListParagraph"/>
        <w:numPr>
          <w:ilvl w:val="0"/>
          <w:numId w:val="23"/>
        </w:numPr>
        <w:jc w:val="both"/>
        <w:rPr>
          <w:lang w:val="en-GB"/>
        </w:rPr>
      </w:pPr>
      <w:r w:rsidRPr="008463F3">
        <w:rPr>
          <w:lang w:val="en-GB"/>
        </w:rPr>
        <w:t>EGI Federation</w:t>
      </w:r>
    </w:p>
    <w:p w14:paraId="390BC27B" w14:textId="77777777" w:rsidR="007947BF" w:rsidRPr="008463F3" w:rsidRDefault="007947BF" w:rsidP="007947BF">
      <w:pPr>
        <w:pStyle w:val="ListParagraph"/>
        <w:numPr>
          <w:ilvl w:val="0"/>
          <w:numId w:val="23"/>
        </w:numPr>
        <w:jc w:val="both"/>
        <w:rPr>
          <w:lang w:val="en-GB"/>
        </w:rPr>
      </w:pPr>
      <w:proofErr w:type="spellStart"/>
      <w:r w:rsidRPr="008463F3">
        <w:rPr>
          <w:lang w:val="en-GB"/>
        </w:rPr>
        <w:t>EuroHPC</w:t>
      </w:r>
      <w:proofErr w:type="spellEnd"/>
    </w:p>
    <w:p w14:paraId="1330AF6B" w14:textId="77777777" w:rsidR="007947BF" w:rsidRPr="008463F3" w:rsidRDefault="007947BF" w:rsidP="007947BF">
      <w:pPr>
        <w:pStyle w:val="ListParagraph"/>
        <w:numPr>
          <w:ilvl w:val="0"/>
          <w:numId w:val="23"/>
        </w:numPr>
        <w:jc w:val="both"/>
        <w:rPr>
          <w:lang w:val="en-GB"/>
        </w:rPr>
      </w:pPr>
      <w:r w:rsidRPr="008463F3">
        <w:rPr>
          <w:lang w:val="en-GB"/>
        </w:rPr>
        <w:t>EOSC Association</w:t>
      </w:r>
    </w:p>
    <w:p w14:paraId="4DC66154" w14:textId="77777777" w:rsidR="007947BF" w:rsidRPr="008463F3" w:rsidRDefault="007947BF" w:rsidP="007947BF">
      <w:pPr>
        <w:spacing w:after="0"/>
        <w:jc w:val="both"/>
        <w:rPr>
          <w:lang w:val="en-GB"/>
        </w:rPr>
      </w:pPr>
      <w:r w:rsidRPr="008463F3">
        <w:rPr>
          <w:lang w:val="en-GB"/>
        </w:rPr>
        <w:t>FCSE has been engaged in several ongoing and closed European projects aim</w:t>
      </w:r>
      <w:r>
        <w:rPr>
          <w:lang w:val="en-GB"/>
        </w:rPr>
        <w:t>ed</w:t>
      </w:r>
      <w:r w:rsidRPr="008463F3">
        <w:rPr>
          <w:lang w:val="en-GB"/>
        </w:rPr>
        <w:t xml:space="preserve"> at development of research infrastructure:</w:t>
      </w:r>
    </w:p>
    <w:p w14:paraId="4E90BBF7" w14:textId="77777777" w:rsidR="007947BF" w:rsidRPr="008463F3" w:rsidRDefault="007947BF" w:rsidP="007947BF">
      <w:pPr>
        <w:pStyle w:val="ListParagraph"/>
        <w:numPr>
          <w:ilvl w:val="0"/>
          <w:numId w:val="24"/>
        </w:numPr>
        <w:jc w:val="both"/>
        <w:rPr>
          <w:lang w:val="en-GB"/>
        </w:rPr>
      </w:pPr>
      <w:r w:rsidRPr="008463F3">
        <w:rPr>
          <w:lang w:val="en-GB"/>
        </w:rPr>
        <w:t>EGI-ACE: Advanced computing for research</w:t>
      </w:r>
    </w:p>
    <w:p w14:paraId="2187D484" w14:textId="77777777" w:rsidR="007947BF" w:rsidRPr="008463F3" w:rsidRDefault="007947BF" w:rsidP="007947BF">
      <w:pPr>
        <w:pStyle w:val="ListParagraph"/>
        <w:numPr>
          <w:ilvl w:val="0"/>
          <w:numId w:val="24"/>
        </w:numPr>
        <w:jc w:val="both"/>
        <w:rPr>
          <w:lang w:val="en-GB"/>
        </w:rPr>
      </w:pPr>
      <w:r w:rsidRPr="008463F3">
        <w:rPr>
          <w:lang w:val="en-GB"/>
        </w:rPr>
        <w:t>NI4OS-Europe: National Initiatives for Open Science in Europe</w:t>
      </w:r>
    </w:p>
    <w:p w14:paraId="72F08100" w14:textId="77777777" w:rsidR="007947BF" w:rsidRPr="008463F3" w:rsidRDefault="007947BF" w:rsidP="007947BF">
      <w:pPr>
        <w:pStyle w:val="ListParagraph"/>
        <w:numPr>
          <w:ilvl w:val="0"/>
          <w:numId w:val="24"/>
        </w:numPr>
        <w:jc w:val="both"/>
        <w:rPr>
          <w:lang w:val="en-GB"/>
        </w:rPr>
      </w:pPr>
      <w:r w:rsidRPr="008463F3">
        <w:rPr>
          <w:lang w:val="en-GB"/>
        </w:rPr>
        <w:t>VI-SEEM: VRE for regional Interdisciplinary communities in Southeast Europe and the Eastern Mediterranean</w:t>
      </w:r>
    </w:p>
    <w:p w14:paraId="0F91CDEC" w14:textId="77777777" w:rsidR="007947BF" w:rsidRPr="008463F3" w:rsidRDefault="007947BF" w:rsidP="007947BF">
      <w:pPr>
        <w:pStyle w:val="ListParagraph"/>
        <w:numPr>
          <w:ilvl w:val="0"/>
          <w:numId w:val="24"/>
        </w:numPr>
        <w:jc w:val="both"/>
        <w:rPr>
          <w:lang w:val="en-GB"/>
        </w:rPr>
      </w:pPr>
      <w:r w:rsidRPr="008463F3">
        <w:rPr>
          <w:lang w:val="en-GB"/>
        </w:rPr>
        <w:t>European Grid Initiative: Integrated Sustainable Pan-European Infrastructure for Researchers in Europe: EGI-INSPIRE</w:t>
      </w:r>
    </w:p>
    <w:p w14:paraId="67958005" w14:textId="77777777" w:rsidR="007947BF" w:rsidRPr="008463F3" w:rsidRDefault="007947BF" w:rsidP="007947BF">
      <w:pPr>
        <w:pStyle w:val="ListParagraph"/>
        <w:numPr>
          <w:ilvl w:val="0"/>
          <w:numId w:val="24"/>
        </w:numPr>
        <w:jc w:val="both"/>
        <w:rPr>
          <w:lang w:val="en-GB"/>
        </w:rPr>
      </w:pPr>
      <w:r w:rsidRPr="008463F3">
        <w:rPr>
          <w:lang w:val="en-GB"/>
        </w:rPr>
        <w:t xml:space="preserve">EUROCC - National Competence Centres in the framework of </w:t>
      </w:r>
      <w:proofErr w:type="spellStart"/>
      <w:r w:rsidRPr="008463F3">
        <w:rPr>
          <w:lang w:val="en-GB"/>
        </w:rPr>
        <w:t>EuroHPC</w:t>
      </w:r>
      <w:proofErr w:type="spellEnd"/>
    </w:p>
    <w:p w14:paraId="6D5D1CE0" w14:textId="77777777" w:rsidR="007947BF" w:rsidRPr="008463F3" w:rsidRDefault="007947BF" w:rsidP="007947BF">
      <w:pPr>
        <w:pStyle w:val="ListParagraph"/>
        <w:numPr>
          <w:ilvl w:val="0"/>
          <w:numId w:val="24"/>
        </w:numPr>
        <w:jc w:val="both"/>
        <w:rPr>
          <w:lang w:val="en-GB"/>
        </w:rPr>
      </w:pPr>
      <w:r w:rsidRPr="008463F3">
        <w:rPr>
          <w:lang w:val="en-GB"/>
        </w:rPr>
        <w:t>GN4-3: H2020-SGA-INFRA-GEANT-2018 (Topic [a] Research and Education Networking)</w:t>
      </w:r>
    </w:p>
    <w:p w14:paraId="2829AE25" w14:textId="77777777" w:rsidR="007947BF" w:rsidRPr="008463F3" w:rsidRDefault="007947BF" w:rsidP="007947BF">
      <w:pPr>
        <w:pStyle w:val="ListParagraph"/>
        <w:numPr>
          <w:ilvl w:val="0"/>
          <w:numId w:val="24"/>
        </w:numPr>
        <w:jc w:val="both"/>
        <w:rPr>
          <w:lang w:val="en-GB"/>
        </w:rPr>
      </w:pPr>
      <w:r w:rsidRPr="008463F3">
        <w:rPr>
          <w:lang w:val="en-GB"/>
        </w:rPr>
        <w:t>GN4-2: Research and Education Networking – GÉANT</w:t>
      </w:r>
    </w:p>
    <w:p w14:paraId="620A8327" w14:textId="77777777" w:rsidR="007947BF" w:rsidRPr="008463F3" w:rsidRDefault="007947BF" w:rsidP="007947BF">
      <w:pPr>
        <w:pStyle w:val="ListParagraph"/>
        <w:numPr>
          <w:ilvl w:val="0"/>
          <w:numId w:val="24"/>
        </w:numPr>
        <w:jc w:val="both"/>
        <w:rPr>
          <w:lang w:val="en-GB"/>
        </w:rPr>
      </w:pPr>
      <w:r w:rsidRPr="008463F3">
        <w:rPr>
          <w:lang w:val="en-GB"/>
        </w:rPr>
        <w:t>GN4-1: Research and Education Networking – GÉANT</w:t>
      </w:r>
    </w:p>
    <w:p w14:paraId="48565479" w14:textId="77777777" w:rsidR="007947BF" w:rsidRPr="008463F3" w:rsidRDefault="007947BF" w:rsidP="007947BF">
      <w:pPr>
        <w:pStyle w:val="ListParagraph"/>
        <w:numPr>
          <w:ilvl w:val="0"/>
          <w:numId w:val="24"/>
        </w:numPr>
        <w:jc w:val="both"/>
        <w:rPr>
          <w:lang w:val="en-GB"/>
        </w:rPr>
      </w:pPr>
      <w:r w:rsidRPr="008463F3">
        <w:rPr>
          <w:lang w:val="en-GB"/>
        </w:rPr>
        <w:t>HP-SEE (High-Performance Computing Infrastructure for South East Europe’s Research Communities)</w:t>
      </w:r>
    </w:p>
    <w:p w14:paraId="32F36F9D" w14:textId="77777777" w:rsidR="007947BF" w:rsidRPr="008463F3" w:rsidRDefault="007947BF" w:rsidP="007947BF">
      <w:pPr>
        <w:pStyle w:val="ListParagraph"/>
        <w:numPr>
          <w:ilvl w:val="0"/>
          <w:numId w:val="24"/>
        </w:numPr>
        <w:jc w:val="both"/>
        <w:rPr>
          <w:lang w:val="en-GB"/>
        </w:rPr>
      </w:pPr>
      <w:r w:rsidRPr="008463F3">
        <w:rPr>
          <w:lang w:val="en-GB"/>
        </w:rPr>
        <w:t>SEE-GRID e-Infrastructure for Regional e-Science</w:t>
      </w:r>
    </w:p>
    <w:p w14:paraId="400DA2B7" w14:textId="77777777" w:rsidR="007947BF" w:rsidRPr="008463F3" w:rsidRDefault="007947BF" w:rsidP="007947BF">
      <w:pPr>
        <w:pStyle w:val="Heading5"/>
        <w:spacing w:after="240"/>
        <w:rPr>
          <w:rFonts w:asciiTheme="minorHAnsi" w:hAnsiTheme="minorHAnsi"/>
          <w:lang w:val="en-GB"/>
        </w:rPr>
      </w:pPr>
      <w:r w:rsidRPr="008463F3">
        <w:rPr>
          <w:rFonts w:asciiTheme="minorHAnsi" w:hAnsiTheme="minorHAnsi"/>
          <w:lang w:val="en-GB"/>
        </w:rPr>
        <w:t>National centr</w:t>
      </w:r>
      <w:r>
        <w:rPr>
          <w:rFonts w:asciiTheme="minorHAnsi" w:hAnsiTheme="minorHAnsi"/>
          <w:lang w:val="en-GB"/>
        </w:rPr>
        <w:t>e</w:t>
      </w:r>
      <w:r w:rsidRPr="008463F3">
        <w:rPr>
          <w:rFonts w:asciiTheme="minorHAnsi" w:hAnsiTheme="minorHAnsi"/>
          <w:lang w:val="en-GB"/>
        </w:rPr>
        <w:t xml:space="preserve"> for high performance computing and cloud</w:t>
      </w:r>
    </w:p>
    <w:p w14:paraId="662827A9" w14:textId="77777777" w:rsidR="007947BF" w:rsidRPr="008463F3" w:rsidRDefault="007947BF" w:rsidP="007947BF">
      <w:pPr>
        <w:spacing w:after="0"/>
        <w:jc w:val="both"/>
        <w:rPr>
          <w:lang w:val="en-GB"/>
        </w:rPr>
      </w:pPr>
      <w:r w:rsidRPr="008463F3">
        <w:rPr>
          <w:lang w:val="en-GB"/>
        </w:rPr>
        <w:t>FCSE is a national centr</w:t>
      </w:r>
      <w:r>
        <w:rPr>
          <w:lang w:val="en-GB"/>
        </w:rPr>
        <w:t>e</w:t>
      </w:r>
      <w:r w:rsidRPr="008463F3">
        <w:rPr>
          <w:lang w:val="en-GB"/>
        </w:rPr>
        <w:t xml:space="preserve"> for high performance computing and cloud. Services provided include:</w:t>
      </w:r>
    </w:p>
    <w:p w14:paraId="2D866ECA" w14:textId="77777777" w:rsidR="007947BF" w:rsidRPr="008463F3" w:rsidRDefault="007947BF" w:rsidP="007947BF">
      <w:pPr>
        <w:pStyle w:val="ListParagraph"/>
        <w:numPr>
          <w:ilvl w:val="0"/>
          <w:numId w:val="22"/>
        </w:numPr>
        <w:jc w:val="both"/>
        <w:rPr>
          <w:lang w:val="en-GB"/>
        </w:rPr>
      </w:pPr>
      <w:r w:rsidRPr="008463F3">
        <w:rPr>
          <w:lang w:val="en-GB"/>
        </w:rPr>
        <w:t xml:space="preserve">National top level </w:t>
      </w:r>
      <w:proofErr w:type="spellStart"/>
      <w:r w:rsidRPr="008463F3">
        <w:rPr>
          <w:lang w:val="en-GB"/>
        </w:rPr>
        <w:t>eduroam</w:t>
      </w:r>
      <w:proofErr w:type="spellEnd"/>
      <w:r w:rsidRPr="008463F3">
        <w:rPr>
          <w:lang w:val="en-GB"/>
        </w:rPr>
        <w:t xml:space="preserve"> servers</w:t>
      </w:r>
    </w:p>
    <w:p w14:paraId="1955008B" w14:textId="77777777" w:rsidR="007947BF" w:rsidRPr="008463F3" w:rsidRDefault="007947BF" w:rsidP="007947BF">
      <w:pPr>
        <w:pStyle w:val="ListParagraph"/>
        <w:numPr>
          <w:ilvl w:val="0"/>
          <w:numId w:val="22"/>
        </w:numPr>
        <w:jc w:val="both"/>
        <w:rPr>
          <w:lang w:val="en-GB"/>
        </w:rPr>
      </w:pPr>
      <w:r w:rsidRPr="008463F3">
        <w:rPr>
          <w:lang w:val="en-GB"/>
        </w:rPr>
        <w:t xml:space="preserve">National AAI federation, member of </w:t>
      </w:r>
      <w:proofErr w:type="spellStart"/>
      <w:r w:rsidRPr="008463F3">
        <w:rPr>
          <w:lang w:val="en-GB"/>
        </w:rPr>
        <w:t>eduGAIN</w:t>
      </w:r>
      <w:proofErr w:type="spellEnd"/>
    </w:p>
    <w:p w14:paraId="6D02A112" w14:textId="77777777" w:rsidR="007947BF" w:rsidRPr="008463F3" w:rsidRDefault="007947BF" w:rsidP="007947BF">
      <w:pPr>
        <w:pStyle w:val="ListParagraph"/>
        <w:numPr>
          <w:ilvl w:val="0"/>
          <w:numId w:val="22"/>
        </w:numPr>
        <w:jc w:val="both"/>
        <w:rPr>
          <w:lang w:val="en-GB"/>
        </w:rPr>
      </w:pPr>
      <w:r w:rsidRPr="008463F3">
        <w:rPr>
          <w:lang w:val="en-GB"/>
        </w:rPr>
        <w:t xml:space="preserve">FINKI cloud service, service onboarded to EOSC </w:t>
      </w:r>
    </w:p>
    <w:p w14:paraId="18EA21CF" w14:textId="77777777" w:rsidR="007947BF" w:rsidRPr="008463F3" w:rsidRDefault="007947BF" w:rsidP="007947BF">
      <w:pPr>
        <w:pStyle w:val="ListParagraph"/>
        <w:numPr>
          <w:ilvl w:val="0"/>
          <w:numId w:val="22"/>
        </w:numPr>
        <w:jc w:val="both"/>
        <w:rPr>
          <w:lang w:val="en-GB"/>
        </w:rPr>
      </w:pPr>
      <w:r w:rsidRPr="008463F3">
        <w:rPr>
          <w:lang w:val="en-GB"/>
        </w:rPr>
        <w:t>High performance computing</w:t>
      </w:r>
    </w:p>
    <w:p w14:paraId="691FB5D3" w14:textId="77777777" w:rsidR="007947BF" w:rsidRPr="008463F3" w:rsidRDefault="007947BF" w:rsidP="007947BF">
      <w:pPr>
        <w:pStyle w:val="ListParagraph"/>
        <w:numPr>
          <w:ilvl w:val="0"/>
          <w:numId w:val="22"/>
        </w:numPr>
        <w:jc w:val="both"/>
        <w:rPr>
          <w:lang w:val="en-GB"/>
        </w:rPr>
      </w:pPr>
      <w:r w:rsidRPr="008463F3">
        <w:rPr>
          <w:lang w:val="en-GB"/>
        </w:rPr>
        <w:t>GPGPU computing</w:t>
      </w:r>
    </w:p>
    <w:p w14:paraId="008F3F44" w14:textId="77777777" w:rsidR="007947BF" w:rsidRPr="008463F3" w:rsidRDefault="007947BF" w:rsidP="007947BF">
      <w:pPr>
        <w:pStyle w:val="ListParagraph"/>
        <w:numPr>
          <w:ilvl w:val="0"/>
          <w:numId w:val="22"/>
        </w:numPr>
        <w:jc w:val="both"/>
        <w:rPr>
          <w:lang w:val="en-GB"/>
        </w:rPr>
      </w:pPr>
      <w:r w:rsidRPr="008463F3">
        <w:rPr>
          <w:lang w:val="en-GB"/>
        </w:rPr>
        <w:t>Trainings regarding usage of HPC/Cloud/HPDA/AI</w:t>
      </w:r>
    </w:p>
    <w:p w14:paraId="127ABE7E" w14:textId="77777777" w:rsidR="007947BF" w:rsidRPr="008463F3" w:rsidRDefault="007947BF" w:rsidP="007947BF">
      <w:pPr>
        <w:pStyle w:val="ListParagraph"/>
        <w:numPr>
          <w:ilvl w:val="0"/>
          <w:numId w:val="22"/>
        </w:numPr>
        <w:jc w:val="both"/>
        <w:rPr>
          <w:lang w:val="en-GB"/>
        </w:rPr>
      </w:pPr>
      <w:r w:rsidRPr="008463F3">
        <w:rPr>
          <w:lang w:val="en-GB"/>
        </w:rPr>
        <w:t>National centre for HPC and cloud computing</w:t>
      </w:r>
    </w:p>
    <w:p w14:paraId="09EA9064" w14:textId="77777777" w:rsidR="007947BF" w:rsidRPr="008463F3" w:rsidRDefault="007947BF" w:rsidP="007947BF">
      <w:pPr>
        <w:pStyle w:val="ListParagraph"/>
        <w:numPr>
          <w:ilvl w:val="0"/>
          <w:numId w:val="22"/>
        </w:numPr>
        <w:jc w:val="both"/>
        <w:rPr>
          <w:lang w:val="en-GB"/>
        </w:rPr>
      </w:pPr>
      <w:r w:rsidRPr="008463F3">
        <w:rPr>
          <w:lang w:val="en-GB"/>
        </w:rPr>
        <w:t>First academic CIRT https://cirt.finki.ukim.mk</w:t>
      </w:r>
    </w:p>
    <w:p w14:paraId="06B1F62E" w14:textId="77777777" w:rsidR="007947BF" w:rsidRPr="008463F3" w:rsidRDefault="007947BF" w:rsidP="007947BF">
      <w:pPr>
        <w:pStyle w:val="ListParagraph"/>
        <w:numPr>
          <w:ilvl w:val="0"/>
          <w:numId w:val="22"/>
        </w:numPr>
        <w:jc w:val="both"/>
        <w:rPr>
          <w:lang w:val="en-GB"/>
        </w:rPr>
      </w:pPr>
      <w:r w:rsidRPr="008463F3">
        <w:rPr>
          <w:lang w:val="en-GB"/>
        </w:rPr>
        <w:t>National Internet Exchange https://ixp.mk/</w:t>
      </w:r>
    </w:p>
    <w:p w14:paraId="743DF420" w14:textId="77777777" w:rsidR="007947BF" w:rsidRPr="008463F3" w:rsidRDefault="007947BF" w:rsidP="007947BF">
      <w:pPr>
        <w:pStyle w:val="ListParagraph"/>
        <w:numPr>
          <w:ilvl w:val="0"/>
          <w:numId w:val="22"/>
        </w:numPr>
        <w:jc w:val="both"/>
        <w:rPr>
          <w:lang w:val="en-GB"/>
        </w:rPr>
      </w:pPr>
      <w:r w:rsidRPr="008463F3">
        <w:rPr>
          <w:lang w:val="en-GB"/>
        </w:rPr>
        <w:t>Repository of scientific publications and scientific data</w:t>
      </w:r>
    </w:p>
    <w:p w14:paraId="07CB54AB" w14:textId="77777777" w:rsidR="007947BF" w:rsidRPr="008463F3" w:rsidRDefault="007947BF" w:rsidP="007947BF">
      <w:pPr>
        <w:jc w:val="both"/>
        <w:rPr>
          <w:lang w:val="en-GB"/>
        </w:rPr>
      </w:pPr>
      <w:r w:rsidRPr="008463F3">
        <w:rPr>
          <w:lang w:val="en-GB"/>
        </w:rPr>
        <w:t xml:space="preserve">Research equipment: FCSE has capital research equipment worth over 50.000 euro. A total estimated value of research capital equipment is over 1 mil </w:t>
      </w:r>
      <w:r>
        <w:rPr>
          <w:lang w:val="en-GB"/>
        </w:rPr>
        <w:t>EUR</w:t>
      </w:r>
      <w:r w:rsidRPr="008463F3">
        <w:rPr>
          <w:lang w:val="en-GB"/>
        </w:rPr>
        <w:t xml:space="preserve"> (purchase value was more than 3</w:t>
      </w:r>
      <w:r>
        <w:rPr>
          <w:lang w:val="en-GB"/>
        </w:rPr>
        <w:t>.</w:t>
      </w:r>
      <w:r w:rsidRPr="008463F3">
        <w:rPr>
          <w:lang w:val="en-GB"/>
        </w:rPr>
        <w:t xml:space="preserve">6 mil </w:t>
      </w:r>
      <w:r>
        <w:rPr>
          <w:lang w:val="en-GB"/>
        </w:rPr>
        <w:t>EUR</w:t>
      </w:r>
      <w:r w:rsidRPr="008463F3">
        <w:rPr>
          <w:lang w:val="en-GB"/>
        </w:rPr>
        <w:t xml:space="preserve">). Most important capital research equipment include: HPC cluster; Cloud cluster; GPGPU cluster; IPX (Internet Exchange) and </w:t>
      </w:r>
      <w:proofErr w:type="spellStart"/>
      <w:r w:rsidRPr="008463F3">
        <w:rPr>
          <w:lang w:val="en-GB"/>
        </w:rPr>
        <w:t>Airpointer</w:t>
      </w:r>
      <w:proofErr w:type="spellEnd"/>
      <w:r w:rsidRPr="008463F3">
        <w:rPr>
          <w:lang w:val="en-GB"/>
        </w:rPr>
        <w:t xml:space="preserve"> </w:t>
      </w:r>
      <w:proofErr w:type="spellStart"/>
      <w:r w:rsidRPr="008463F3">
        <w:rPr>
          <w:lang w:val="en-GB"/>
        </w:rPr>
        <w:t>Recordum</w:t>
      </w:r>
      <w:proofErr w:type="spellEnd"/>
      <w:r w:rsidRPr="008463F3">
        <w:rPr>
          <w:lang w:val="en-GB"/>
        </w:rPr>
        <w:t xml:space="preserve"> – MLU Austria. </w:t>
      </w:r>
    </w:p>
    <w:p w14:paraId="1E7BE8AF" w14:textId="77777777" w:rsidR="007947BF" w:rsidRPr="008463F3" w:rsidRDefault="007947BF" w:rsidP="007947BF">
      <w:pPr>
        <w:spacing w:after="0"/>
        <w:jc w:val="both"/>
        <w:rPr>
          <w:lang w:val="en-GB"/>
        </w:rPr>
      </w:pPr>
      <w:r w:rsidRPr="008463F3">
        <w:rPr>
          <w:lang w:val="en-GB"/>
        </w:rPr>
        <w:t>The overall e-infrastructure of the FCSE, UKIM is based on</w:t>
      </w:r>
    </w:p>
    <w:p w14:paraId="129A3CC5" w14:textId="77777777" w:rsidR="007947BF" w:rsidRPr="008463F3" w:rsidRDefault="007947BF" w:rsidP="007947BF">
      <w:pPr>
        <w:pStyle w:val="ListParagraph"/>
        <w:numPr>
          <w:ilvl w:val="0"/>
          <w:numId w:val="36"/>
        </w:numPr>
        <w:jc w:val="both"/>
        <w:rPr>
          <w:lang w:val="en-GB"/>
        </w:rPr>
      </w:pPr>
      <w:r w:rsidRPr="008463F3">
        <w:rPr>
          <w:lang w:val="en-GB"/>
        </w:rPr>
        <w:t>HPC cluster (1000 CPU cores, 2TB memory, InfiniBand QDR interconnection)</w:t>
      </w:r>
    </w:p>
    <w:p w14:paraId="421A1813" w14:textId="77777777" w:rsidR="007947BF" w:rsidRPr="008463F3" w:rsidRDefault="007947BF" w:rsidP="007947BF">
      <w:pPr>
        <w:pStyle w:val="ListParagraph"/>
        <w:numPr>
          <w:ilvl w:val="0"/>
          <w:numId w:val="36"/>
        </w:numPr>
        <w:jc w:val="both"/>
        <w:rPr>
          <w:lang w:val="en-GB"/>
        </w:rPr>
      </w:pPr>
      <w:r w:rsidRPr="008463F3">
        <w:rPr>
          <w:lang w:val="en-GB"/>
        </w:rPr>
        <w:t>GPGPU cluster (27648 GPU cores, 3456 tensor cores, 432 RT cores, 192 GB GPU memory)</w:t>
      </w:r>
    </w:p>
    <w:p w14:paraId="7E1A67D1" w14:textId="77777777" w:rsidR="007947BF" w:rsidRPr="008463F3" w:rsidRDefault="007947BF" w:rsidP="007947BF">
      <w:pPr>
        <w:pStyle w:val="ListParagraph"/>
        <w:numPr>
          <w:ilvl w:val="0"/>
          <w:numId w:val="36"/>
        </w:numPr>
        <w:jc w:val="both"/>
        <w:rPr>
          <w:lang w:val="en-GB"/>
        </w:rPr>
      </w:pPr>
      <w:r w:rsidRPr="008463F3">
        <w:rPr>
          <w:lang w:val="en-GB"/>
        </w:rPr>
        <w:t>Cloud cluster (384 CPU cores, 1.5 TB memory, 24TB SSD storage, 144TB HDD storage)</w:t>
      </w:r>
    </w:p>
    <w:p w14:paraId="560DB1BD" w14:textId="77777777" w:rsidR="007947BF" w:rsidRPr="008463F3" w:rsidRDefault="007947BF" w:rsidP="007947BF">
      <w:pPr>
        <w:pStyle w:val="ListParagraph"/>
        <w:numPr>
          <w:ilvl w:val="0"/>
          <w:numId w:val="36"/>
        </w:numPr>
        <w:jc w:val="both"/>
        <w:rPr>
          <w:lang w:val="en-GB"/>
        </w:rPr>
      </w:pPr>
      <w:r w:rsidRPr="008463F3">
        <w:rPr>
          <w:lang w:val="en-GB"/>
        </w:rPr>
        <w:t>Servers ( &gt;1200 CPU cores, &gt;3TB memory)</w:t>
      </w:r>
    </w:p>
    <w:p w14:paraId="66688064" w14:textId="77777777" w:rsidR="007947BF" w:rsidRPr="008463F3" w:rsidRDefault="007947BF" w:rsidP="007947BF">
      <w:pPr>
        <w:pStyle w:val="ListParagraph"/>
        <w:numPr>
          <w:ilvl w:val="0"/>
          <w:numId w:val="36"/>
        </w:numPr>
        <w:jc w:val="both"/>
        <w:rPr>
          <w:lang w:val="en-GB"/>
        </w:rPr>
      </w:pPr>
      <w:r w:rsidRPr="008463F3">
        <w:rPr>
          <w:lang w:val="en-GB"/>
        </w:rPr>
        <w:t>Storage (290TB HDD, 230TB SSD)</w:t>
      </w:r>
    </w:p>
    <w:p w14:paraId="52126946" w14:textId="77777777" w:rsidR="007947BF" w:rsidRPr="008463F3" w:rsidRDefault="007947BF" w:rsidP="007947BF">
      <w:pPr>
        <w:pStyle w:val="ListParagraph"/>
        <w:numPr>
          <w:ilvl w:val="0"/>
          <w:numId w:val="36"/>
        </w:numPr>
        <w:jc w:val="both"/>
        <w:rPr>
          <w:lang w:val="en-GB"/>
        </w:rPr>
      </w:pPr>
      <w:r w:rsidRPr="008463F3">
        <w:rPr>
          <w:lang w:val="en-GB"/>
        </w:rPr>
        <w:t>Optical network of the UKIM, spanning 30km in the city of Skopje</w:t>
      </w:r>
    </w:p>
    <w:p w14:paraId="275D8051" w14:textId="77777777" w:rsidR="007947BF" w:rsidRPr="008463F3" w:rsidRDefault="007947BF" w:rsidP="007947BF">
      <w:pPr>
        <w:jc w:val="both"/>
        <w:rPr>
          <w:lang w:val="en-GB"/>
        </w:rPr>
      </w:pPr>
      <w:proofErr w:type="spellStart"/>
      <w:r w:rsidRPr="008463F3">
        <w:rPr>
          <w:lang w:val="en-GB"/>
        </w:rPr>
        <w:t>Airpointer</w:t>
      </w:r>
      <w:proofErr w:type="spellEnd"/>
      <w:r w:rsidRPr="008463F3">
        <w:rPr>
          <w:lang w:val="en-GB"/>
        </w:rPr>
        <w:t xml:space="preserve"> </w:t>
      </w:r>
      <w:proofErr w:type="spellStart"/>
      <w:r w:rsidRPr="008463F3">
        <w:rPr>
          <w:lang w:val="en-GB"/>
        </w:rPr>
        <w:t>Recordum</w:t>
      </w:r>
      <w:proofErr w:type="spellEnd"/>
      <w:r w:rsidRPr="008463F3">
        <w:rPr>
          <w:lang w:val="en-GB"/>
        </w:rPr>
        <w:t xml:space="preserve"> – MLU Austria is </w:t>
      </w:r>
      <w:r>
        <w:rPr>
          <w:lang w:val="en-GB"/>
        </w:rPr>
        <w:t>used</w:t>
      </w:r>
      <w:r w:rsidRPr="008463F3">
        <w:rPr>
          <w:lang w:val="en-GB"/>
        </w:rPr>
        <w:t xml:space="preserve"> to monitor ambient air quality. </w:t>
      </w:r>
      <w:r>
        <w:rPr>
          <w:lang w:val="en-GB"/>
        </w:rPr>
        <w:t>S</w:t>
      </w:r>
      <w:r w:rsidRPr="008463F3">
        <w:rPr>
          <w:lang w:val="en-GB"/>
        </w:rPr>
        <w:t xml:space="preserve">tudents use </w:t>
      </w:r>
      <w:r>
        <w:rPr>
          <w:lang w:val="en-GB"/>
        </w:rPr>
        <w:t xml:space="preserve">the </w:t>
      </w:r>
      <w:r w:rsidRPr="008463F3">
        <w:rPr>
          <w:lang w:val="en-GB"/>
        </w:rPr>
        <w:t xml:space="preserve">collected data (together with the data from MOEPP) for prediction </w:t>
      </w:r>
      <w:r>
        <w:rPr>
          <w:lang w:val="en-GB"/>
        </w:rPr>
        <w:t xml:space="preserve">and </w:t>
      </w:r>
      <w:r w:rsidRPr="008463F3">
        <w:rPr>
          <w:lang w:val="en-GB"/>
        </w:rPr>
        <w:t>visuali</w:t>
      </w:r>
      <w:r>
        <w:rPr>
          <w:lang w:val="en-GB"/>
        </w:rPr>
        <w:t>s</w:t>
      </w:r>
      <w:r w:rsidRPr="008463F3">
        <w:rPr>
          <w:lang w:val="en-GB"/>
        </w:rPr>
        <w:t>ation of air pollution in certain places and cities. More information on individual capital research equipment worth over 50,000 euros is provided in Appendix 1. Future investments in research equipment include purchase of larger GPGPU cluster and larger Storage and long</w:t>
      </w:r>
      <w:r>
        <w:rPr>
          <w:lang w:val="en-GB"/>
        </w:rPr>
        <w:t>-</w:t>
      </w:r>
      <w:r w:rsidRPr="008463F3">
        <w:rPr>
          <w:lang w:val="en-GB"/>
        </w:rPr>
        <w:t>term archiving systems.</w:t>
      </w:r>
    </w:p>
    <w:p w14:paraId="49106DC1" w14:textId="77777777" w:rsidR="007947BF" w:rsidRPr="008463F3" w:rsidRDefault="007947BF" w:rsidP="007947BF">
      <w:pPr>
        <w:jc w:val="both"/>
        <w:rPr>
          <w:lang w:val="en-GB"/>
        </w:rPr>
      </w:pPr>
      <w:r w:rsidRPr="008463F3">
        <w:rPr>
          <w:lang w:val="en-GB"/>
        </w:rPr>
        <w:t>Regarding the potential membership in pan-European research infrastructures, FCSE is interested in becoming a member of PRACE</w:t>
      </w:r>
      <w:r w:rsidRPr="008463F3">
        <w:rPr>
          <w:b/>
          <w:lang w:val="en-GB"/>
        </w:rPr>
        <w:t xml:space="preserve"> </w:t>
      </w:r>
      <w:r w:rsidRPr="008463F3">
        <w:rPr>
          <w:lang w:val="en-GB"/>
        </w:rPr>
        <w:t>(Partnership for Advanced Computing in Europe).</w:t>
      </w:r>
    </w:p>
    <w:p w14:paraId="164F6626" w14:textId="77777777" w:rsidR="007947BF" w:rsidRPr="008463F3" w:rsidRDefault="007947BF" w:rsidP="007947BF">
      <w:pPr>
        <w:pStyle w:val="Heading4"/>
        <w:spacing w:after="240"/>
        <w:rPr>
          <w:rFonts w:asciiTheme="minorHAnsi" w:hAnsiTheme="minorHAnsi"/>
          <w:lang w:val="en-GB"/>
        </w:rPr>
      </w:pPr>
      <w:r w:rsidRPr="008463F3">
        <w:rPr>
          <w:rFonts w:asciiTheme="minorHAnsi" w:hAnsiTheme="minorHAnsi"/>
          <w:lang w:val="en-GB"/>
        </w:rPr>
        <w:t>Faculty of Electrical Engineering and Information Technologies (FEEIT)</w:t>
      </w:r>
    </w:p>
    <w:p w14:paraId="7F0E7BE5" w14:textId="77777777" w:rsidR="007947BF" w:rsidRPr="008463F3" w:rsidRDefault="007947BF" w:rsidP="007947BF">
      <w:pPr>
        <w:pStyle w:val="Heading5"/>
        <w:spacing w:after="240"/>
        <w:rPr>
          <w:rFonts w:asciiTheme="minorHAnsi" w:hAnsiTheme="minorHAnsi"/>
          <w:lang w:val="en-GB"/>
        </w:rPr>
      </w:pPr>
      <w:r w:rsidRPr="008463F3">
        <w:rPr>
          <w:rFonts w:asciiTheme="minorHAnsi" w:hAnsiTheme="minorHAnsi"/>
          <w:lang w:val="en-GB"/>
        </w:rPr>
        <w:t>Laboratory for Electrical Measurements</w:t>
      </w:r>
    </w:p>
    <w:p w14:paraId="69B3F3F4" w14:textId="77777777" w:rsidR="007947BF" w:rsidRPr="008463F3" w:rsidRDefault="007947BF" w:rsidP="007947BF">
      <w:pPr>
        <w:jc w:val="both"/>
        <w:rPr>
          <w:lang w:val="en-GB"/>
        </w:rPr>
      </w:pPr>
      <w:r w:rsidRPr="008463F3">
        <w:rPr>
          <w:lang w:val="en-GB"/>
        </w:rPr>
        <w:t>The Laboratory for Electrical Measurements is the only national reference laboratory for calibration of reference standards for electrical energy and power, providing measurement traceability and unity of measurements in this segment of legal metrology.</w:t>
      </w:r>
      <w:r w:rsidRPr="008463F3">
        <w:rPr>
          <w:b/>
          <w:lang w:val="en-GB"/>
        </w:rPr>
        <w:t xml:space="preserve"> </w:t>
      </w:r>
      <w:r w:rsidRPr="008463F3">
        <w:rPr>
          <w:lang w:val="en-GB"/>
        </w:rPr>
        <w:t>The vision of the Laboratory is to be a top scientific metrology laboratory in the field of electromagnetic quantities with a level of scientific and metrology precision that will provide domestic, regional and international recognition.</w:t>
      </w:r>
      <w:r w:rsidRPr="008463F3">
        <w:rPr>
          <w:b/>
          <w:lang w:val="en-GB"/>
        </w:rPr>
        <w:t xml:space="preserve"> </w:t>
      </w:r>
      <w:r w:rsidRPr="008463F3">
        <w:rPr>
          <w:lang w:val="en-GB"/>
        </w:rPr>
        <w:t xml:space="preserve">The Laboratory performs calibrations and tests according to national and international standards and regulations, using cutting edge scientific methods and equipment </w:t>
      </w:r>
      <w:r>
        <w:rPr>
          <w:lang w:val="en-GB"/>
        </w:rPr>
        <w:t xml:space="preserve">and </w:t>
      </w:r>
      <w:r w:rsidRPr="008463F3">
        <w:rPr>
          <w:lang w:val="en-GB"/>
        </w:rPr>
        <w:t>appl</w:t>
      </w:r>
      <w:r>
        <w:rPr>
          <w:lang w:val="en-GB"/>
        </w:rPr>
        <w:t>ying</w:t>
      </w:r>
      <w:r w:rsidRPr="008463F3">
        <w:rPr>
          <w:lang w:val="en-GB"/>
        </w:rPr>
        <w:t xml:space="preserve"> the best laboratory practice, </w:t>
      </w:r>
      <w:r>
        <w:rPr>
          <w:lang w:val="en-GB"/>
        </w:rPr>
        <w:t>while responding</w:t>
      </w:r>
      <w:r w:rsidRPr="008463F3">
        <w:rPr>
          <w:lang w:val="en-GB"/>
        </w:rPr>
        <w:t xml:space="preserve"> to the needs and requirements of the users,</w:t>
      </w:r>
      <w:r>
        <w:rPr>
          <w:lang w:val="en-GB"/>
        </w:rPr>
        <w:t xml:space="preserve"> and thus</w:t>
      </w:r>
      <w:r w:rsidRPr="008463F3">
        <w:rPr>
          <w:lang w:val="en-GB"/>
        </w:rPr>
        <w:t xml:space="preserve"> providing a continu</w:t>
      </w:r>
      <w:r>
        <w:rPr>
          <w:lang w:val="en-GB"/>
        </w:rPr>
        <w:t>ous</w:t>
      </w:r>
      <w:r w:rsidRPr="008463F3">
        <w:rPr>
          <w:lang w:val="en-GB"/>
        </w:rPr>
        <w:t xml:space="preserve"> chain of measuring traceability in the field of electromagnetic quantities in the metrological infrastructure of North Macedonia and </w:t>
      </w:r>
      <w:r>
        <w:rPr>
          <w:lang w:val="en-GB"/>
        </w:rPr>
        <w:t>beyond</w:t>
      </w:r>
      <w:r w:rsidRPr="008463F3">
        <w:rPr>
          <w:lang w:val="en-GB"/>
        </w:rPr>
        <w:t>.</w:t>
      </w:r>
    </w:p>
    <w:p w14:paraId="37A2C9E8" w14:textId="77777777" w:rsidR="007947BF" w:rsidRPr="008463F3" w:rsidRDefault="007947BF" w:rsidP="007947BF">
      <w:pPr>
        <w:jc w:val="both"/>
        <w:rPr>
          <w:rStyle w:val="jlqj4b"/>
          <w:rFonts w:cstheme="minorHAnsi"/>
          <w:color w:val="000000"/>
          <w:lang w:val="en-GB"/>
        </w:rPr>
      </w:pPr>
      <w:r w:rsidRPr="008463F3">
        <w:rPr>
          <w:lang w:val="en-GB"/>
        </w:rPr>
        <w:t xml:space="preserve">Services offered: </w:t>
      </w:r>
      <w:r>
        <w:rPr>
          <w:lang w:val="en-GB"/>
        </w:rPr>
        <w:t>C</w:t>
      </w:r>
      <w:r w:rsidRPr="008463F3">
        <w:rPr>
          <w:rStyle w:val="jlqj4b"/>
          <w:rFonts w:cstheme="minorHAnsi"/>
          <w:color w:val="000000"/>
          <w:lang w:val="en-GB"/>
        </w:rPr>
        <w:t>alibration of the instruments and generators for</w:t>
      </w:r>
      <w:r w:rsidRPr="008463F3">
        <w:rPr>
          <w:rStyle w:val="jlqj4b"/>
          <w:lang w:val="en-GB"/>
        </w:rPr>
        <w:t xml:space="preserve"> </w:t>
      </w:r>
      <w:r w:rsidRPr="008463F3">
        <w:rPr>
          <w:rStyle w:val="jlqj4b"/>
          <w:rFonts w:cstheme="minorHAnsi"/>
          <w:color w:val="000000"/>
          <w:lang w:val="en-GB"/>
        </w:rPr>
        <w:t xml:space="preserve">direct and alternating voltages and currents, resistance, capacitance, frequency and phase angle; </w:t>
      </w:r>
      <w:r>
        <w:rPr>
          <w:rStyle w:val="jlqj4b"/>
          <w:rFonts w:cstheme="minorHAnsi"/>
          <w:color w:val="000000"/>
          <w:lang w:val="en-GB"/>
        </w:rPr>
        <w:t>c</w:t>
      </w:r>
      <w:r w:rsidRPr="008463F3">
        <w:rPr>
          <w:rStyle w:val="jlqj4b"/>
          <w:rFonts w:cstheme="minorHAnsi"/>
          <w:color w:val="000000"/>
          <w:lang w:val="en-GB"/>
        </w:rPr>
        <w:t>alibration of reference standards and instruments for electrical energy and power;</w:t>
      </w:r>
      <w:r w:rsidRPr="008463F3">
        <w:rPr>
          <w:lang w:val="en-GB"/>
        </w:rPr>
        <w:t xml:space="preserve"> </w:t>
      </w:r>
      <w:r>
        <w:rPr>
          <w:rStyle w:val="jlqj4b"/>
          <w:rFonts w:cstheme="minorHAnsi"/>
          <w:color w:val="000000"/>
          <w:lang w:val="en-GB"/>
        </w:rPr>
        <w:t>v</w:t>
      </w:r>
      <w:r w:rsidRPr="008463F3">
        <w:rPr>
          <w:rStyle w:val="jlqj4b"/>
          <w:rFonts w:cstheme="minorHAnsi"/>
          <w:color w:val="000000"/>
          <w:lang w:val="en-GB"/>
        </w:rPr>
        <w:t>arious testing in the field of electrical engineering and metrology of electrical quantities.</w:t>
      </w:r>
    </w:p>
    <w:p w14:paraId="7B28A331" w14:textId="77777777" w:rsidR="007947BF" w:rsidRPr="008463F3" w:rsidRDefault="007947BF" w:rsidP="007947BF">
      <w:pPr>
        <w:jc w:val="both"/>
        <w:rPr>
          <w:rFonts w:cstheme="minorHAnsi"/>
          <w:color w:val="000000"/>
          <w:lang w:val="en-GB"/>
        </w:rPr>
      </w:pPr>
      <w:r w:rsidRPr="008463F3">
        <w:rPr>
          <w:rStyle w:val="jlqj4b"/>
          <w:rFonts w:cstheme="minorHAnsi"/>
          <w:color w:val="000000"/>
          <w:lang w:val="en-GB"/>
        </w:rPr>
        <w:t xml:space="preserve">Research equipment: The total estimated value of capital research equipment is 120.000 </w:t>
      </w:r>
      <w:r>
        <w:rPr>
          <w:rStyle w:val="jlqj4b"/>
          <w:rFonts w:cstheme="minorHAnsi"/>
          <w:color w:val="000000"/>
          <w:lang w:val="en-GB"/>
        </w:rPr>
        <w:t>EUR</w:t>
      </w:r>
      <w:r w:rsidRPr="008463F3">
        <w:rPr>
          <w:rStyle w:val="jlqj4b"/>
          <w:rFonts w:cstheme="minorHAnsi"/>
          <w:color w:val="000000"/>
          <w:lang w:val="en-GB"/>
        </w:rPr>
        <w:t xml:space="preserve"> (purchase value was 165.000 euro). Most important research instruments include: Digit </w:t>
      </w:r>
      <w:proofErr w:type="spellStart"/>
      <w:r w:rsidRPr="008463F3">
        <w:rPr>
          <w:rStyle w:val="jlqj4b"/>
          <w:rFonts w:cstheme="minorHAnsi"/>
          <w:color w:val="000000"/>
          <w:lang w:val="en-GB"/>
        </w:rPr>
        <w:t>Multimeter</w:t>
      </w:r>
      <w:proofErr w:type="spellEnd"/>
      <w:r w:rsidRPr="008463F3">
        <w:rPr>
          <w:rStyle w:val="jlqj4b"/>
          <w:rFonts w:cstheme="minorHAnsi"/>
          <w:color w:val="000000"/>
          <w:lang w:val="en-GB"/>
        </w:rPr>
        <w:t xml:space="preserve"> Agilent, Multi-Product Calibrator, Three phase comparator, Multifunction Mobile Calibrator, etc.</w:t>
      </w:r>
    </w:p>
    <w:p w14:paraId="61098DCD" w14:textId="77777777" w:rsidR="007947BF" w:rsidRPr="008463F3" w:rsidRDefault="007947BF" w:rsidP="007947BF">
      <w:pPr>
        <w:pStyle w:val="Heading5"/>
        <w:spacing w:after="240"/>
        <w:rPr>
          <w:rFonts w:asciiTheme="minorHAnsi" w:hAnsiTheme="minorHAnsi"/>
          <w:lang w:val="en-GB"/>
        </w:rPr>
      </w:pPr>
      <w:r w:rsidRPr="008463F3">
        <w:rPr>
          <w:rFonts w:asciiTheme="minorHAnsi" w:hAnsiTheme="minorHAnsi"/>
          <w:lang w:val="en-GB"/>
        </w:rPr>
        <w:t>Laboratory for detection of irradiated food</w:t>
      </w:r>
    </w:p>
    <w:p w14:paraId="4691ED2E" w14:textId="77777777" w:rsidR="007947BF" w:rsidRPr="008463F3" w:rsidRDefault="007947BF" w:rsidP="007947BF">
      <w:pPr>
        <w:jc w:val="both"/>
        <w:rPr>
          <w:lang w:val="en-GB"/>
        </w:rPr>
      </w:pPr>
      <w:r w:rsidRPr="008463F3">
        <w:rPr>
          <w:lang w:val="en-GB"/>
        </w:rPr>
        <w:t>The Laboratory for detection of irradiated food was established in 2018 at the Faculty of Electrical Engineering and Information Technologies. The Laboratory performs detection of irradiated food as part of the governmental monitoring program</w:t>
      </w:r>
      <w:r>
        <w:rPr>
          <w:lang w:val="en-GB"/>
        </w:rPr>
        <w:t>me</w:t>
      </w:r>
      <w:r w:rsidRPr="008463F3">
        <w:rPr>
          <w:lang w:val="en-GB"/>
        </w:rPr>
        <w:t xml:space="preserve">. </w:t>
      </w:r>
    </w:p>
    <w:p w14:paraId="6744D347" w14:textId="77777777" w:rsidR="007947BF" w:rsidRPr="008463F3" w:rsidRDefault="007947BF" w:rsidP="007947BF">
      <w:pPr>
        <w:jc w:val="both"/>
        <w:rPr>
          <w:lang w:val="en-GB"/>
        </w:rPr>
      </w:pPr>
      <w:r w:rsidRPr="008463F3">
        <w:rPr>
          <w:lang w:val="en-GB"/>
        </w:rPr>
        <w:t>Services offered: Detection of foodstuffs irradiated by: gamma rays from C0-60 and Cs-137, X-rays with energy of maximum 5 MeV and electron beams with energy of maximum 10 MeV.</w:t>
      </w:r>
    </w:p>
    <w:p w14:paraId="566A3544" w14:textId="77777777" w:rsidR="007947BF" w:rsidRPr="008463F3" w:rsidRDefault="007947BF" w:rsidP="007947BF">
      <w:pPr>
        <w:jc w:val="both"/>
        <w:rPr>
          <w:lang w:val="en-GB"/>
        </w:rPr>
      </w:pPr>
      <w:r w:rsidRPr="008463F3">
        <w:rPr>
          <w:lang w:val="en-GB"/>
        </w:rPr>
        <w:t>Research equipment: The Laboratory is equipped for testing and characteri</w:t>
      </w:r>
      <w:r>
        <w:rPr>
          <w:lang w:val="en-GB"/>
        </w:rPr>
        <w:t>s</w:t>
      </w:r>
      <w:r w:rsidRPr="008463F3">
        <w:rPr>
          <w:lang w:val="en-GB"/>
        </w:rPr>
        <w:t>ation of irradiated materials by optically stimulated luminescence and thermoluminescence methods. The current value of research equipment is estimated at 23.000 euros.</w:t>
      </w:r>
    </w:p>
    <w:p w14:paraId="438A4FD0" w14:textId="77777777" w:rsidR="007947BF" w:rsidRPr="008463F3" w:rsidRDefault="007947BF" w:rsidP="007947BF">
      <w:pPr>
        <w:pStyle w:val="Heading5"/>
        <w:spacing w:after="240"/>
        <w:rPr>
          <w:rFonts w:asciiTheme="minorHAnsi" w:hAnsiTheme="minorHAnsi"/>
          <w:lang w:val="en-GB"/>
        </w:rPr>
      </w:pPr>
      <w:r>
        <w:rPr>
          <w:rFonts w:asciiTheme="minorHAnsi" w:hAnsiTheme="minorHAnsi"/>
          <w:lang w:val="en-GB"/>
        </w:rPr>
        <w:t>P</w:t>
      </w:r>
      <w:r w:rsidRPr="008463F3">
        <w:rPr>
          <w:rFonts w:asciiTheme="minorHAnsi" w:hAnsiTheme="minorHAnsi"/>
          <w:lang w:val="en-GB"/>
        </w:rPr>
        <w:t xml:space="preserve">hysics Laboratory </w:t>
      </w:r>
    </w:p>
    <w:p w14:paraId="2C24BDCC" w14:textId="77777777" w:rsidR="007947BF" w:rsidRPr="008463F3" w:rsidRDefault="007947BF" w:rsidP="007947BF">
      <w:pPr>
        <w:jc w:val="both"/>
        <w:rPr>
          <w:lang w:val="en-GB"/>
        </w:rPr>
      </w:pPr>
      <w:r w:rsidRPr="008463F3">
        <w:rPr>
          <w:lang w:val="en-GB"/>
        </w:rPr>
        <w:t xml:space="preserve">The </w:t>
      </w:r>
      <w:r>
        <w:rPr>
          <w:lang w:val="en-GB"/>
        </w:rPr>
        <w:t xml:space="preserve">Physics </w:t>
      </w:r>
      <w:r w:rsidRPr="008463F3">
        <w:rPr>
          <w:lang w:val="en-GB"/>
        </w:rPr>
        <w:t xml:space="preserve">Laboratory </w:t>
      </w:r>
      <w:r>
        <w:rPr>
          <w:lang w:val="en-GB"/>
        </w:rPr>
        <w:t xml:space="preserve">is used by the </w:t>
      </w:r>
      <w:r w:rsidRPr="008463F3">
        <w:rPr>
          <w:lang w:val="en-GB"/>
        </w:rPr>
        <w:t xml:space="preserve">physics </w:t>
      </w:r>
      <w:r>
        <w:rPr>
          <w:lang w:val="en-GB"/>
        </w:rPr>
        <w:t>students</w:t>
      </w:r>
      <w:r w:rsidRPr="008463F3">
        <w:rPr>
          <w:lang w:val="en-GB"/>
        </w:rPr>
        <w:t xml:space="preserve"> for practical exercises and demonstration experiments. Besides the education activities, the Laboratory is dedicated to foster collaboration with stakeholders, companies and official institutions in developing different application projects in the fields of materials physics, nuclear physics and its applications, application of ionised radiation, control of food treated with ionized radiation, deposition and studying of thin films for solar applications, design of PV and ST systems, study of renewable energy sources</w:t>
      </w:r>
      <w:r>
        <w:rPr>
          <w:lang w:val="en-GB"/>
        </w:rPr>
        <w:t>,</w:t>
      </w:r>
      <w:r w:rsidRPr="008463F3">
        <w:rPr>
          <w:lang w:val="en-GB"/>
        </w:rPr>
        <w:t xml:space="preserve"> etc.</w:t>
      </w:r>
    </w:p>
    <w:p w14:paraId="18920FC8" w14:textId="77777777" w:rsidR="007947BF" w:rsidRPr="008463F3" w:rsidRDefault="007947BF" w:rsidP="007947BF">
      <w:pPr>
        <w:jc w:val="both"/>
        <w:rPr>
          <w:lang w:val="en-GB"/>
        </w:rPr>
      </w:pPr>
      <w:r w:rsidRPr="008463F3">
        <w:rPr>
          <w:lang w:val="en-GB"/>
        </w:rPr>
        <w:t>Services provided: The Laboratory has instruments for precise measurements of lengths, instruments for determination of specific heat of solids, viscosity, air specific heat, efficiency coefficient of solar collector, focal length of thin lenses, photoelectric effect, Franck-Hertz experiment, electron diffraction, absorption of gamma rays with GM counter, band gap of Ge, α и β–spectroscopy, refraction index of glass plate, polarimetry, refraction index of liquids and solutions with Abbe refractometer, diffraction on a compact disc, optically stimulated luminescence, optical characteri</w:t>
      </w:r>
      <w:r>
        <w:rPr>
          <w:lang w:val="en-GB"/>
        </w:rPr>
        <w:t>s</w:t>
      </w:r>
      <w:r w:rsidRPr="008463F3">
        <w:rPr>
          <w:lang w:val="en-GB"/>
        </w:rPr>
        <w:t xml:space="preserve">ation with UV </w:t>
      </w:r>
      <w:r w:rsidRPr="008463F3">
        <w:rPr>
          <w:rFonts w:ascii="Cambria Math" w:eastAsia="MS Gothic" w:hAnsi="Cambria Math" w:cs="Cambria Math"/>
          <w:lang w:val="en-GB"/>
        </w:rPr>
        <w:t>‑</w:t>
      </w:r>
      <w:r w:rsidRPr="008463F3">
        <w:rPr>
          <w:lang w:val="en-GB"/>
        </w:rPr>
        <w:t xml:space="preserve"> Vis spectroscopy, as well as 10 personal computers and software for simulations in LabVIEW, </w:t>
      </w:r>
      <w:proofErr w:type="spellStart"/>
      <w:r w:rsidRPr="008463F3">
        <w:rPr>
          <w:lang w:val="en-GB"/>
        </w:rPr>
        <w:t>CrystalMaker</w:t>
      </w:r>
      <w:proofErr w:type="spellEnd"/>
      <w:r w:rsidRPr="008463F3">
        <w:rPr>
          <w:lang w:val="en-GB"/>
        </w:rPr>
        <w:t xml:space="preserve">, </w:t>
      </w:r>
      <w:proofErr w:type="spellStart"/>
      <w:r w:rsidRPr="008463F3">
        <w:rPr>
          <w:lang w:val="en-GB"/>
        </w:rPr>
        <w:t>Lumerical</w:t>
      </w:r>
      <w:proofErr w:type="spellEnd"/>
      <w:r w:rsidRPr="008463F3">
        <w:rPr>
          <w:lang w:val="en-GB"/>
        </w:rPr>
        <w:t xml:space="preserve"> Software Solutions and Unity3D.</w:t>
      </w:r>
    </w:p>
    <w:p w14:paraId="367428E0" w14:textId="77777777" w:rsidR="007947BF" w:rsidRPr="008463F3" w:rsidRDefault="007947BF" w:rsidP="007947BF">
      <w:pPr>
        <w:jc w:val="both"/>
        <w:rPr>
          <w:lang w:val="en-GB"/>
        </w:rPr>
      </w:pPr>
      <w:r w:rsidRPr="008463F3">
        <w:rPr>
          <w:lang w:val="en-GB"/>
        </w:rPr>
        <w:t xml:space="preserve">Research equipment: The </w:t>
      </w:r>
      <w:r>
        <w:rPr>
          <w:lang w:val="en-GB"/>
        </w:rPr>
        <w:t xml:space="preserve">Physics </w:t>
      </w:r>
      <w:r w:rsidRPr="008463F3">
        <w:rPr>
          <w:lang w:val="en-GB"/>
        </w:rPr>
        <w:t>Laboratory has capital research equipment worth over 50.000 euro. A total estimated value of research capital equipment is 25.000 euros (purchase value was 290.000 euros). The list of individual capital research equipment worth over 50.000 euros is provided in Appendix 1. The equipment is used in the educational, scientific and research activit</w:t>
      </w:r>
      <w:r>
        <w:rPr>
          <w:lang w:val="en-GB"/>
        </w:rPr>
        <w:t>ies</w:t>
      </w:r>
      <w:r w:rsidRPr="008463F3">
        <w:rPr>
          <w:lang w:val="en-GB"/>
        </w:rPr>
        <w:t>, for preparation of master</w:t>
      </w:r>
      <w:r>
        <w:rPr>
          <w:lang w:val="en-GB"/>
        </w:rPr>
        <w:t>’s</w:t>
      </w:r>
      <w:r w:rsidRPr="008463F3">
        <w:rPr>
          <w:lang w:val="en-GB"/>
        </w:rPr>
        <w:t xml:space="preserve"> and doctoral theses in a number of different areas of application of ionizing radiation and material characteri</w:t>
      </w:r>
      <w:r>
        <w:rPr>
          <w:lang w:val="en-GB"/>
        </w:rPr>
        <w:t>s</w:t>
      </w:r>
      <w:r w:rsidRPr="008463F3">
        <w:rPr>
          <w:lang w:val="en-GB"/>
        </w:rPr>
        <w:t xml:space="preserve">ation. </w:t>
      </w:r>
    </w:p>
    <w:p w14:paraId="2150DC37" w14:textId="77777777" w:rsidR="007947BF" w:rsidRPr="008463F3" w:rsidRDefault="007947BF" w:rsidP="007947BF">
      <w:pPr>
        <w:jc w:val="both"/>
        <w:rPr>
          <w:lang w:val="en-GB"/>
        </w:rPr>
      </w:pPr>
      <w:r w:rsidRPr="008463F3">
        <w:rPr>
          <w:lang w:val="en-GB"/>
        </w:rPr>
        <w:t xml:space="preserve">Future investments in research equipment include </w:t>
      </w:r>
      <w:r>
        <w:rPr>
          <w:lang w:val="en-GB"/>
        </w:rPr>
        <w:t>u</w:t>
      </w:r>
      <w:r w:rsidRPr="008463F3">
        <w:rPr>
          <w:lang w:val="en-GB"/>
        </w:rPr>
        <w:t>pgrading of research infrastructure with additional equipment in order to extend the scope of application of the current equipment and maintenance and</w:t>
      </w:r>
      <w:r>
        <w:rPr>
          <w:lang w:val="en-GB"/>
        </w:rPr>
        <w:t xml:space="preserve"> renewal</w:t>
      </w:r>
      <w:r w:rsidRPr="008463F3">
        <w:rPr>
          <w:lang w:val="en-GB"/>
        </w:rPr>
        <w:t xml:space="preserve"> of the existing equipment.</w:t>
      </w:r>
    </w:p>
    <w:p w14:paraId="361CDE5B" w14:textId="77777777" w:rsidR="007947BF" w:rsidRPr="008463F3" w:rsidRDefault="007947BF" w:rsidP="007947BF">
      <w:pPr>
        <w:pStyle w:val="Heading5"/>
        <w:spacing w:after="240"/>
        <w:rPr>
          <w:rFonts w:asciiTheme="minorHAnsi" w:hAnsiTheme="minorHAnsi"/>
          <w:lang w:val="en-GB"/>
        </w:rPr>
      </w:pPr>
      <w:r w:rsidRPr="008463F3">
        <w:rPr>
          <w:rFonts w:asciiTheme="minorHAnsi" w:hAnsiTheme="minorHAnsi"/>
          <w:lang w:val="en-GB"/>
        </w:rPr>
        <w:t xml:space="preserve">Laboratory for Wireless and </w:t>
      </w:r>
      <w:r>
        <w:rPr>
          <w:rFonts w:asciiTheme="minorHAnsi" w:hAnsiTheme="minorHAnsi"/>
          <w:lang w:val="en-GB"/>
        </w:rPr>
        <w:t>M</w:t>
      </w:r>
      <w:r w:rsidRPr="008463F3">
        <w:rPr>
          <w:rFonts w:asciiTheme="minorHAnsi" w:hAnsiTheme="minorHAnsi"/>
          <w:lang w:val="en-GB"/>
        </w:rPr>
        <w:t xml:space="preserve">obile </w:t>
      </w:r>
      <w:r>
        <w:rPr>
          <w:rFonts w:asciiTheme="minorHAnsi" w:hAnsiTheme="minorHAnsi"/>
          <w:lang w:val="en-GB"/>
        </w:rPr>
        <w:t>N</w:t>
      </w:r>
      <w:r w:rsidRPr="008463F3">
        <w:rPr>
          <w:rFonts w:asciiTheme="minorHAnsi" w:hAnsiTheme="minorHAnsi"/>
          <w:lang w:val="en-GB"/>
        </w:rPr>
        <w:t>etworks</w:t>
      </w:r>
    </w:p>
    <w:p w14:paraId="0C8B21A1" w14:textId="77777777" w:rsidR="007947BF" w:rsidRPr="008463F3" w:rsidRDefault="007947BF" w:rsidP="007947BF">
      <w:pPr>
        <w:jc w:val="both"/>
        <w:rPr>
          <w:lang w:val="en-GB"/>
        </w:rPr>
      </w:pPr>
      <w:r w:rsidRPr="008463F3">
        <w:rPr>
          <w:lang w:val="en-GB"/>
        </w:rPr>
        <w:t xml:space="preserve">The research activities performed within the Laboratory for </w:t>
      </w:r>
      <w:r>
        <w:rPr>
          <w:lang w:val="en-GB"/>
        </w:rPr>
        <w:t>W</w:t>
      </w:r>
      <w:r w:rsidRPr="008463F3">
        <w:rPr>
          <w:lang w:val="en-GB"/>
        </w:rPr>
        <w:t xml:space="preserve">ireless and </w:t>
      </w:r>
      <w:r>
        <w:rPr>
          <w:lang w:val="en-GB"/>
        </w:rPr>
        <w:t>M</w:t>
      </w:r>
      <w:r w:rsidRPr="008463F3">
        <w:rPr>
          <w:lang w:val="en-GB"/>
        </w:rPr>
        <w:t xml:space="preserve">obile </w:t>
      </w:r>
      <w:r>
        <w:rPr>
          <w:lang w:val="en-GB"/>
        </w:rPr>
        <w:t>N</w:t>
      </w:r>
      <w:r w:rsidRPr="008463F3">
        <w:rPr>
          <w:lang w:val="en-GB"/>
        </w:rPr>
        <w:t>etworks are focused on theoretical and prototype and system development in the area of wireless communications such as: Cognitive Radio, Dynamic Spectrum Access, Radio Network Virtuali</w:t>
      </w:r>
      <w:r>
        <w:rPr>
          <w:lang w:val="en-GB"/>
        </w:rPr>
        <w:t>s</w:t>
      </w:r>
      <w:r w:rsidRPr="008463F3">
        <w:rPr>
          <w:lang w:val="en-GB"/>
        </w:rPr>
        <w:t xml:space="preserve">ation, Edge Computing, Signal Processing and Information, Theory for Wireless Networks, Wireless Sensor Networks and e-Health. The Laboratory </w:t>
      </w:r>
      <w:r>
        <w:rPr>
          <w:lang w:val="en-GB"/>
        </w:rPr>
        <w:t>has been</w:t>
      </w:r>
      <w:r w:rsidRPr="008463F3">
        <w:rPr>
          <w:lang w:val="en-GB"/>
        </w:rPr>
        <w:t xml:space="preserve"> equipped solely by funding provided in the framework of research projects (EU, NATO, bilateral, and Telecom). </w:t>
      </w:r>
    </w:p>
    <w:p w14:paraId="5095C56D" w14:textId="77777777" w:rsidR="007947BF" w:rsidRPr="008463F3" w:rsidRDefault="007947BF" w:rsidP="007947BF">
      <w:pPr>
        <w:jc w:val="both"/>
        <w:rPr>
          <w:lang w:val="en-GB"/>
        </w:rPr>
      </w:pPr>
      <w:r w:rsidRPr="008463F3">
        <w:rPr>
          <w:lang w:val="en-GB"/>
        </w:rPr>
        <w:t xml:space="preserve">Services provided: The </w:t>
      </w:r>
      <w:r>
        <w:rPr>
          <w:lang w:val="en-GB"/>
        </w:rPr>
        <w:t>L</w:t>
      </w:r>
      <w:r w:rsidRPr="008463F3">
        <w:rPr>
          <w:lang w:val="en-GB"/>
        </w:rPr>
        <w:t>aboratory has no direct infrastructure users. The outputs of the research activities are used by the Faculty/University for dissemination and visibility purposes, as well as networking and collaborations in the area of wireless communications.</w:t>
      </w:r>
    </w:p>
    <w:p w14:paraId="1CC3B952" w14:textId="77777777" w:rsidR="007947BF" w:rsidRPr="008463F3" w:rsidRDefault="007947BF" w:rsidP="007947BF">
      <w:pPr>
        <w:jc w:val="both"/>
        <w:rPr>
          <w:lang w:val="en-GB"/>
        </w:rPr>
      </w:pPr>
      <w:r w:rsidRPr="008463F3">
        <w:rPr>
          <w:lang w:val="en-GB"/>
        </w:rPr>
        <w:t>Research equipment: The Laboratory owns capital research equipment worth over 50.000 euro. A total estimated value of research capital equipment is 150.000 euros (purchase value was more than 1 mil euros). The list of individual capital research equipment worth over 50.000 euros is provided in Appendix 1.</w:t>
      </w:r>
    </w:p>
    <w:p w14:paraId="1BA946A6" w14:textId="77777777" w:rsidR="007947BF" w:rsidRPr="008463F3" w:rsidRDefault="007947BF" w:rsidP="007947BF">
      <w:pPr>
        <w:pStyle w:val="Heading5"/>
        <w:spacing w:after="240"/>
        <w:rPr>
          <w:rFonts w:asciiTheme="minorHAnsi" w:hAnsiTheme="minorHAnsi"/>
          <w:lang w:val="en-GB"/>
        </w:rPr>
      </w:pPr>
      <w:r w:rsidRPr="008463F3">
        <w:rPr>
          <w:rFonts w:asciiTheme="minorHAnsi" w:hAnsiTheme="minorHAnsi"/>
          <w:lang w:val="en-GB"/>
        </w:rPr>
        <w:t>Institute of Electrical Machines, Transformers and Apparatuses</w:t>
      </w:r>
    </w:p>
    <w:p w14:paraId="48080933" w14:textId="77777777" w:rsidR="007947BF" w:rsidRPr="008463F3" w:rsidRDefault="007947BF" w:rsidP="007947BF">
      <w:pPr>
        <w:jc w:val="both"/>
        <w:rPr>
          <w:lang w:val="en-GB"/>
        </w:rPr>
      </w:pPr>
      <w:r w:rsidRPr="008463F3">
        <w:rPr>
          <w:lang w:val="en-GB"/>
        </w:rPr>
        <w:t xml:space="preserve">The Institute of Electrical Machines, Transformers and Apparatuses is conducting testing of small and special electrical machines, as well as testing of small motors supplied and controlled via power converters. </w:t>
      </w:r>
    </w:p>
    <w:p w14:paraId="7755BA86" w14:textId="77777777" w:rsidR="007947BF" w:rsidRPr="008463F3" w:rsidRDefault="007947BF" w:rsidP="007947BF">
      <w:pPr>
        <w:jc w:val="both"/>
        <w:rPr>
          <w:lang w:val="en-GB"/>
        </w:rPr>
      </w:pPr>
      <w:r w:rsidRPr="008463F3">
        <w:rPr>
          <w:lang w:val="en-GB"/>
        </w:rPr>
        <w:t xml:space="preserve">The Laboratory is providing testing on all electric machines. Most of them can be tested in motor as well as in generator working mode. The testing </w:t>
      </w:r>
      <w:r>
        <w:rPr>
          <w:lang w:val="en-GB"/>
        </w:rPr>
        <w:t>is</w:t>
      </w:r>
      <w:r w:rsidRPr="008463F3">
        <w:rPr>
          <w:lang w:val="en-GB"/>
        </w:rPr>
        <w:t xml:space="preserve"> primarily intended for students and </w:t>
      </w:r>
      <w:r>
        <w:rPr>
          <w:lang w:val="en-GB"/>
        </w:rPr>
        <w:t>is performed</w:t>
      </w:r>
      <w:r w:rsidRPr="008463F3">
        <w:rPr>
          <w:lang w:val="en-GB"/>
        </w:rPr>
        <w:t xml:space="preserve"> on existing equipment such as: Lab-Volt (Canada) and TQ (UK). </w:t>
      </w:r>
    </w:p>
    <w:p w14:paraId="2EE18E15" w14:textId="77777777" w:rsidR="007947BF" w:rsidRPr="008463F3" w:rsidRDefault="007947BF" w:rsidP="007947BF">
      <w:pPr>
        <w:jc w:val="both"/>
        <w:rPr>
          <w:lang w:val="en-GB"/>
        </w:rPr>
      </w:pPr>
      <w:r w:rsidRPr="008463F3">
        <w:rPr>
          <w:lang w:val="en-GB"/>
        </w:rPr>
        <w:t>Research equipment: The Laboratory does not have capital research equipment of high value. The total value of research instruments is estimated at 15.000 euros ant it is mainly intended for students.</w:t>
      </w:r>
    </w:p>
    <w:p w14:paraId="1E148895" w14:textId="77777777" w:rsidR="007947BF" w:rsidRPr="008463F3" w:rsidRDefault="007947BF" w:rsidP="007947BF">
      <w:pPr>
        <w:pStyle w:val="Heading5"/>
        <w:spacing w:after="240"/>
        <w:rPr>
          <w:rFonts w:asciiTheme="minorHAnsi" w:hAnsiTheme="minorHAnsi"/>
          <w:lang w:val="en-GB"/>
        </w:rPr>
      </w:pPr>
      <w:r w:rsidRPr="008463F3">
        <w:rPr>
          <w:rFonts w:asciiTheme="minorHAnsi" w:hAnsiTheme="minorHAnsi"/>
          <w:lang w:val="en-GB"/>
        </w:rPr>
        <w:t xml:space="preserve">Power Markets Laboratory </w:t>
      </w:r>
    </w:p>
    <w:p w14:paraId="14C88483" w14:textId="77777777" w:rsidR="007947BF" w:rsidRPr="008463F3" w:rsidRDefault="007947BF" w:rsidP="007947BF">
      <w:pPr>
        <w:jc w:val="both"/>
        <w:rPr>
          <w:lang w:val="en-GB"/>
        </w:rPr>
      </w:pPr>
      <w:r w:rsidRPr="008463F3">
        <w:rPr>
          <w:lang w:val="en-GB"/>
        </w:rPr>
        <w:t xml:space="preserve">Power Markets Laboratory is operating under the umbrella of the Institute of Power Transmission Systems at the FEEIT in Skopje. It is established to support the educational, scientific and research activities in power systems at FEEIT, as well as the needs of the power engineering companies and public institutions. </w:t>
      </w:r>
    </w:p>
    <w:p w14:paraId="6B905AE5" w14:textId="77777777" w:rsidR="007947BF" w:rsidRPr="008463F3" w:rsidRDefault="007947BF" w:rsidP="007947BF">
      <w:pPr>
        <w:jc w:val="both"/>
        <w:rPr>
          <w:lang w:val="en-GB"/>
        </w:rPr>
      </w:pPr>
      <w:r w:rsidRPr="008463F3">
        <w:rPr>
          <w:lang w:val="en-GB"/>
        </w:rPr>
        <w:t xml:space="preserve">Services provided: The Laboratory is mainly used for teaching classes and laboratory exercises for power markets and power systems related subjects. The software is used for the research needs of the staff </w:t>
      </w:r>
      <w:r>
        <w:rPr>
          <w:lang w:val="en-GB"/>
        </w:rPr>
        <w:t>and for</w:t>
      </w:r>
      <w:r w:rsidRPr="008463F3">
        <w:rPr>
          <w:lang w:val="en-GB"/>
        </w:rPr>
        <w:t xml:space="preserve"> specific lab exercises</w:t>
      </w:r>
      <w:r>
        <w:rPr>
          <w:lang w:val="en-GB"/>
        </w:rPr>
        <w:t xml:space="preserve"> performed by students</w:t>
      </w:r>
      <w:r w:rsidRPr="008463F3">
        <w:rPr>
          <w:lang w:val="en-GB"/>
        </w:rPr>
        <w:t>. Additionally, depending on the needs, some software solutions are used by master students.</w:t>
      </w:r>
    </w:p>
    <w:p w14:paraId="1BFC0412" w14:textId="77777777" w:rsidR="007947BF" w:rsidRPr="008463F3" w:rsidRDefault="007947BF" w:rsidP="007947BF">
      <w:pPr>
        <w:jc w:val="both"/>
        <w:rPr>
          <w:lang w:val="en-GB"/>
        </w:rPr>
      </w:pPr>
      <w:r w:rsidRPr="008463F3">
        <w:rPr>
          <w:lang w:val="en-GB"/>
        </w:rPr>
        <w:t xml:space="preserve">Research equipment: The Laboratory possesses research equipment of small value. The research equipment and software were provided by the TEMPUS – CEFES Project. </w:t>
      </w:r>
    </w:p>
    <w:p w14:paraId="2E34EA33" w14:textId="77777777" w:rsidR="007947BF" w:rsidRPr="008463F3" w:rsidRDefault="007947BF" w:rsidP="007947BF">
      <w:pPr>
        <w:pStyle w:val="Heading5"/>
        <w:spacing w:after="240"/>
        <w:rPr>
          <w:rFonts w:asciiTheme="minorHAnsi" w:hAnsiTheme="minorHAnsi"/>
          <w:lang w:val="en-GB"/>
        </w:rPr>
      </w:pPr>
      <w:r w:rsidRPr="008463F3">
        <w:rPr>
          <w:rFonts w:asciiTheme="minorHAnsi" w:hAnsiTheme="minorHAnsi"/>
          <w:lang w:val="en-GB"/>
        </w:rPr>
        <w:t>Automation and System Engineering</w:t>
      </w:r>
      <w:r>
        <w:rPr>
          <w:rFonts w:asciiTheme="minorHAnsi" w:hAnsiTheme="minorHAnsi"/>
          <w:lang w:val="en-GB"/>
        </w:rPr>
        <w:t xml:space="preserve"> </w:t>
      </w:r>
      <w:r w:rsidRPr="008463F3">
        <w:rPr>
          <w:rFonts w:asciiTheme="minorHAnsi" w:hAnsiTheme="minorHAnsi"/>
          <w:lang w:val="en-GB"/>
        </w:rPr>
        <w:t xml:space="preserve">Laboratory </w:t>
      </w:r>
    </w:p>
    <w:p w14:paraId="3F098131" w14:textId="77777777" w:rsidR="007947BF" w:rsidRPr="008463F3" w:rsidRDefault="007947BF" w:rsidP="007947BF">
      <w:pPr>
        <w:jc w:val="both"/>
        <w:rPr>
          <w:lang w:val="en-GB"/>
        </w:rPr>
      </w:pPr>
      <w:r w:rsidRPr="008463F3">
        <w:rPr>
          <w:lang w:val="en-GB"/>
        </w:rPr>
        <w:t xml:space="preserve">The Automation and System Engineering Laboratory provides educational, scientific, research and application opportunities for research staff, students and external partners. </w:t>
      </w:r>
    </w:p>
    <w:p w14:paraId="6AAE0665" w14:textId="77777777" w:rsidR="007947BF" w:rsidRPr="008463F3" w:rsidRDefault="007947BF" w:rsidP="007947BF">
      <w:pPr>
        <w:jc w:val="both"/>
        <w:rPr>
          <w:lang w:val="en-GB"/>
        </w:rPr>
      </w:pPr>
      <w:r w:rsidRPr="008463F3">
        <w:rPr>
          <w:lang w:val="en-GB"/>
        </w:rPr>
        <w:t xml:space="preserve">The </w:t>
      </w:r>
      <w:r>
        <w:rPr>
          <w:lang w:val="en-GB"/>
        </w:rPr>
        <w:t>L</w:t>
      </w:r>
      <w:r w:rsidRPr="008463F3">
        <w:rPr>
          <w:lang w:val="en-GB"/>
        </w:rPr>
        <w:t>aboratory activities include: control system theory, modelling and simulation, industrial production automation, programmable logic controllers, SCADA systems, distributed control systems, industrial robotics, mobile robotics, machine learning and artificial intelligence, fuzzy logic control, etc.</w:t>
      </w:r>
    </w:p>
    <w:p w14:paraId="3138497A" w14:textId="77777777" w:rsidR="007947BF" w:rsidRPr="008463F3" w:rsidRDefault="007947BF" w:rsidP="007947BF">
      <w:pPr>
        <w:jc w:val="both"/>
        <w:rPr>
          <w:lang w:val="en-GB"/>
        </w:rPr>
      </w:pPr>
      <w:r w:rsidRPr="008463F3">
        <w:rPr>
          <w:lang w:val="en-GB"/>
        </w:rPr>
        <w:t xml:space="preserve">The Laboratory had an opportunity to join the international </w:t>
      </w:r>
      <w:proofErr w:type="spellStart"/>
      <w:r w:rsidRPr="008463F3">
        <w:rPr>
          <w:lang w:val="en-GB"/>
        </w:rPr>
        <w:t>SiNano</w:t>
      </w:r>
      <w:proofErr w:type="spellEnd"/>
      <w:r w:rsidRPr="008463F3">
        <w:rPr>
          <w:lang w:val="en-GB"/>
        </w:rPr>
        <w:t xml:space="preserve"> consortium (European Academic and Scientific Association for Nanoelectronics)</w:t>
      </w:r>
      <w:r>
        <w:rPr>
          <w:lang w:val="en-GB"/>
        </w:rPr>
        <w:t xml:space="preserve"> which has not been</w:t>
      </w:r>
      <w:r w:rsidRPr="008463F3">
        <w:rPr>
          <w:lang w:val="en-GB"/>
        </w:rPr>
        <w:t xml:space="preserve"> still </w:t>
      </w:r>
      <w:r>
        <w:rPr>
          <w:lang w:val="en-GB"/>
        </w:rPr>
        <w:t>utilised</w:t>
      </w:r>
      <w:r w:rsidRPr="008463F3">
        <w:rPr>
          <w:lang w:val="en-GB"/>
        </w:rPr>
        <w:t xml:space="preserve"> due to financial reasons (relatively large entrance and membership fees). </w:t>
      </w:r>
    </w:p>
    <w:p w14:paraId="57679FAA" w14:textId="77777777" w:rsidR="007947BF" w:rsidRPr="008463F3" w:rsidRDefault="007947BF" w:rsidP="007947BF">
      <w:pPr>
        <w:jc w:val="both"/>
        <w:rPr>
          <w:lang w:val="en-GB"/>
        </w:rPr>
      </w:pPr>
      <w:r w:rsidRPr="008463F3">
        <w:rPr>
          <w:lang w:val="en-GB"/>
        </w:rPr>
        <w:t>Research equipment: The Laboratory does not have capital research equipment of high value. The total estimated value of small research instruments is about 28.000 euros.</w:t>
      </w:r>
    </w:p>
    <w:p w14:paraId="3D652E80" w14:textId="77777777" w:rsidR="007947BF" w:rsidRPr="008463F3" w:rsidRDefault="007947BF" w:rsidP="007947BF">
      <w:pPr>
        <w:pStyle w:val="Heading5"/>
        <w:spacing w:after="240"/>
        <w:rPr>
          <w:lang w:val="en-GB"/>
        </w:rPr>
      </w:pPr>
      <w:r w:rsidRPr="008463F3">
        <w:rPr>
          <w:lang w:val="en-GB"/>
        </w:rPr>
        <w:t>Centre for Technology Transfer and Innovations</w:t>
      </w:r>
    </w:p>
    <w:p w14:paraId="6DB5B3FF" w14:textId="77777777" w:rsidR="007947BF" w:rsidRPr="008463F3" w:rsidRDefault="007947BF" w:rsidP="007947BF">
      <w:pPr>
        <w:spacing w:after="0"/>
        <w:jc w:val="both"/>
        <w:rPr>
          <w:lang w:val="en-GB"/>
        </w:rPr>
      </w:pPr>
      <w:r w:rsidRPr="008463F3">
        <w:rPr>
          <w:lang w:val="en-GB"/>
        </w:rPr>
        <w:t>The Centre for Technology Transfer and Innovations (INNOFEIT) was established at the Faculty of Electrical Engineering and Information Technologies as a result of the need for more tight cooperation between the academia and the industry. The main idea was to close the gap between academic education and practical expertise and prepare the students for better coping with the industrial challenges ahead. INNOFEIT is a hub for interaction among FEEIT staff, FEEIT students and industrial partners that will foster connections and transfer of technology as well as novel innovative ideas that will aid the economic growth of the sector and the society in general. INNOFEIT is currently an important cornerstone in the Macedonian innovation ecosystem, a co-founder of the Accelerator UKIM and a selected candidate by European Investment Bank (EIB) to become a Centre-of-Excellence in its fields of interest. INNOFEIT offers a plethora of tailor-made services for companies that have a vision to do R&amp;D and invest in innovative solutions increasing their value and having a broader impact. These include:</w:t>
      </w:r>
    </w:p>
    <w:p w14:paraId="6EC7331F" w14:textId="77777777" w:rsidR="007947BF" w:rsidRPr="008463F3" w:rsidRDefault="007947BF" w:rsidP="007947BF">
      <w:pPr>
        <w:pStyle w:val="ListParagraph"/>
        <w:numPr>
          <w:ilvl w:val="0"/>
          <w:numId w:val="36"/>
        </w:numPr>
        <w:jc w:val="both"/>
        <w:rPr>
          <w:lang w:val="en-GB"/>
        </w:rPr>
      </w:pPr>
      <w:r w:rsidRPr="008463F3">
        <w:rPr>
          <w:lang w:val="en-GB"/>
        </w:rPr>
        <w:t>Match-making of highly skilled scientists with entrepreneurs</w:t>
      </w:r>
    </w:p>
    <w:p w14:paraId="6B012545" w14:textId="77777777" w:rsidR="007947BF" w:rsidRPr="008463F3" w:rsidRDefault="007947BF" w:rsidP="007947BF">
      <w:pPr>
        <w:pStyle w:val="ListParagraph"/>
        <w:numPr>
          <w:ilvl w:val="0"/>
          <w:numId w:val="36"/>
        </w:numPr>
        <w:jc w:val="both"/>
        <w:rPr>
          <w:lang w:val="en-GB"/>
        </w:rPr>
      </w:pPr>
      <w:r w:rsidRPr="008463F3">
        <w:rPr>
          <w:lang w:val="en-GB"/>
        </w:rPr>
        <w:t>Contract research and solving practical problems in product development</w:t>
      </w:r>
    </w:p>
    <w:p w14:paraId="25FFAF65" w14:textId="77777777" w:rsidR="007947BF" w:rsidRPr="008463F3" w:rsidRDefault="007947BF" w:rsidP="007947BF">
      <w:pPr>
        <w:pStyle w:val="ListParagraph"/>
        <w:numPr>
          <w:ilvl w:val="0"/>
          <w:numId w:val="36"/>
        </w:numPr>
        <w:jc w:val="both"/>
        <w:rPr>
          <w:lang w:val="en-GB"/>
        </w:rPr>
      </w:pPr>
      <w:r w:rsidRPr="008463F3">
        <w:rPr>
          <w:lang w:val="en-GB"/>
        </w:rPr>
        <w:t>Collaborative research on novel and innovative ideas</w:t>
      </w:r>
    </w:p>
    <w:p w14:paraId="5CF87BBF" w14:textId="77777777" w:rsidR="007947BF" w:rsidRPr="008463F3" w:rsidRDefault="007947BF" w:rsidP="007947BF">
      <w:pPr>
        <w:pStyle w:val="ListParagraph"/>
        <w:numPr>
          <w:ilvl w:val="0"/>
          <w:numId w:val="36"/>
        </w:numPr>
        <w:jc w:val="both"/>
        <w:rPr>
          <w:lang w:val="en-GB"/>
        </w:rPr>
      </w:pPr>
      <w:r w:rsidRPr="008463F3">
        <w:rPr>
          <w:lang w:val="en-GB"/>
        </w:rPr>
        <w:t>Access to state-of-the-art FEEIT laboratories (2M euros worth)</w:t>
      </w:r>
    </w:p>
    <w:p w14:paraId="43B04838" w14:textId="77777777" w:rsidR="007947BF" w:rsidRPr="008463F3" w:rsidRDefault="007947BF" w:rsidP="007947BF">
      <w:pPr>
        <w:pStyle w:val="ListParagraph"/>
        <w:numPr>
          <w:ilvl w:val="0"/>
          <w:numId w:val="36"/>
        </w:numPr>
        <w:jc w:val="both"/>
        <w:rPr>
          <w:lang w:val="en-GB"/>
        </w:rPr>
      </w:pPr>
      <w:r w:rsidRPr="008463F3">
        <w:rPr>
          <w:lang w:val="en-GB"/>
        </w:rPr>
        <w:t>Co-working space</w:t>
      </w:r>
    </w:p>
    <w:p w14:paraId="5CCF7385" w14:textId="77777777" w:rsidR="007947BF" w:rsidRPr="008463F3" w:rsidRDefault="007947BF" w:rsidP="007947BF">
      <w:pPr>
        <w:spacing w:after="0"/>
        <w:jc w:val="both"/>
        <w:rPr>
          <w:lang w:val="en-GB"/>
        </w:rPr>
      </w:pPr>
      <w:r w:rsidRPr="008463F3">
        <w:rPr>
          <w:lang w:val="en-GB"/>
        </w:rPr>
        <w:t>INNOFEIT operates in refurbished state-of-the-art premises equipped with all necessary utensils for its normal day-to-day operation. It also has an excellent network of local and regional companies such as pre-seed and seed investment funds, accounting offices, business angels and freelancers ready to at any time</w:t>
      </w:r>
      <w:r>
        <w:rPr>
          <w:lang w:val="en-GB"/>
        </w:rPr>
        <w:t xml:space="preserve"> assist the</w:t>
      </w:r>
      <w:r w:rsidRPr="008463F3">
        <w:rPr>
          <w:lang w:val="en-GB"/>
        </w:rPr>
        <w:t xml:space="preserve"> start-ups coming from FEEIT. INNOFEIT offers them:</w:t>
      </w:r>
    </w:p>
    <w:p w14:paraId="1D8F93BA" w14:textId="77777777" w:rsidR="007947BF" w:rsidRPr="008463F3" w:rsidRDefault="007947BF" w:rsidP="007947BF">
      <w:pPr>
        <w:pStyle w:val="ListParagraph"/>
        <w:numPr>
          <w:ilvl w:val="0"/>
          <w:numId w:val="36"/>
        </w:numPr>
        <w:jc w:val="both"/>
        <w:rPr>
          <w:lang w:val="en-GB"/>
        </w:rPr>
      </w:pPr>
      <w:r w:rsidRPr="008463F3">
        <w:rPr>
          <w:lang w:val="en-GB"/>
        </w:rPr>
        <w:t>Pre-incubation</w:t>
      </w:r>
    </w:p>
    <w:p w14:paraId="28231B51" w14:textId="77777777" w:rsidR="007947BF" w:rsidRPr="008463F3" w:rsidRDefault="007947BF" w:rsidP="007947BF">
      <w:pPr>
        <w:pStyle w:val="ListParagraph"/>
        <w:numPr>
          <w:ilvl w:val="0"/>
          <w:numId w:val="36"/>
        </w:numPr>
        <w:jc w:val="both"/>
        <w:rPr>
          <w:lang w:val="en-GB"/>
        </w:rPr>
      </w:pPr>
      <w:r w:rsidRPr="008463F3">
        <w:rPr>
          <w:lang w:val="en-GB"/>
        </w:rPr>
        <w:t>Access to FEEIT laboratories</w:t>
      </w:r>
    </w:p>
    <w:p w14:paraId="65DBB69C" w14:textId="77777777" w:rsidR="007947BF" w:rsidRPr="008463F3" w:rsidRDefault="007947BF" w:rsidP="007947BF">
      <w:pPr>
        <w:pStyle w:val="ListParagraph"/>
        <w:numPr>
          <w:ilvl w:val="0"/>
          <w:numId w:val="36"/>
        </w:numPr>
        <w:jc w:val="both"/>
        <w:rPr>
          <w:lang w:val="en-GB"/>
        </w:rPr>
      </w:pPr>
      <w:r w:rsidRPr="008463F3">
        <w:rPr>
          <w:lang w:val="en-GB"/>
        </w:rPr>
        <w:t>Mentoring and coaching</w:t>
      </w:r>
    </w:p>
    <w:p w14:paraId="38F963C0" w14:textId="77777777" w:rsidR="007947BF" w:rsidRPr="008463F3" w:rsidRDefault="007947BF" w:rsidP="007947BF">
      <w:pPr>
        <w:pStyle w:val="ListParagraph"/>
        <w:numPr>
          <w:ilvl w:val="0"/>
          <w:numId w:val="36"/>
        </w:numPr>
        <w:jc w:val="both"/>
        <w:rPr>
          <w:lang w:val="en-GB"/>
        </w:rPr>
      </w:pPr>
      <w:r w:rsidRPr="008463F3">
        <w:rPr>
          <w:lang w:val="en-GB"/>
        </w:rPr>
        <w:t>Access to finance and market through partner network</w:t>
      </w:r>
    </w:p>
    <w:p w14:paraId="527497DD" w14:textId="77777777" w:rsidR="007947BF" w:rsidRPr="008463F3" w:rsidRDefault="007947BF" w:rsidP="007947BF">
      <w:pPr>
        <w:jc w:val="both"/>
        <w:rPr>
          <w:lang w:val="en-GB"/>
        </w:rPr>
      </w:pPr>
    </w:p>
    <w:p w14:paraId="5DF2CE54" w14:textId="77777777" w:rsidR="007947BF" w:rsidRPr="008463F3" w:rsidRDefault="007947BF" w:rsidP="007947BF">
      <w:pPr>
        <w:pStyle w:val="Heading4"/>
        <w:rPr>
          <w:rFonts w:asciiTheme="minorHAnsi" w:hAnsiTheme="minorHAnsi"/>
          <w:lang w:val="en-GB"/>
        </w:rPr>
      </w:pPr>
      <w:r w:rsidRPr="008463F3">
        <w:rPr>
          <w:rFonts w:asciiTheme="minorHAnsi" w:hAnsiTheme="minorHAnsi"/>
          <w:lang w:val="en-GB"/>
        </w:rPr>
        <w:t>Faculty of Mechanical Engineering</w:t>
      </w:r>
    </w:p>
    <w:p w14:paraId="46E24C93" w14:textId="77777777" w:rsidR="007947BF" w:rsidRPr="008463F3" w:rsidRDefault="007947BF" w:rsidP="007947BF">
      <w:pPr>
        <w:pStyle w:val="Heading5"/>
        <w:spacing w:after="240"/>
        <w:rPr>
          <w:rFonts w:asciiTheme="minorHAnsi" w:hAnsiTheme="minorHAnsi"/>
          <w:lang w:val="en-GB"/>
        </w:rPr>
      </w:pPr>
      <w:r w:rsidRPr="008463F3">
        <w:rPr>
          <w:rFonts w:asciiTheme="minorHAnsi" w:hAnsiTheme="minorHAnsi"/>
          <w:lang w:val="en-GB"/>
        </w:rPr>
        <w:t>Laboratory for calibration of force and torque</w:t>
      </w:r>
    </w:p>
    <w:p w14:paraId="72A077FE" w14:textId="77777777" w:rsidR="007947BF" w:rsidRPr="008463F3" w:rsidRDefault="007947BF" w:rsidP="007947BF">
      <w:pPr>
        <w:jc w:val="both"/>
        <w:rPr>
          <w:lang w:val="en-GB"/>
        </w:rPr>
      </w:pPr>
      <w:r w:rsidRPr="008463F3">
        <w:rPr>
          <w:lang w:val="en-GB"/>
        </w:rPr>
        <w:t xml:space="preserve">The Laboratory for calibration of force and torque is a modern, internationally </w:t>
      </w:r>
      <w:r>
        <w:rPr>
          <w:lang w:val="en-GB"/>
        </w:rPr>
        <w:t>recognised</w:t>
      </w:r>
      <w:r w:rsidRPr="008463F3">
        <w:rPr>
          <w:lang w:val="en-GB"/>
        </w:rPr>
        <w:t xml:space="preserve"> laboratory for testing and calibration. It is a part of an international network of calibration laboratories in Europe and worldwide. The laboratory performs calibration of force and torque measuring devices. </w:t>
      </w:r>
    </w:p>
    <w:p w14:paraId="11284E40" w14:textId="77777777" w:rsidR="007947BF" w:rsidRPr="008463F3" w:rsidRDefault="007947BF" w:rsidP="007947BF">
      <w:pPr>
        <w:jc w:val="both"/>
        <w:rPr>
          <w:lang w:val="en-GB"/>
        </w:rPr>
      </w:pPr>
      <w:r w:rsidRPr="008463F3">
        <w:rPr>
          <w:lang w:val="en-GB"/>
        </w:rPr>
        <w:t xml:space="preserve">Services provided: The Laboratory provides </w:t>
      </w:r>
      <w:r>
        <w:rPr>
          <w:lang w:val="en-GB"/>
        </w:rPr>
        <w:t>c</w:t>
      </w:r>
      <w:r w:rsidRPr="008463F3">
        <w:rPr>
          <w:lang w:val="en-GB"/>
        </w:rPr>
        <w:t xml:space="preserve">alibration of torque wrenches; </w:t>
      </w:r>
      <w:r>
        <w:rPr>
          <w:lang w:val="en-GB"/>
        </w:rPr>
        <w:t>c</w:t>
      </w:r>
      <w:r w:rsidRPr="008463F3">
        <w:rPr>
          <w:lang w:val="en-GB"/>
        </w:rPr>
        <w:t xml:space="preserve">alibration of force measuring devices; </w:t>
      </w:r>
      <w:r>
        <w:rPr>
          <w:lang w:val="en-GB"/>
        </w:rPr>
        <w:t>c</w:t>
      </w:r>
      <w:r w:rsidRPr="008463F3">
        <w:rPr>
          <w:lang w:val="en-GB"/>
        </w:rPr>
        <w:t xml:space="preserve">alibration of press and material testing machines and </w:t>
      </w:r>
      <w:r>
        <w:rPr>
          <w:lang w:val="en-GB"/>
        </w:rPr>
        <w:t>c</w:t>
      </w:r>
      <w:r w:rsidRPr="008463F3">
        <w:rPr>
          <w:lang w:val="en-GB"/>
        </w:rPr>
        <w:t>alibration of other devices.</w:t>
      </w:r>
    </w:p>
    <w:p w14:paraId="524EB435" w14:textId="77777777" w:rsidR="007947BF" w:rsidRPr="008463F3" w:rsidRDefault="007947BF" w:rsidP="007947BF">
      <w:pPr>
        <w:jc w:val="both"/>
        <w:rPr>
          <w:lang w:val="en-GB"/>
        </w:rPr>
      </w:pPr>
      <w:r w:rsidRPr="008463F3">
        <w:rPr>
          <w:lang w:val="en-GB"/>
        </w:rPr>
        <w:t>Research equipment: The total estimated value of research capital equipment is 70.000 euro (purchase value was 220.000 euro). It does not have single capital research equipment worth over 50.000 euros.</w:t>
      </w:r>
    </w:p>
    <w:p w14:paraId="30642F9E" w14:textId="77777777" w:rsidR="007947BF" w:rsidRPr="008463F3" w:rsidRDefault="007947BF" w:rsidP="007947BF">
      <w:pPr>
        <w:pStyle w:val="Heading5"/>
        <w:spacing w:after="240"/>
        <w:rPr>
          <w:rFonts w:asciiTheme="minorHAnsi" w:hAnsiTheme="minorHAnsi"/>
          <w:lang w:val="en-GB"/>
        </w:rPr>
      </w:pPr>
      <w:r w:rsidRPr="008463F3">
        <w:rPr>
          <w:rFonts w:asciiTheme="minorHAnsi" w:hAnsiTheme="minorHAnsi"/>
          <w:lang w:val="en-GB"/>
        </w:rPr>
        <w:t>Laboratory for testing mechanical properties, machines and vehicles</w:t>
      </w:r>
    </w:p>
    <w:p w14:paraId="0E839C7D" w14:textId="77777777" w:rsidR="007947BF" w:rsidRPr="008463F3" w:rsidRDefault="007947BF" w:rsidP="007947BF">
      <w:pPr>
        <w:jc w:val="both"/>
        <w:rPr>
          <w:lang w:val="en-GB"/>
        </w:rPr>
      </w:pPr>
      <w:r w:rsidRPr="008463F3">
        <w:rPr>
          <w:lang w:val="en-GB"/>
        </w:rPr>
        <w:t xml:space="preserve">The Laboratory for testing mechanical properties, machines and vehicles is part of an international network of testing laboratories in Europe and worldwide. The laboratory performs testing of mechanical properties, machines and vehicles by using standard methods. </w:t>
      </w:r>
    </w:p>
    <w:p w14:paraId="6A1723F3" w14:textId="77777777" w:rsidR="007947BF" w:rsidRPr="008463F3" w:rsidRDefault="007947BF" w:rsidP="007947BF">
      <w:pPr>
        <w:jc w:val="both"/>
        <w:rPr>
          <w:lang w:val="en-GB"/>
        </w:rPr>
      </w:pPr>
      <w:r w:rsidRPr="008463F3">
        <w:rPr>
          <w:lang w:val="en-GB"/>
        </w:rPr>
        <w:t xml:space="preserve">Services provided: The Laboratory is providing </w:t>
      </w:r>
      <w:r>
        <w:rPr>
          <w:lang w:val="en-GB"/>
        </w:rPr>
        <w:t>t</w:t>
      </w:r>
      <w:r w:rsidRPr="008463F3">
        <w:rPr>
          <w:lang w:val="en-GB"/>
        </w:rPr>
        <w:t xml:space="preserve">esting of mechanical properties; </w:t>
      </w:r>
      <w:r>
        <w:rPr>
          <w:lang w:val="en-GB"/>
        </w:rPr>
        <w:t>m</w:t>
      </w:r>
      <w:r w:rsidRPr="008463F3">
        <w:rPr>
          <w:lang w:val="en-GB"/>
        </w:rPr>
        <w:t xml:space="preserve">achine testing and </w:t>
      </w:r>
      <w:r>
        <w:rPr>
          <w:lang w:val="en-GB"/>
        </w:rPr>
        <w:t>v</w:t>
      </w:r>
      <w:r w:rsidRPr="008463F3">
        <w:rPr>
          <w:lang w:val="en-GB"/>
        </w:rPr>
        <w:t xml:space="preserve">ehicle testing. </w:t>
      </w:r>
    </w:p>
    <w:p w14:paraId="14CB187E" w14:textId="77777777" w:rsidR="007947BF" w:rsidRPr="008463F3" w:rsidRDefault="007947BF" w:rsidP="007947BF">
      <w:pPr>
        <w:jc w:val="both"/>
        <w:rPr>
          <w:lang w:val="en-GB"/>
        </w:rPr>
      </w:pPr>
      <w:r w:rsidRPr="008463F3">
        <w:rPr>
          <w:lang w:val="en-GB"/>
        </w:rPr>
        <w:t>Research equipment: The total estimated value of research capital equipment is 50.000 euro (purchase value was 180.000 euro). It does not have single capital research equipment worth over 50.000 euros.</w:t>
      </w:r>
    </w:p>
    <w:p w14:paraId="4E774CE0" w14:textId="77777777" w:rsidR="007947BF" w:rsidRPr="008463F3" w:rsidRDefault="007947BF" w:rsidP="007947BF">
      <w:pPr>
        <w:jc w:val="both"/>
        <w:rPr>
          <w:lang w:val="en-GB"/>
        </w:rPr>
      </w:pPr>
    </w:p>
    <w:p w14:paraId="51CD0291" w14:textId="77777777" w:rsidR="007947BF" w:rsidRPr="008463F3" w:rsidRDefault="007947BF" w:rsidP="007947BF">
      <w:pPr>
        <w:pStyle w:val="Heading4"/>
        <w:rPr>
          <w:rFonts w:asciiTheme="minorHAnsi" w:hAnsiTheme="minorHAnsi"/>
          <w:lang w:val="en-GB"/>
        </w:rPr>
      </w:pPr>
      <w:r w:rsidRPr="008463F3">
        <w:rPr>
          <w:rFonts w:asciiTheme="minorHAnsi" w:hAnsiTheme="minorHAnsi"/>
          <w:lang w:val="en-GB"/>
        </w:rPr>
        <w:t>Faculty of Natural Sciences and Mathematics</w:t>
      </w:r>
    </w:p>
    <w:p w14:paraId="40E862AC" w14:textId="77777777" w:rsidR="007947BF" w:rsidRPr="008463F3" w:rsidRDefault="007947BF" w:rsidP="007947BF">
      <w:pPr>
        <w:pStyle w:val="Heading5"/>
        <w:spacing w:after="240"/>
        <w:rPr>
          <w:rFonts w:asciiTheme="minorHAnsi" w:hAnsiTheme="minorHAnsi"/>
          <w:lang w:val="en-GB"/>
        </w:rPr>
      </w:pPr>
      <w:r w:rsidRPr="008463F3">
        <w:rPr>
          <w:rFonts w:asciiTheme="minorHAnsi" w:hAnsiTheme="minorHAnsi"/>
          <w:lang w:val="en-GB"/>
        </w:rPr>
        <w:t>Institute of Chemistry</w:t>
      </w:r>
    </w:p>
    <w:p w14:paraId="2E1E2CD6" w14:textId="77777777" w:rsidR="007947BF" w:rsidRPr="008463F3" w:rsidRDefault="007947BF" w:rsidP="007947BF">
      <w:pPr>
        <w:jc w:val="both"/>
        <w:rPr>
          <w:lang w:val="en-GB"/>
        </w:rPr>
      </w:pPr>
      <w:r w:rsidRPr="008463F3">
        <w:rPr>
          <w:lang w:val="en-GB"/>
        </w:rPr>
        <w:t xml:space="preserve">The Institute of Chemistry is conducting analytical chemistry applications in natural products, food and environmental chemistry. The key research capital equipment include </w:t>
      </w:r>
      <w:r>
        <w:rPr>
          <w:lang w:val="en-GB"/>
        </w:rPr>
        <w:t>g</w:t>
      </w:r>
      <w:r w:rsidRPr="008463F3">
        <w:rPr>
          <w:lang w:val="en-GB"/>
        </w:rPr>
        <w:t xml:space="preserve">as chromatography (GC/FID/ECD; </w:t>
      </w:r>
      <w:proofErr w:type="spellStart"/>
      <w:r w:rsidRPr="008463F3">
        <w:rPr>
          <w:lang w:val="en-GB"/>
        </w:rPr>
        <w:t>GCxGC</w:t>
      </w:r>
      <w:proofErr w:type="spellEnd"/>
      <w:r w:rsidRPr="008463F3">
        <w:rPr>
          <w:lang w:val="en-GB"/>
        </w:rPr>
        <w:t xml:space="preserve">/TOF-MS; GC/MS) and </w:t>
      </w:r>
      <w:r>
        <w:rPr>
          <w:lang w:val="en-GB"/>
        </w:rPr>
        <w:t>l</w:t>
      </w:r>
      <w:r w:rsidRPr="008463F3">
        <w:rPr>
          <w:lang w:val="en-GB"/>
        </w:rPr>
        <w:t>iquid chromatography (HPLC/DAD/MS). Both gas and liquid chromatography are complementary separation, identification and quantification techniques, the former being used for volatile compounds and the latter for all other soluble analytes and samples.</w:t>
      </w:r>
    </w:p>
    <w:p w14:paraId="56AAEB1A" w14:textId="77777777" w:rsidR="007947BF" w:rsidRPr="008463F3" w:rsidRDefault="007947BF" w:rsidP="007947BF">
      <w:pPr>
        <w:spacing w:after="0"/>
        <w:jc w:val="both"/>
        <w:rPr>
          <w:lang w:val="en-GB"/>
        </w:rPr>
      </w:pPr>
      <w:r w:rsidRPr="008463F3">
        <w:rPr>
          <w:lang w:val="en-GB"/>
        </w:rPr>
        <w:t xml:space="preserve">Services provided: Identification and quantification of specified organic compounds mainly from the European priority list of interest in various air, soil and water samples: </w:t>
      </w:r>
    </w:p>
    <w:p w14:paraId="760A2AB8" w14:textId="77777777" w:rsidR="007947BF" w:rsidRPr="008463F3" w:rsidRDefault="007947BF" w:rsidP="007947BF">
      <w:pPr>
        <w:pStyle w:val="ListParagraph"/>
        <w:numPr>
          <w:ilvl w:val="0"/>
          <w:numId w:val="26"/>
        </w:numPr>
        <w:jc w:val="both"/>
        <w:rPr>
          <w:lang w:val="en-GB"/>
        </w:rPr>
      </w:pPr>
      <w:r w:rsidRPr="008463F3">
        <w:rPr>
          <w:lang w:val="en-GB"/>
        </w:rPr>
        <w:t>Gas chromatographic separation with various detectors (mass spectrometer, flame ionization and electron capture detector) can be used for identification and quantification of: volatile and semi-volatile compounds in the environment, pharmaceutical products, food packaging, etc.; pesticides, persistent organic compounds and endocrine disruptors in environmental and food samples.</w:t>
      </w:r>
    </w:p>
    <w:p w14:paraId="7F15D2B8" w14:textId="77777777" w:rsidR="007947BF" w:rsidRPr="008463F3" w:rsidRDefault="007947BF" w:rsidP="007947BF">
      <w:pPr>
        <w:pStyle w:val="ListParagraph"/>
        <w:numPr>
          <w:ilvl w:val="0"/>
          <w:numId w:val="26"/>
        </w:numPr>
        <w:jc w:val="both"/>
        <w:rPr>
          <w:lang w:val="en-GB"/>
        </w:rPr>
      </w:pPr>
      <w:r w:rsidRPr="008463F3">
        <w:rPr>
          <w:lang w:val="en-GB"/>
        </w:rPr>
        <w:t>Liquid chromatographic separations using UV-Vis and mass spectrometric detectors can be used for identification and quantification of: phenolic components in food of plant origin, wines, medicinal plants, honey etc.; active compounds and impurities in pharmaceutical preparations; various pollutants, persistent organic compounds and endocrine disruptors in environmental samples; drugs, explosives and other compounds of interest in forensic samples, etc.</w:t>
      </w:r>
    </w:p>
    <w:p w14:paraId="0341E30B" w14:textId="77777777" w:rsidR="007947BF" w:rsidRPr="008463F3" w:rsidRDefault="007947BF" w:rsidP="007947BF">
      <w:pPr>
        <w:jc w:val="both"/>
        <w:rPr>
          <w:lang w:val="en-GB"/>
        </w:rPr>
      </w:pPr>
      <w:r w:rsidRPr="008463F3">
        <w:rPr>
          <w:lang w:val="en-GB"/>
        </w:rPr>
        <w:t>The infrastructure is mainly used by the researchers and educators from the Institute of Chemistry</w:t>
      </w:r>
      <w:r>
        <w:rPr>
          <w:lang w:val="en-GB"/>
        </w:rPr>
        <w:t>.</w:t>
      </w:r>
      <w:r w:rsidRPr="008463F3">
        <w:rPr>
          <w:lang w:val="en-GB"/>
        </w:rPr>
        <w:t xml:space="preserve"> The RI has not been used by external personnel.</w:t>
      </w:r>
    </w:p>
    <w:p w14:paraId="11AFDCC3" w14:textId="77777777" w:rsidR="007947BF" w:rsidRPr="008463F3" w:rsidRDefault="007947BF" w:rsidP="007947BF">
      <w:pPr>
        <w:jc w:val="both"/>
        <w:rPr>
          <w:lang w:val="en-GB"/>
        </w:rPr>
      </w:pPr>
      <w:r w:rsidRPr="008463F3">
        <w:rPr>
          <w:lang w:val="en-GB"/>
        </w:rPr>
        <w:t xml:space="preserve">Research equipment: The total purchase value of capital research equipment of the Institute is estimated at 466.000 euro. However, most of research equipment was procured more than 10 years ago. The total list of capital research equipment is listed in Appendix 1. </w:t>
      </w:r>
    </w:p>
    <w:p w14:paraId="22B4EE6D" w14:textId="77777777" w:rsidR="007947BF" w:rsidRPr="008463F3" w:rsidRDefault="007947BF" w:rsidP="007947BF">
      <w:pPr>
        <w:jc w:val="both"/>
        <w:rPr>
          <w:lang w:val="en-GB"/>
        </w:rPr>
      </w:pPr>
    </w:p>
    <w:p w14:paraId="122B7DF4" w14:textId="77777777" w:rsidR="007947BF" w:rsidRPr="008463F3" w:rsidRDefault="007947BF" w:rsidP="007947BF">
      <w:pPr>
        <w:pStyle w:val="Heading4"/>
        <w:spacing w:after="240"/>
        <w:rPr>
          <w:rFonts w:asciiTheme="minorHAnsi" w:hAnsiTheme="minorHAnsi"/>
          <w:lang w:val="en-GB"/>
        </w:rPr>
      </w:pPr>
      <w:r w:rsidRPr="008463F3">
        <w:rPr>
          <w:rFonts w:asciiTheme="minorHAnsi" w:hAnsiTheme="minorHAnsi"/>
          <w:lang w:val="en-GB"/>
        </w:rPr>
        <w:t>Faculty of Medicine</w:t>
      </w:r>
    </w:p>
    <w:p w14:paraId="298BAF84" w14:textId="77777777" w:rsidR="007947BF" w:rsidRPr="008463F3" w:rsidRDefault="007947BF" w:rsidP="007947BF">
      <w:pPr>
        <w:pStyle w:val="Heading5"/>
        <w:spacing w:after="240"/>
        <w:rPr>
          <w:rFonts w:asciiTheme="minorHAnsi" w:hAnsiTheme="minorHAnsi"/>
          <w:lang w:val="en-GB"/>
        </w:rPr>
      </w:pPr>
      <w:r w:rsidRPr="008463F3">
        <w:rPr>
          <w:rFonts w:asciiTheme="minorHAnsi" w:hAnsiTheme="minorHAnsi"/>
          <w:lang w:val="en-GB"/>
        </w:rPr>
        <w:t>Institute for Immunobiology and Human Genetics</w:t>
      </w:r>
    </w:p>
    <w:p w14:paraId="6ED9256E" w14:textId="77777777" w:rsidR="007947BF" w:rsidRPr="008463F3" w:rsidRDefault="007947BF" w:rsidP="007947BF">
      <w:pPr>
        <w:jc w:val="both"/>
        <w:rPr>
          <w:lang w:val="en-GB"/>
        </w:rPr>
      </w:pPr>
      <w:r w:rsidRPr="008463F3">
        <w:rPr>
          <w:lang w:val="en-GB"/>
        </w:rPr>
        <w:t xml:space="preserve">The Institute for Immunobiology and Human Genetics is engaged in basic and clinical research in immunology, genetics and immunogenetics. </w:t>
      </w:r>
      <w:r>
        <w:rPr>
          <w:lang w:val="en-GB"/>
        </w:rPr>
        <w:t>It is</w:t>
      </w:r>
      <w:r w:rsidRPr="008463F3">
        <w:rPr>
          <w:lang w:val="en-GB"/>
        </w:rPr>
        <w:t xml:space="preserve"> involved in population genetics studies and research regarding transplantation of solid organs and hematopoietic stem cells. </w:t>
      </w:r>
    </w:p>
    <w:p w14:paraId="1B7DDBEF" w14:textId="77777777" w:rsidR="007947BF" w:rsidRPr="008463F3" w:rsidRDefault="007947BF" w:rsidP="007947BF">
      <w:pPr>
        <w:jc w:val="both"/>
        <w:rPr>
          <w:lang w:val="en-GB"/>
        </w:rPr>
      </w:pPr>
      <w:r w:rsidRPr="008463F3">
        <w:rPr>
          <w:lang w:val="en-GB"/>
        </w:rPr>
        <w:t>Services provided: The Institute is conducting the following research activities: molecular techniques, starting with DNA and RNA automated isolation and storage, PCR and RT-PCR amplification, hybridi</w:t>
      </w:r>
      <w:r>
        <w:rPr>
          <w:lang w:val="en-GB"/>
        </w:rPr>
        <w:t>s</w:t>
      </w:r>
      <w:r w:rsidRPr="008463F3">
        <w:rPr>
          <w:lang w:val="en-GB"/>
        </w:rPr>
        <w:t xml:space="preserve">ation, DNA sequencing using capillary electrophoresis and DNA sequencing using NGS technology. </w:t>
      </w:r>
      <w:r>
        <w:rPr>
          <w:lang w:val="en-GB"/>
        </w:rPr>
        <w:t>It</w:t>
      </w:r>
      <w:r w:rsidRPr="008463F3">
        <w:rPr>
          <w:lang w:val="en-GB"/>
        </w:rPr>
        <w:t xml:space="preserve"> also use</w:t>
      </w:r>
      <w:r>
        <w:rPr>
          <w:lang w:val="en-GB"/>
        </w:rPr>
        <w:t>s</w:t>
      </w:r>
      <w:r w:rsidRPr="008463F3">
        <w:rPr>
          <w:lang w:val="en-GB"/>
        </w:rPr>
        <w:t xml:space="preserve"> several automated analy</w:t>
      </w:r>
      <w:r>
        <w:rPr>
          <w:lang w:val="en-GB"/>
        </w:rPr>
        <w:t>s</w:t>
      </w:r>
      <w:r w:rsidRPr="008463F3">
        <w:rPr>
          <w:lang w:val="en-GB"/>
        </w:rPr>
        <w:t>ers for quantitative measurement of specific proteins, such as nephelometry, FLASH CLIA, FEIA and classic ELISA.</w:t>
      </w:r>
    </w:p>
    <w:p w14:paraId="466B13C0" w14:textId="77777777" w:rsidR="007947BF" w:rsidRPr="008463F3" w:rsidRDefault="007947BF" w:rsidP="007947BF">
      <w:pPr>
        <w:jc w:val="both"/>
        <w:rPr>
          <w:lang w:val="en-GB"/>
        </w:rPr>
      </w:pPr>
      <w:r w:rsidRPr="008463F3">
        <w:rPr>
          <w:lang w:val="en-GB"/>
        </w:rPr>
        <w:t>Research equipment: The Institute has single capital research equipment worth over 50.000 euro. The total value of capital research equipment of the Institute is estimated at 200.000 euro (purchase valued was 500.000 euro). Further development of genetic research and introduction of cell cultures is planned for the next 2-3 years. The single capital research equipment is listed in Appendix 1.</w:t>
      </w:r>
    </w:p>
    <w:p w14:paraId="14E181DF" w14:textId="77777777" w:rsidR="007947BF" w:rsidRPr="008463F3" w:rsidRDefault="007947BF" w:rsidP="007947BF">
      <w:pPr>
        <w:pStyle w:val="Heading5"/>
        <w:spacing w:after="240"/>
        <w:rPr>
          <w:rFonts w:asciiTheme="minorHAnsi" w:hAnsiTheme="minorHAnsi"/>
          <w:lang w:val="en-GB"/>
        </w:rPr>
      </w:pPr>
      <w:r w:rsidRPr="008463F3">
        <w:rPr>
          <w:rFonts w:asciiTheme="minorHAnsi" w:hAnsiTheme="minorHAnsi"/>
          <w:lang w:val="en-GB"/>
        </w:rPr>
        <w:t>Institute of Pathology</w:t>
      </w:r>
    </w:p>
    <w:p w14:paraId="2A4008AD" w14:textId="77777777" w:rsidR="007947BF" w:rsidRPr="008463F3" w:rsidRDefault="007947BF" w:rsidP="007947BF">
      <w:pPr>
        <w:jc w:val="both"/>
        <w:rPr>
          <w:lang w:val="en-GB"/>
        </w:rPr>
      </w:pPr>
      <w:r w:rsidRPr="008463F3">
        <w:rPr>
          <w:lang w:val="en-GB"/>
        </w:rPr>
        <w:t>The Institute of Pathology offers speciali</w:t>
      </w:r>
      <w:r>
        <w:rPr>
          <w:lang w:val="en-GB"/>
        </w:rPr>
        <w:t>s</w:t>
      </w:r>
      <w:r w:rsidRPr="008463F3">
        <w:rPr>
          <w:lang w:val="en-GB"/>
        </w:rPr>
        <w:t xml:space="preserve">ed equipment for conducting basic research in the field of clinical pathology. </w:t>
      </w:r>
      <w:r>
        <w:rPr>
          <w:lang w:val="en-GB"/>
        </w:rPr>
        <w:t>Its</w:t>
      </w:r>
      <w:r w:rsidRPr="008463F3">
        <w:rPr>
          <w:lang w:val="en-GB"/>
        </w:rPr>
        <w:t xml:space="preserve"> partners and customers include universities, hospitals, public health institutions and pharmaceutical companies. The Institute facilities include 6 fully automated </w:t>
      </w:r>
      <w:r>
        <w:rPr>
          <w:lang w:val="en-GB"/>
        </w:rPr>
        <w:t xml:space="preserve">and </w:t>
      </w:r>
      <w:r w:rsidRPr="008463F3">
        <w:rPr>
          <w:lang w:val="en-GB"/>
        </w:rPr>
        <w:t xml:space="preserve">equipped laboratories </w:t>
      </w:r>
      <w:r>
        <w:rPr>
          <w:lang w:val="en-GB"/>
        </w:rPr>
        <w:t>used</w:t>
      </w:r>
      <w:r w:rsidRPr="008463F3">
        <w:rPr>
          <w:lang w:val="en-GB"/>
        </w:rPr>
        <w:t xml:space="preserve"> for clinical utility </w:t>
      </w:r>
      <w:r>
        <w:rPr>
          <w:lang w:val="en-GB"/>
        </w:rPr>
        <w:t>and</w:t>
      </w:r>
      <w:r w:rsidRPr="008463F3">
        <w:rPr>
          <w:lang w:val="en-GB"/>
        </w:rPr>
        <w:t xml:space="preserve"> basic and clinical scientific research purposes.</w:t>
      </w:r>
    </w:p>
    <w:p w14:paraId="7599A551" w14:textId="77777777" w:rsidR="007947BF" w:rsidRPr="008463F3" w:rsidRDefault="007947BF" w:rsidP="007947BF">
      <w:pPr>
        <w:jc w:val="both"/>
        <w:rPr>
          <w:lang w:val="en-GB"/>
        </w:rPr>
      </w:pPr>
      <w:r w:rsidRPr="008463F3">
        <w:rPr>
          <w:lang w:val="en-GB"/>
        </w:rPr>
        <w:t xml:space="preserve">Services offered: The Institute has been established in 1947 and keeps large amount of archival material - paraffin blocks and </w:t>
      </w:r>
      <w:proofErr w:type="spellStart"/>
      <w:r w:rsidRPr="008463F3">
        <w:rPr>
          <w:lang w:val="en-GB"/>
        </w:rPr>
        <w:t>histoslides</w:t>
      </w:r>
      <w:proofErr w:type="spellEnd"/>
      <w:r w:rsidRPr="008463F3">
        <w:rPr>
          <w:lang w:val="en-GB"/>
        </w:rPr>
        <w:t xml:space="preserve"> from that period.</w:t>
      </w:r>
      <w:r>
        <w:rPr>
          <w:lang w:val="en-GB"/>
        </w:rPr>
        <w:t xml:space="preserve"> F</w:t>
      </w:r>
      <w:r w:rsidRPr="008463F3">
        <w:rPr>
          <w:lang w:val="en-GB"/>
        </w:rPr>
        <w:t xml:space="preserve">or more than 20 years </w:t>
      </w:r>
      <w:r>
        <w:rPr>
          <w:lang w:val="en-GB"/>
        </w:rPr>
        <w:t>it has been hosting</w:t>
      </w:r>
      <w:r w:rsidRPr="008463F3">
        <w:rPr>
          <w:lang w:val="en-GB"/>
        </w:rPr>
        <w:t xml:space="preserve"> frozen section bank of tissues. All this material is </w:t>
      </w:r>
      <w:r>
        <w:rPr>
          <w:lang w:val="en-GB"/>
        </w:rPr>
        <w:t>available</w:t>
      </w:r>
      <w:r w:rsidRPr="008463F3">
        <w:rPr>
          <w:lang w:val="en-GB"/>
        </w:rPr>
        <w:t xml:space="preserve"> through the electronic database of pathological reports founded in 1990 and can be </w:t>
      </w:r>
      <w:r>
        <w:rPr>
          <w:lang w:val="en-GB"/>
        </w:rPr>
        <w:t>accessed</w:t>
      </w:r>
      <w:r w:rsidRPr="008463F3">
        <w:rPr>
          <w:lang w:val="en-GB"/>
        </w:rPr>
        <w:t xml:space="preserve"> with</w:t>
      </w:r>
      <w:r>
        <w:rPr>
          <w:lang w:val="en-GB"/>
        </w:rPr>
        <w:t xml:space="preserve"> a</w:t>
      </w:r>
      <w:r w:rsidRPr="008463F3">
        <w:rPr>
          <w:lang w:val="en-GB"/>
        </w:rPr>
        <w:t xml:space="preserve"> written consent from the Head of the Institute of Pathology. </w:t>
      </w:r>
    </w:p>
    <w:p w14:paraId="226817C7" w14:textId="77777777" w:rsidR="007947BF" w:rsidRPr="008463F3" w:rsidRDefault="007947BF" w:rsidP="007947BF">
      <w:pPr>
        <w:jc w:val="both"/>
        <w:rPr>
          <w:lang w:val="en-GB"/>
        </w:rPr>
      </w:pPr>
      <w:r w:rsidRPr="008463F3">
        <w:rPr>
          <w:lang w:val="en-GB"/>
        </w:rPr>
        <w:t>Research equipment: The Institute has single capital research equipment worth over 50.000 euro. The total value of capital research equipment of the Institute is estimated at 100.000 euro (purchase valued was 1</w:t>
      </w:r>
      <w:r>
        <w:rPr>
          <w:lang w:val="en-GB"/>
        </w:rPr>
        <w:t>.</w:t>
      </w:r>
      <w:r w:rsidRPr="008463F3">
        <w:rPr>
          <w:lang w:val="en-GB"/>
        </w:rPr>
        <w:t xml:space="preserve">2 mil euro). The future investments are related to renewal of the existing equipment with next generation technologies as well </w:t>
      </w:r>
      <w:r>
        <w:rPr>
          <w:lang w:val="en-GB"/>
        </w:rPr>
        <w:t xml:space="preserve">as </w:t>
      </w:r>
      <w:r w:rsidRPr="008463F3">
        <w:rPr>
          <w:lang w:val="en-GB"/>
        </w:rPr>
        <w:t>development of virtual microscopy and virtual 3D microscopy. The single capital research equipment is listed in Appendix 1.</w:t>
      </w:r>
    </w:p>
    <w:p w14:paraId="0E64F0CF" w14:textId="77777777" w:rsidR="007947BF" w:rsidRPr="008463F3" w:rsidRDefault="007947BF" w:rsidP="007947BF">
      <w:pPr>
        <w:pStyle w:val="Heading5"/>
        <w:spacing w:after="240"/>
        <w:rPr>
          <w:rFonts w:asciiTheme="minorHAnsi" w:hAnsiTheme="minorHAnsi"/>
          <w:lang w:val="en-GB"/>
        </w:rPr>
      </w:pPr>
      <w:r w:rsidRPr="008463F3">
        <w:rPr>
          <w:rFonts w:asciiTheme="minorHAnsi" w:hAnsiTheme="minorHAnsi"/>
          <w:lang w:val="en-GB"/>
        </w:rPr>
        <w:t>Institute of Microbiology and Parasitology</w:t>
      </w:r>
    </w:p>
    <w:p w14:paraId="5176DB90" w14:textId="77777777" w:rsidR="007947BF" w:rsidRPr="008463F3" w:rsidRDefault="007947BF" w:rsidP="007947BF">
      <w:pPr>
        <w:jc w:val="both"/>
        <w:rPr>
          <w:lang w:val="en-GB"/>
        </w:rPr>
      </w:pPr>
      <w:r w:rsidRPr="008463F3">
        <w:rPr>
          <w:lang w:val="en-GB"/>
        </w:rPr>
        <w:t>The Institute of Microbiology and Parasitology is mainly engaged in microbiological analysis of: upper and lower respiratory tract samples and adjacent locali</w:t>
      </w:r>
      <w:r>
        <w:rPr>
          <w:lang w:val="en-GB"/>
        </w:rPr>
        <w:t>s</w:t>
      </w:r>
      <w:r w:rsidRPr="008463F3">
        <w:rPr>
          <w:lang w:val="en-GB"/>
        </w:rPr>
        <w:t xml:space="preserve">ations; analysis of genital tract, urine, samples of intestinal parasites, blood culture, aerobic and anaerobic culture with automated </w:t>
      </w:r>
      <w:proofErr w:type="spellStart"/>
      <w:r w:rsidRPr="008463F3">
        <w:rPr>
          <w:lang w:val="en-GB"/>
        </w:rPr>
        <w:t>Bact</w:t>
      </w:r>
      <w:proofErr w:type="spellEnd"/>
      <w:r w:rsidRPr="008463F3">
        <w:rPr>
          <w:lang w:val="en-GB"/>
        </w:rPr>
        <w:t>/Alert system, faecal samples for bacterial pathogens; samples from skin, wounds, abscesses, tissues, biopsies, etc. The Institute cooperat</w:t>
      </w:r>
      <w:r>
        <w:rPr>
          <w:lang w:val="en-GB"/>
        </w:rPr>
        <w:t>es</w:t>
      </w:r>
      <w:r w:rsidRPr="008463F3">
        <w:rPr>
          <w:lang w:val="en-GB"/>
        </w:rPr>
        <w:t xml:space="preserve"> with many microbiological laboratories </w:t>
      </w:r>
      <w:r>
        <w:rPr>
          <w:lang w:val="en-GB"/>
        </w:rPr>
        <w:t>in North Macedonia</w:t>
      </w:r>
      <w:r w:rsidRPr="008463F3">
        <w:rPr>
          <w:lang w:val="en-GB"/>
        </w:rPr>
        <w:t xml:space="preserve"> and the region.</w:t>
      </w:r>
      <w:r>
        <w:rPr>
          <w:lang w:val="en-GB"/>
        </w:rPr>
        <w:t xml:space="preserve"> It </w:t>
      </w:r>
      <w:r w:rsidRPr="008463F3">
        <w:rPr>
          <w:lang w:val="en-GB"/>
        </w:rPr>
        <w:t>plan</w:t>
      </w:r>
      <w:r>
        <w:rPr>
          <w:lang w:val="en-GB"/>
        </w:rPr>
        <w:t>s</w:t>
      </w:r>
      <w:r w:rsidRPr="008463F3">
        <w:rPr>
          <w:lang w:val="en-GB"/>
        </w:rPr>
        <w:t xml:space="preserve"> to achieve higher level of cooperation with accessible and proven laboratories from abroad.</w:t>
      </w:r>
    </w:p>
    <w:p w14:paraId="57D1FD27" w14:textId="77777777" w:rsidR="007947BF" w:rsidRPr="008463F3" w:rsidRDefault="007947BF" w:rsidP="007947BF">
      <w:pPr>
        <w:jc w:val="both"/>
        <w:rPr>
          <w:lang w:val="en-GB"/>
        </w:rPr>
      </w:pPr>
      <w:r w:rsidRPr="008463F3">
        <w:rPr>
          <w:lang w:val="en-GB"/>
        </w:rPr>
        <w:t xml:space="preserve">Services offered: The </w:t>
      </w:r>
      <w:r>
        <w:rPr>
          <w:lang w:val="en-GB"/>
        </w:rPr>
        <w:t>actual</w:t>
      </w:r>
      <w:r w:rsidRPr="008463F3">
        <w:rPr>
          <w:lang w:val="en-GB"/>
        </w:rPr>
        <w:t xml:space="preserve"> opportunities for developing scientific research </w:t>
      </w:r>
      <w:r>
        <w:rPr>
          <w:lang w:val="en-GB"/>
        </w:rPr>
        <w:t>at</w:t>
      </w:r>
      <w:r w:rsidRPr="008463F3">
        <w:rPr>
          <w:lang w:val="en-GB"/>
        </w:rPr>
        <w:t xml:space="preserve"> the Institute are limited</w:t>
      </w:r>
      <w:r>
        <w:rPr>
          <w:lang w:val="en-GB"/>
        </w:rPr>
        <w:t xml:space="preserve"> </w:t>
      </w:r>
      <w:r w:rsidRPr="008463F3">
        <w:rPr>
          <w:lang w:val="en-GB"/>
        </w:rPr>
        <w:t xml:space="preserve">at the moment. </w:t>
      </w:r>
      <w:r>
        <w:rPr>
          <w:lang w:val="en-GB"/>
        </w:rPr>
        <w:t>It</w:t>
      </w:r>
      <w:r w:rsidRPr="008463F3">
        <w:rPr>
          <w:lang w:val="en-GB"/>
        </w:rPr>
        <w:t xml:space="preserve"> provide</w:t>
      </w:r>
      <w:r>
        <w:rPr>
          <w:lang w:val="en-GB"/>
        </w:rPr>
        <w:t>s</w:t>
      </w:r>
      <w:r w:rsidRPr="008463F3">
        <w:rPr>
          <w:lang w:val="en-GB"/>
        </w:rPr>
        <w:t xml:space="preserve"> laboratory space, some equipment, appropriate reagents, but</w:t>
      </w:r>
      <w:r>
        <w:rPr>
          <w:lang w:val="en-GB"/>
        </w:rPr>
        <w:t xml:space="preserve"> of rather small-scale</w:t>
      </w:r>
      <w:r w:rsidRPr="008463F3">
        <w:rPr>
          <w:lang w:val="en-GB"/>
        </w:rPr>
        <w:t xml:space="preserve">. The Institute is working on expanding the space for molecular research aiming to </w:t>
      </w:r>
      <w:r>
        <w:rPr>
          <w:lang w:val="en-GB"/>
        </w:rPr>
        <w:t>be</w:t>
      </w:r>
      <w:r w:rsidRPr="008463F3">
        <w:rPr>
          <w:lang w:val="en-GB"/>
        </w:rPr>
        <w:t xml:space="preserve"> much more </w:t>
      </w:r>
      <w:r>
        <w:rPr>
          <w:lang w:val="en-GB"/>
        </w:rPr>
        <w:t xml:space="preserve">engaged </w:t>
      </w:r>
      <w:r w:rsidRPr="008463F3">
        <w:rPr>
          <w:lang w:val="en-GB"/>
        </w:rPr>
        <w:t>for scientific purposes</w:t>
      </w:r>
      <w:r>
        <w:rPr>
          <w:lang w:val="en-GB"/>
        </w:rPr>
        <w:t xml:space="preserve"> in future</w:t>
      </w:r>
      <w:r w:rsidRPr="008463F3">
        <w:rPr>
          <w:lang w:val="en-GB"/>
        </w:rPr>
        <w:t>.</w:t>
      </w:r>
    </w:p>
    <w:p w14:paraId="2DE992D7" w14:textId="77777777" w:rsidR="007947BF" w:rsidRPr="008463F3" w:rsidRDefault="007947BF" w:rsidP="007947BF">
      <w:pPr>
        <w:jc w:val="both"/>
        <w:rPr>
          <w:lang w:val="en-GB"/>
        </w:rPr>
      </w:pPr>
      <w:r w:rsidRPr="008463F3">
        <w:rPr>
          <w:lang w:val="en-GB"/>
        </w:rPr>
        <w:t xml:space="preserve">Research equipment: The Institute does not have single capital research equipment worth over 50.000 euro. </w:t>
      </w:r>
      <w:r>
        <w:rPr>
          <w:lang w:val="en-GB"/>
        </w:rPr>
        <w:t>It</w:t>
      </w:r>
      <w:r w:rsidRPr="008463F3">
        <w:rPr>
          <w:lang w:val="en-GB"/>
        </w:rPr>
        <w:t xml:space="preserve"> own</w:t>
      </w:r>
      <w:r>
        <w:rPr>
          <w:lang w:val="en-GB"/>
        </w:rPr>
        <w:t>s</w:t>
      </w:r>
      <w:r w:rsidRPr="008463F3">
        <w:rPr>
          <w:lang w:val="en-GB"/>
        </w:rPr>
        <w:t xml:space="preserve"> </w:t>
      </w:r>
      <w:r>
        <w:rPr>
          <w:lang w:val="en-GB"/>
        </w:rPr>
        <w:t>standard</w:t>
      </w:r>
      <w:r w:rsidRPr="008463F3">
        <w:rPr>
          <w:lang w:val="en-GB"/>
        </w:rPr>
        <w:t xml:space="preserve"> research equipment and instrumentation of small value.</w:t>
      </w:r>
    </w:p>
    <w:p w14:paraId="74B31B7E" w14:textId="77777777" w:rsidR="007947BF" w:rsidRPr="008463F3" w:rsidRDefault="007947BF" w:rsidP="007947BF">
      <w:pPr>
        <w:pStyle w:val="Heading5"/>
        <w:spacing w:after="240"/>
        <w:rPr>
          <w:rFonts w:asciiTheme="minorHAnsi" w:hAnsiTheme="minorHAnsi"/>
          <w:lang w:val="en-GB"/>
        </w:rPr>
      </w:pPr>
      <w:r w:rsidRPr="008463F3">
        <w:rPr>
          <w:rFonts w:asciiTheme="minorHAnsi" w:hAnsiTheme="minorHAnsi"/>
          <w:lang w:val="en-GB"/>
        </w:rPr>
        <w:t>Institute of Medical and Experimental Biochemistry</w:t>
      </w:r>
    </w:p>
    <w:p w14:paraId="1632A55D" w14:textId="77777777" w:rsidR="007947BF" w:rsidRPr="008463F3" w:rsidRDefault="007947BF" w:rsidP="007947BF">
      <w:pPr>
        <w:jc w:val="both"/>
        <w:rPr>
          <w:lang w:val="en-GB"/>
        </w:rPr>
      </w:pPr>
      <w:r w:rsidRPr="007A20CA">
        <w:rPr>
          <w:lang w:val="en-GB"/>
        </w:rPr>
        <w:t>The Institute offers</w:t>
      </w:r>
      <w:r w:rsidRPr="008463F3">
        <w:rPr>
          <w:lang w:val="en-GB"/>
        </w:rPr>
        <w:t xml:space="preserve"> speciali</w:t>
      </w:r>
      <w:r>
        <w:rPr>
          <w:lang w:val="en-GB"/>
        </w:rPr>
        <w:t>s</w:t>
      </w:r>
      <w:r w:rsidRPr="008463F3">
        <w:rPr>
          <w:lang w:val="en-GB"/>
        </w:rPr>
        <w:t>ed equipment for conducting life science research and clinical research studies. It is continually included in several program</w:t>
      </w:r>
      <w:r>
        <w:rPr>
          <w:lang w:val="en-GB"/>
        </w:rPr>
        <w:t>me</w:t>
      </w:r>
      <w:r w:rsidRPr="008463F3">
        <w:rPr>
          <w:lang w:val="en-GB"/>
        </w:rPr>
        <w:t>s for External Quality Assessment Schemes (EQAS), which provide an independent and confidential external assessment of laboratory performance. It is the first public health institution in North Macedonia included in the EQAS for virus immunology- SARS-CoV-2 antibodies. A certificate was obtained in November 2020.</w:t>
      </w:r>
    </w:p>
    <w:p w14:paraId="2FFEAC8A" w14:textId="77777777" w:rsidR="007947BF" w:rsidRPr="008463F3" w:rsidRDefault="007947BF" w:rsidP="007947BF">
      <w:pPr>
        <w:jc w:val="both"/>
        <w:rPr>
          <w:lang w:val="en-GB"/>
        </w:rPr>
      </w:pPr>
      <w:r w:rsidRPr="008463F3">
        <w:rPr>
          <w:lang w:val="en-GB"/>
        </w:rPr>
        <w:t>Research equipment: The Institute does not have single capital research equipment worth over 50.000 euro. However, it is equipped with fully automated biochemical and immunological analy</w:t>
      </w:r>
      <w:r>
        <w:rPr>
          <w:lang w:val="en-GB"/>
        </w:rPr>
        <w:t>s</w:t>
      </w:r>
      <w:r w:rsidRPr="008463F3">
        <w:rPr>
          <w:lang w:val="en-GB"/>
        </w:rPr>
        <w:t>ers which provide laboratory service, not only for clinical utility, but for basic and clinical scientific research purposes: analy</w:t>
      </w:r>
      <w:r>
        <w:rPr>
          <w:lang w:val="en-GB"/>
        </w:rPr>
        <w:t>s</w:t>
      </w:r>
      <w:r w:rsidRPr="008463F3">
        <w:rPr>
          <w:lang w:val="en-GB"/>
        </w:rPr>
        <w:t>ers based on photometry; biochemical analy</w:t>
      </w:r>
      <w:r>
        <w:rPr>
          <w:lang w:val="en-GB"/>
        </w:rPr>
        <w:t>s</w:t>
      </w:r>
      <w:r w:rsidRPr="008463F3">
        <w:rPr>
          <w:lang w:val="en-GB"/>
        </w:rPr>
        <w:t>ers based on ELISA technique1; immunological analy</w:t>
      </w:r>
      <w:r>
        <w:rPr>
          <w:lang w:val="en-GB"/>
        </w:rPr>
        <w:t>s</w:t>
      </w:r>
      <w:r w:rsidRPr="008463F3">
        <w:rPr>
          <w:lang w:val="en-GB"/>
        </w:rPr>
        <w:t>ers based on CLIA and ELFA technique</w:t>
      </w:r>
      <w:r>
        <w:rPr>
          <w:lang w:val="en-GB"/>
        </w:rPr>
        <w:t>s</w:t>
      </w:r>
      <w:r w:rsidRPr="008463F3">
        <w:rPr>
          <w:lang w:val="en-GB"/>
        </w:rPr>
        <w:t>; haematological analyser; electrolyte analy</w:t>
      </w:r>
      <w:r>
        <w:rPr>
          <w:lang w:val="en-GB"/>
        </w:rPr>
        <w:t>s</w:t>
      </w:r>
      <w:r w:rsidRPr="008463F3">
        <w:rPr>
          <w:lang w:val="en-GB"/>
        </w:rPr>
        <w:t>er based on ISE technique; horizontal system for electrophoresis for separation of serum and urine proteins; system for vertical electrophoresis for separation of serum proteins and urine analyses (microscopic and macroscopic).</w:t>
      </w:r>
    </w:p>
    <w:p w14:paraId="582DF61C" w14:textId="77777777" w:rsidR="007947BF" w:rsidRPr="008463F3" w:rsidRDefault="007947BF" w:rsidP="007947BF">
      <w:pPr>
        <w:pStyle w:val="Heading5"/>
        <w:spacing w:after="240"/>
        <w:rPr>
          <w:rFonts w:asciiTheme="minorHAnsi" w:hAnsiTheme="minorHAnsi"/>
          <w:lang w:val="en-GB"/>
        </w:rPr>
      </w:pPr>
      <w:r w:rsidRPr="008463F3">
        <w:rPr>
          <w:rFonts w:asciiTheme="minorHAnsi" w:hAnsiTheme="minorHAnsi"/>
          <w:lang w:val="en-GB"/>
        </w:rPr>
        <w:t>Institute of forensic medicine, criminalistics and medical deontology</w:t>
      </w:r>
    </w:p>
    <w:p w14:paraId="7647710D" w14:textId="77777777" w:rsidR="007947BF" w:rsidRPr="008463F3" w:rsidRDefault="007947BF" w:rsidP="007947BF">
      <w:pPr>
        <w:spacing w:after="0"/>
        <w:jc w:val="both"/>
        <w:rPr>
          <w:lang w:val="en-GB"/>
        </w:rPr>
      </w:pPr>
      <w:r>
        <w:rPr>
          <w:lang w:val="en-GB"/>
        </w:rPr>
        <w:t>As part of</w:t>
      </w:r>
      <w:r w:rsidRPr="008463F3">
        <w:rPr>
          <w:lang w:val="en-GB"/>
        </w:rPr>
        <w:t xml:space="preserve"> the Institute of forensic medicine, criminalistics and medical deontology, three Laboratories have been identified as relevant </w:t>
      </w:r>
      <w:r>
        <w:rPr>
          <w:lang w:val="en-GB"/>
        </w:rPr>
        <w:t>for</w:t>
      </w:r>
      <w:r w:rsidRPr="008463F3">
        <w:rPr>
          <w:lang w:val="en-GB"/>
        </w:rPr>
        <w:t xml:space="preserve"> research infrastructures: </w:t>
      </w:r>
      <w:r>
        <w:rPr>
          <w:lang w:val="en-GB"/>
        </w:rPr>
        <w:t>F</w:t>
      </w:r>
      <w:r w:rsidRPr="008463F3">
        <w:rPr>
          <w:lang w:val="en-GB"/>
        </w:rPr>
        <w:t xml:space="preserve">orensic </w:t>
      </w:r>
      <w:r>
        <w:rPr>
          <w:lang w:val="en-GB"/>
        </w:rPr>
        <w:t>T</w:t>
      </w:r>
      <w:r w:rsidRPr="008463F3">
        <w:rPr>
          <w:lang w:val="en-GB"/>
        </w:rPr>
        <w:t xml:space="preserve">oxicology </w:t>
      </w:r>
      <w:r>
        <w:rPr>
          <w:lang w:val="en-GB"/>
        </w:rPr>
        <w:t>L</w:t>
      </w:r>
      <w:r w:rsidRPr="008463F3">
        <w:rPr>
          <w:lang w:val="en-GB"/>
        </w:rPr>
        <w:t xml:space="preserve">aboratory, Genetic Laboratory and Laboratory for </w:t>
      </w:r>
      <w:proofErr w:type="spellStart"/>
      <w:r w:rsidRPr="008463F3">
        <w:rPr>
          <w:lang w:val="en-GB"/>
        </w:rPr>
        <w:t>Patohistology</w:t>
      </w:r>
      <w:proofErr w:type="spellEnd"/>
      <w:r w:rsidRPr="008463F3">
        <w:rPr>
          <w:lang w:val="en-GB"/>
        </w:rPr>
        <w:t>.</w:t>
      </w:r>
    </w:p>
    <w:p w14:paraId="2DC8FA9B" w14:textId="77777777" w:rsidR="007947BF" w:rsidRPr="008463F3" w:rsidRDefault="007947BF" w:rsidP="007947BF">
      <w:pPr>
        <w:pStyle w:val="ListParagraph"/>
        <w:numPr>
          <w:ilvl w:val="0"/>
          <w:numId w:val="31"/>
        </w:numPr>
        <w:jc w:val="both"/>
        <w:rPr>
          <w:lang w:val="en-GB"/>
        </w:rPr>
      </w:pPr>
      <w:r w:rsidRPr="008463F3">
        <w:rPr>
          <w:lang w:val="en-GB"/>
        </w:rPr>
        <w:t xml:space="preserve">The Forensic </w:t>
      </w:r>
      <w:r>
        <w:rPr>
          <w:lang w:val="en-GB"/>
        </w:rPr>
        <w:t>T</w:t>
      </w:r>
      <w:r w:rsidRPr="008463F3">
        <w:rPr>
          <w:lang w:val="en-GB"/>
        </w:rPr>
        <w:t xml:space="preserve">oxicology </w:t>
      </w:r>
      <w:r>
        <w:rPr>
          <w:lang w:val="en-GB"/>
        </w:rPr>
        <w:t>L</w:t>
      </w:r>
      <w:r w:rsidRPr="008463F3">
        <w:rPr>
          <w:lang w:val="en-GB"/>
        </w:rPr>
        <w:t xml:space="preserve">aboratory is conducting toxicological analyses. It has two screening instruments and 5 chromatographs. The main objective of the laboratory is to use validated methods for all applicative work as well as </w:t>
      </w:r>
      <w:r>
        <w:rPr>
          <w:lang w:val="en-GB"/>
        </w:rPr>
        <w:t>for</w:t>
      </w:r>
      <w:r w:rsidRPr="008463F3">
        <w:rPr>
          <w:lang w:val="en-GB"/>
        </w:rPr>
        <w:t xml:space="preserve"> development of new analytical methods for applicative and scientific purposes.</w:t>
      </w:r>
    </w:p>
    <w:p w14:paraId="1242E1F4" w14:textId="77777777" w:rsidR="007947BF" w:rsidRPr="008463F3" w:rsidRDefault="007947BF" w:rsidP="007947BF">
      <w:pPr>
        <w:pStyle w:val="ListParagraph"/>
        <w:numPr>
          <w:ilvl w:val="0"/>
          <w:numId w:val="31"/>
        </w:numPr>
        <w:jc w:val="both"/>
        <w:rPr>
          <w:lang w:val="en-GB"/>
        </w:rPr>
      </w:pPr>
      <w:r w:rsidRPr="008463F3">
        <w:rPr>
          <w:lang w:val="en-GB"/>
        </w:rPr>
        <w:t xml:space="preserve">Genetic Laboratory </w:t>
      </w:r>
      <w:r>
        <w:rPr>
          <w:lang w:val="en-GB"/>
        </w:rPr>
        <w:t>was</w:t>
      </w:r>
      <w:r w:rsidRPr="008463F3">
        <w:rPr>
          <w:lang w:val="en-GB"/>
        </w:rPr>
        <w:t xml:space="preserve"> established in 2004. Its main activities include DNA typing from forensic cases (identifications, rape cases, homicides</w:t>
      </w:r>
      <w:r>
        <w:rPr>
          <w:lang w:val="en-GB"/>
        </w:rPr>
        <w:t>,</w:t>
      </w:r>
      <w:r w:rsidRPr="008463F3">
        <w:rPr>
          <w:lang w:val="en-GB"/>
        </w:rPr>
        <w:t xml:space="preserve"> etc</w:t>
      </w:r>
      <w:r>
        <w:rPr>
          <w:lang w:val="en-GB"/>
        </w:rPr>
        <w:t>.</w:t>
      </w:r>
      <w:r w:rsidRPr="008463F3">
        <w:rPr>
          <w:lang w:val="en-GB"/>
        </w:rPr>
        <w:t>), kinship testing, and molecular detection of SARS-CoV-2. Research activities covered by the laboratory include various types of population genetic studies (STR and mitochondrial DNA markers), gene expression analyses and differential tissue and body fluids methylation detection.</w:t>
      </w:r>
    </w:p>
    <w:p w14:paraId="2AE318B8" w14:textId="77777777" w:rsidR="007947BF" w:rsidRPr="008463F3" w:rsidRDefault="007947BF" w:rsidP="007947BF">
      <w:pPr>
        <w:pStyle w:val="ListParagraph"/>
        <w:numPr>
          <w:ilvl w:val="0"/>
          <w:numId w:val="31"/>
        </w:numPr>
        <w:jc w:val="both"/>
        <w:rPr>
          <w:lang w:val="en-GB"/>
        </w:rPr>
      </w:pPr>
      <w:r w:rsidRPr="008463F3">
        <w:rPr>
          <w:lang w:val="en-GB"/>
        </w:rPr>
        <w:t xml:space="preserve">The Laboratory for </w:t>
      </w:r>
      <w:proofErr w:type="spellStart"/>
      <w:r w:rsidRPr="008463F3">
        <w:rPr>
          <w:lang w:val="en-GB"/>
        </w:rPr>
        <w:t>Patohistology</w:t>
      </w:r>
      <w:proofErr w:type="spellEnd"/>
      <w:r w:rsidRPr="008463F3">
        <w:rPr>
          <w:lang w:val="en-GB"/>
        </w:rPr>
        <w:t xml:space="preserve"> </w:t>
      </w:r>
      <w:r>
        <w:rPr>
          <w:lang w:val="en-GB"/>
        </w:rPr>
        <w:t>was</w:t>
      </w:r>
      <w:r w:rsidRPr="008463F3">
        <w:rPr>
          <w:lang w:val="en-GB"/>
        </w:rPr>
        <w:t xml:space="preserve"> established in 1980. Its main activities include </w:t>
      </w:r>
      <w:proofErr w:type="spellStart"/>
      <w:r w:rsidRPr="008463F3">
        <w:rPr>
          <w:lang w:val="en-GB"/>
        </w:rPr>
        <w:t>patohistological</w:t>
      </w:r>
      <w:proofErr w:type="spellEnd"/>
      <w:r w:rsidRPr="008463F3">
        <w:rPr>
          <w:lang w:val="en-GB"/>
        </w:rPr>
        <w:t xml:space="preserve"> analysis of human tissues.</w:t>
      </w:r>
    </w:p>
    <w:p w14:paraId="653824D5" w14:textId="77777777" w:rsidR="007947BF" w:rsidRPr="008463F3" w:rsidRDefault="007947BF" w:rsidP="007947BF">
      <w:pPr>
        <w:jc w:val="both"/>
        <w:rPr>
          <w:lang w:val="en-GB"/>
        </w:rPr>
      </w:pPr>
      <w:r w:rsidRPr="008463F3">
        <w:rPr>
          <w:lang w:val="en-GB"/>
        </w:rPr>
        <w:t xml:space="preserve">Research equipment: The Institute owns capital research equipment of high value. The total purchase value of research equipment exceeds 2 mil euros. </w:t>
      </w:r>
    </w:p>
    <w:p w14:paraId="35E9DEFD" w14:textId="77777777" w:rsidR="007947BF" w:rsidRPr="008463F3" w:rsidRDefault="007947BF" w:rsidP="007947BF">
      <w:pPr>
        <w:jc w:val="both"/>
        <w:rPr>
          <w:lang w:val="en-GB"/>
        </w:rPr>
      </w:pPr>
    </w:p>
    <w:p w14:paraId="681C610E" w14:textId="77777777" w:rsidR="007947BF" w:rsidRPr="008463F3" w:rsidRDefault="007947BF" w:rsidP="007947BF">
      <w:pPr>
        <w:pStyle w:val="Heading4"/>
        <w:spacing w:after="240"/>
        <w:rPr>
          <w:rFonts w:asciiTheme="minorHAnsi" w:hAnsiTheme="minorHAnsi"/>
          <w:lang w:val="en-GB"/>
        </w:rPr>
      </w:pPr>
      <w:r w:rsidRPr="008463F3">
        <w:rPr>
          <w:rFonts w:asciiTheme="minorHAnsi" w:hAnsiTheme="minorHAnsi"/>
          <w:lang w:val="en-GB"/>
        </w:rPr>
        <w:t>Faculty of Pharmacy</w:t>
      </w:r>
    </w:p>
    <w:p w14:paraId="23C44B6D" w14:textId="77777777" w:rsidR="007947BF" w:rsidRPr="008463F3" w:rsidRDefault="007947BF" w:rsidP="007947BF">
      <w:pPr>
        <w:pStyle w:val="Heading5"/>
        <w:spacing w:after="240"/>
        <w:rPr>
          <w:rFonts w:asciiTheme="minorHAnsi" w:hAnsiTheme="minorHAnsi"/>
          <w:lang w:val="en-GB"/>
        </w:rPr>
      </w:pPr>
      <w:r w:rsidRPr="008463F3">
        <w:rPr>
          <w:rFonts w:asciiTheme="minorHAnsi" w:hAnsiTheme="minorHAnsi"/>
          <w:lang w:val="en-GB"/>
        </w:rPr>
        <w:t>Centr</w:t>
      </w:r>
      <w:r>
        <w:rPr>
          <w:rFonts w:asciiTheme="minorHAnsi" w:hAnsiTheme="minorHAnsi"/>
          <w:lang w:val="en-GB"/>
        </w:rPr>
        <w:t>e</w:t>
      </w:r>
      <w:r w:rsidRPr="008463F3">
        <w:rPr>
          <w:rFonts w:asciiTheme="minorHAnsi" w:hAnsiTheme="minorHAnsi"/>
          <w:lang w:val="en-GB"/>
        </w:rPr>
        <w:t xml:space="preserve"> for Biomolecular </w:t>
      </w:r>
      <w:r>
        <w:rPr>
          <w:rFonts w:asciiTheme="minorHAnsi" w:hAnsiTheme="minorHAnsi"/>
          <w:lang w:val="en-GB"/>
        </w:rPr>
        <w:t>P</w:t>
      </w:r>
      <w:r w:rsidRPr="008463F3">
        <w:rPr>
          <w:rFonts w:asciiTheme="minorHAnsi" w:hAnsiTheme="minorHAnsi"/>
          <w:lang w:val="en-GB"/>
        </w:rPr>
        <w:t xml:space="preserve">harmaceutical </w:t>
      </w:r>
      <w:r>
        <w:rPr>
          <w:rFonts w:asciiTheme="minorHAnsi" w:hAnsiTheme="minorHAnsi"/>
          <w:lang w:val="en-GB"/>
        </w:rPr>
        <w:t>A</w:t>
      </w:r>
      <w:r w:rsidRPr="008463F3">
        <w:rPr>
          <w:rFonts w:asciiTheme="minorHAnsi" w:hAnsiTheme="minorHAnsi"/>
          <w:lang w:val="en-GB"/>
        </w:rPr>
        <w:t>nalyses</w:t>
      </w:r>
    </w:p>
    <w:p w14:paraId="3C8E594F" w14:textId="77777777" w:rsidR="007947BF" w:rsidRPr="008463F3" w:rsidRDefault="007947BF" w:rsidP="007947BF">
      <w:pPr>
        <w:jc w:val="both"/>
        <w:rPr>
          <w:lang w:val="en-GB"/>
        </w:rPr>
      </w:pPr>
      <w:r w:rsidRPr="008463F3">
        <w:rPr>
          <w:lang w:val="en-GB"/>
        </w:rPr>
        <w:t>The Centr</w:t>
      </w:r>
      <w:r>
        <w:rPr>
          <w:lang w:val="en-GB"/>
        </w:rPr>
        <w:t>e</w:t>
      </w:r>
      <w:r w:rsidRPr="008463F3">
        <w:rPr>
          <w:lang w:val="en-GB"/>
        </w:rPr>
        <w:t xml:space="preserve"> for Biomolecular Pharmaceutical Analy</w:t>
      </w:r>
      <w:r>
        <w:rPr>
          <w:lang w:val="en-GB"/>
        </w:rPr>
        <w:t>s</w:t>
      </w:r>
      <w:r w:rsidRPr="008463F3">
        <w:rPr>
          <w:lang w:val="en-GB"/>
        </w:rPr>
        <w:t>es performs basic, applied and developmental research of biomolecules which can be applied in modern therapy of the most common diseases. Th</w:t>
      </w:r>
      <w:r>
        <w:rPr>
          <w:lang w:val="en-GB"/>
        </w:rPr>
        <w:t>e</w:t>
      </w:r>
      <w:r w:rsidRPr="008463F3">
        <w:rPr>
          <w:lang w:val="en-GB"/>
        </w:rPr>
        <w:t xml:space="preserve"> Centr</w:t>
      </w:r>
      <w:r>
        <w:rPr>
          <w:lang w:val="en-GB"/>
        </w:rPr>
        <w:t>e</w:t>
      </w:r>
      <w:r w:rsidRPr="008463F3">
        <w:rPr>
          <w:lang w:val="en-GB"/>
        </w:rPr>
        <w:t xml:space="preserve"> </w:t>
      </w:r>
      <w:r>
        <w:rPr>
          <w:lang w:val="en-GB"/>
        </w:rPr>
        <w:t>was</w:t>
      </w:r>
      <w:r w:rsidRPr="008463F3">
        <w:rPr>
          <w:lang w:val="en-GB"/>
        </w:rPr>
        <w:t xml:space="preserve"> established in 2008. The Centr</w:t>
      </w:r>
      <w:r>
        <w:rPr>
          <w:lang w:val="en-GB"/>
        </w:rPr>
        <w:t>e</w:t>
      </w:r>
      <w:r w:rsidRPr="008463F3">
        <w:rPr>
          <w:lang w:val="en-GB"/>
        </w:rPr>
        <w:t xml:space="preserve"> consists of four laboratories. The laboratories are designed </w:t>
      </w:r>
      <w:r>
        <w:rPr>
          <w:lang w:val="en-GB"/>
        </w:rPr>
        <w:t xml:space="preserve">in </w:t>
      </w:r>
      <w:r w:rsidRPr="008463F3">
        <w:rPr>
          <w:lang w:val="en-GB"/>
        </w:rPr>
        <w:t>accord</w:t>
      </w:r>
      <w:r>
        <w:rPr>
          <w:lang w:val="en-GB"/>
        </w:rPr>
        <w:t>ance with</w:t>
      </w:r>
      <w:r w:rsidRPr="008463F3">
        <w:rPr>
          <w:lang w:val="en-GB"/>
        </w:rPr>
        <w:t xml:space="preserve"> the standards for molecular-diagnostic activity</w:t>
      </w:r>
      <w:r>
        <w:rPr>
          <w:lang w:val="en-GB"/>
        </w:rPr>
        <w:t>,</w:t>
      </w:r>
      <w:r w:rsidRPr="008463F3">
        <w:rPr>
          <w:lang w:val="en-GB"/>
        </w:rPr>
        <w:t xml:space="preserve"> compris</w:t>
      </w:r>
      <w:r>
        <w:rPr>
          <w:lang w:val="en-GB"/>
        </w:rPr>
        <w:t>ing</w:t>
      </w:r>
      <w:r w:rsidRPr="008463F3">
        <w:rPr>
          <w:lang w:val="en-GB"/>
        </w:rPr>
        <w:t>: a sample preparation laboratory (pre-PCR room), a laboratory for preparation of analy</w:t>
      </w:r>
      <w:r>
        <w:rPr>
          <w:lang w:val="en-GB"/>
        </w:rPr>
        <w:t>s</w:t>
      </w:r>
      <w:r w:rsidRPr="008463F3">
        <w:rPr>
          <w:lang w:val="en-GB"/>
        </w:rPr>
        <w:t>es (master mix room), a laboratory for analysis of PCR products (post-PCR room) and a laboratory for analysis of cell cultures.</w:t>
      </w:r>
    </w:p>
    <w:p w14:paraId="3C04F4D4" w14:textId="77777777" w:rsidR="007947BF" w:rsidRPr="008463F3" w:rsidRDefault="007947BF" w:rsidP="007947BF">
      <w:pPr>
        <w:jc w:val="both"/>
        <w:rPr>
          <w:lang w:val="en-GB"/>
        </w:rPr>
      </w:pPr>
      <w:r w:rsidRPr="008463F3">
        <w:rPr>
          <w:lang w:val="en-GB"/>
        </w:rPr>
        <w:t>The Centr</w:t>
      </w:r>
      <w:r>
        <w:rPr>
          <w:lang w:val="en-GB"/>
        </w:rPr>
        <w:t>e</w:t>
      </w:r>
      <w:r w:rsidRPr="008463F3">
        <w:rPr>
          <w:lang w:val="en-GB"/>
        </w:rPr>
        <w:t xml:space="preserve"> activities</w:t>
      </w:r>
      <w:r>
        <w:rPr>
          <w:lang w:val="en-GB"/>
        </w:rPr>
        <w:t xml:space="preserve"> include</w:t>
      </w:r>
      <w:r w:rsidRPr="008463F3">
        <w:rPr>
          <w:lang w:val="en-GB"/>
        </w:rPr>
        <w:t xml:space="preserve"> </w:t>
      </w:r>
      <w:r>
        <w:rPr>
          <w:lang w:val="en-GB"/>
        </w:rPr>
        <w:t>s</w:t>
      </w:r>
      <w:r w:rsidRPr="008463F3">
        <w:rPr>
          <w:lang w:val="en-GB"/>
        </w:rPr>
        <w:t xml:space="preserve">cientific and research activity in the field of Molecular </w:t>
      </w:r>
      <w:r>
        <w:rPr>
          <w:lang w:val="en-GB"/>
        </w:rPr>
        <w:t>O</w:t>
      </w:r>
      <w:r w:rsidRPr="008463F3">
        <w:rPr>
          <w:lang w:val="en-GB"/>
        </w:rPr>
        <w:t xml:space="preserve">ncology and Pharmacogenetics; </w:t>
      </w:r>
      <w:r>
        <w:rPr>
          <w:lang w:val="en-GB"/>
        </w:rPr>
        <w:t>e</w:t>
      </w:r>
      <w:r w:rsidRPr="008463F3">
        <w:rPr>
          <w:lang w:val="en-GB"/>
        </w:rPr>
        <w:t xml:space="preserve">ducational activity – postgraduate educational training for professionals for the needs of molecular diagnostics laboratories; </w:t>
      </w:r>
      <w:r>
        <w:rPr>
          <w:lang w:val="en-GB"/>
        </w:rPr>
        <w:t>a</w:t>
      </w:r>
      <w:r w:rsidRPr="008463F3">
        <w:rPr>
          <w:lang w:val="en-GB"/>
        </w:rPr>
        <w:t>pplicative activity –personali</w:t>
      </w:r>
      <w:r>
        <w:rPr>
          <w:lang w:val="en-GB"/>
        </w:rPr>
        <w:t>s</w:t>
      </w:r>
      <w:r w:rsidRPr="008463F3">
        <w:rPr>
          <w:lang w:val="en-GB"/>
        </w:rPr>
        <w:t>ed medicine: molecular characteri</w:t>
      </w:r>
      <w:r>
        <w:rPr>
          <w:lang w:val="en-GB"/>
        </w:rPr>
        <w:t>s</w:t>
      </w:r>
      <w:r w:rsidRPr="008463F3">
        <w:rPr>
          <w:lang w:val="en-GB"/>
        </w:rPr>
        <w:t>ation of malignant diseases, inherited predisposition to malignant diseases, rationali</w:t>
      </w:r>
      <w:r>
        <w:rPr>
          <w:lang w:val="en-GB"/>
        </w:rPr>
        <w:t>s</w:t>
      </w:r>
      <w:r w:rsidRPr="008463F3">
        <w:rPr>
          <w:lang w:val="en-GB"/>
        </w:rPr>
        <w:t>ation of the therapy with pharmacogenetic analyses, monitoring of minimal residual disease</w:t>
      </w:r>
      <w:r>
        <w:rPr>
          <w:lang w:val="en-GB"/>
        </w:rPr>
        <w:t>;</w:t>
      </w:r>
      <w:r w:rsidRPr="008463F3">
        <w:rPr>
          <w:lang w:val="en-GB"/>
        </w:rPr>
        <w:t xml:space="preserve"> etc.</w:t>
      </w:r>
    </w:p>
    <w:p w14:paraId="25314DA5" w14:textId="77777777" w:rsidR="007947BF" w:rsidRPr="008463F3" w:rsidRDefault="007947BF" w:rsidP="007947BF">
      <w:pPr>
        <w:spacing w:after="0"/>
        <w:jc w:val="both"/>
        <w:rPr>
          <w:lang w:val="en-GB"/>
        </w:rPr>
      </w:pPr>
      <w:r w:rsidRPr="008463F3">
        <w:rPr>
          <w:lang w:val="en-GB"/>
        </w:rPr>
        <w:t xml:space="preserve">Services provided include: </w:t>
      </w:r>
    </w:p>
    <w:p w14:paraId="6F7C8A9B" w14:textId="77777777" w:rsidR="007947BF" w:rsidRPr="008463F3" w:rsidRDefault="007947BF" w:rsidP="007947BF">
      <w:pPr>
        <w:pStyle w:val="ListParagraph"/>
        <w:numPr>
          <w:ilvl w:val="0"/>
          <w:numId w:val="40"/>
        </w:numPr>
        <w:jc w:val="both"/>
        <w:rPr>
          <w:lang w:val="en-GB"/>
        </w:rPr>
      </w:pPr>
      <w:r w:rsidRPr="008463F3">
        <w:rPr>
          <w:lang w:val="en-GB"/>
        </w:rPr>
        <w:t>H</w:t>
      </w:r>
      <w:r>
        <w:rPr>
          <w:lang w:val="en-GB"/>
        </w:rPr>
        <w:t>a</w:t>
      </w:r>
      <w:r w:rsidRPr="008463F3">
        <w:rPr>
          <w:lang w:val="en-GB"/>
        </w:rPr>
        <w:t>ematology - Qualitative analyses, detection of predictive single-nucleotide mutations and cytogenetic abnormalities; Q</w:t>
      </w:r>
      <w:r>
        <w:rPr>
          <w:lang w:val="en-GB"/>
        </w:rPr>
        <w:t>u</w:t>
      </w:r>
      <w:r w:rsidRPr="008463F3">
        <w:rPr>
          <w:lang w:val="en-GB"/>
        </w:rPr>
        <w:t>antitative analyses, monitoring of minimal residual disease</w:t>
      </w:r>
    </w:p>
    <w:p w14:paraId="17DE4A15" w14:textId="77777777" w:rsidR="007947BF" w:rsidRPr="008463F3" w:rsidRDefault="007947BF" w:rsidP="007947BF">
      <w:pPr>
        <w:pStyle w:val="ListParagraph"/>
        <w:numPr>
          <w:ilvl w:val="0"/>
          <w:numId w:val="40"/>
        </w:numPr>
        <w:jc w:val="both"/>
        <w:rPr>
          <w:lang w:val="en-GB"/>
        </w:rPr>
      </w:pPr>
      <w:r w:rsidRPr="008463F3">
        <w:rPr>
          <w:lang w:val="en-GB"/>
        </w:rPr>
        <w:t>Solid tumours - predictive and prognostic markers</w:t>
      </w:r>
    </w:p>
    <w:p w14:paraId="45CCBF27" w14:textId="77777777" w:rsidR="007947BF" w:rsidRPr="008463F3" w:rsidRDefault="007947BF" w:rsidP="007947BF">
      <w:pPr>
        <w:pStyle w:val="ListParagraph"/>
        <w:numPr>
          <w:ilvl w:val="0"/>
          <w:numId w:val="40"/>
        </w:numPr>
        <w:jc w:val="both"/>
        <w:rPr>
          <w:lang w:val="en-GB"/>
        </w:rPr>
      </w:pPr>
      <w:r w:rsidRPr="008463F3">
        <w:rPr>
          <w:lang w:val="en-GB"/>
        </w:rPr>
        <w:t>Hereditary syndromes - Molecular characteri</w:t>
      </w:r>
      <w:r>
        <w:rPr>
          <w:lang w:val="en-GB"/>
        </w:rPr>
        <w:t>s</w:t>
      </w:r>
      <w:r w:rsidRPr="008463F3">
        <w:rPr>
          <w:lang w:val="en-GB"/>
        </w:rPr>
        <w:t>ation</w:t>
      </w:r>
    </w:p>
    <w:p w14:paraId="5ACE057F" w14:textId="77777777" w:rsidR="007947BF" w:rsidRPr="008463F3" w:rsidRDefault="007947BF" w:rsidP="007947BF">
      <w:pPr>
        <w:pStyle w:val="ListParagraph"/>
        <w:numPr>
          <w:ilvl w:val="0"/>
          <w:numId w:val="40"/>
        </w:numPr>
        <w:jc w:val="both"/>
        <w:rPr>
          <w:lang w:val="en-GB"/>
        </w:rPr>
      </w:pPr>
      <w:r w:rsidRPr="008463F3">
        <w:rPr>
          <w:lang w:val="en-GB"/>
        </w:rPr>
        <w:t>Next generation sequencing</w:t>
      </w:r>
    </w:p>
    <w:p w14:paraId="2CB5BA2C" w14:textId="77777777" w:rsidR="007947BF" w:rsidRPr="008463F3" w:rsidRDefault="007947BF" w:rsidP="007947BF">
      <w:pPr>
        <w:pStyle w:val="ListParagraph"/>
        <w:numPr>
          <w:ilvl w:val="0"/>
          <w:numId w:val="40"/>
        </w:numPr>
        <w:jc w:val="both"/>
        <w:rPr>
          <w:lang w:val="en-GB"/>
        </w:rPr>
      </w:pPr>
      <w:r w:rsidRPr="008463F3">
        <w:rPr>
          <w:lang w:val="en-GB"/>
        </w:rPr>
        <w:t>Pharmacogenetics analysis, genotyping of genes included in drug metabolism</w:t>
      </w:r>
    </w:p>
    <w:p w14:paraId="52B3E613" w14:textId="77777777" w:rsidR="007947BF" w:rsidRPr="008463F3" w:rsidRDefault="007947BF" w:rsidP="007947BF">
      <w:pPr>
        <w:pStyle w:val="ListParagraph"/>
        <w:numPr>
          <w:ilvl w:val="0"/>
          <w:numId w:val="40"/>
        </w:numPr>
        <w:jc w:val="both"/>
        <w:rPr>
          <w:lang w:val="en-GB"/>
        </w:rPr>
      </w:pPr>
      <w:r w:rsidRPr="008463F3">
        <w:rPr>
          <w:lang w:val="en-GB"/>
        </w:rPr>
        <w:t>Microorganisms - Quantitative analyses</w:t>
      </w:r>
    </w:p>
    <w:p w14:paraId="5A8E5AAA" w14:textId="77777777" w:rsidR="007947BF" w:rsidRPr="008463F3" w:rsidRDefault="007947BF" w:rsidP="007947BF">
      <w:pPr>
        <w:jc w:val="both"/>
        <w:rPr>
          <w:lang w:val="en-GB"/>
        </w:rPr>
      </w:pPr>
      <w:r w:rsidRPr="008463F3">
        <w:rPr>
          <w:lang w:val="en-GB"/>
        </w:rPr>
        <w:t xml:space="preserve">Research equipment: With regards to capital research equipment, the </w:t>
      </w:r>
      <w:r>
        <w:rPr>
          <w:lang w:val="en-GB"/>
        </w:rPr>
        <w:t>Centre</w:t>
      </w:r>
      <w:r w:rsidRPr="008463F3">
        <w:rPr>
          <w:lang w:val="en-GB"/>
        </w:rPr>
        <w:t xml:space="preserve"> was equipped with Applied Biosystems™ 3500 Series Genetic Analy</w:t>
      </w:r>
      <w:r>
        <w:rPr>
          <w:lang w:val="en-GB"/>
        </w:rPr>
        <w:t>s</w:t>
      </w:r>
      <w:r w:rsidRPr="008463F3">
        <w:rPr>
          <w:lang w:val="en-GB"/>
        </w:rPr>
        <w:t>er in 2012 (purchase value was 120.000 euro). I</w:t>
      </w:r>
      <w:r>
        <w:rPr>
          <w:lang w:val="en-GB"/>
        </w:rPr>
        <w:t>t</w:t>
      </w:r>
      <w:r w:rsidRPr="008463F3">
        <w:rPr>
          <w:lang w:val="en-GB"/>
        </w:rPr>
        <w:t xml:space="preserve"> is also equipped with research instruments of small value. </w:t>
      </w:r>
    </w:p>
    <w:p w14:paraId="22391DF3" w14:textId="77777777" w:rsidR="007947BF" w:rsidRPr="008463F3" w:rsidRDefault="007947BF" w:rsidP="007947BF">
      <w:pPr>
        <w:pStyle w:val="Heading5"/>
        <w:spacing w:after="240"/>
        <w:rPr>
          <w:rFonts w:asciiTheme="minorHAnsi" w:hAnsiTheme="minorHAnsi"/>
          <w:lang w:val="en-GB"/>
        </w:rPr>
      </w:pPr>
      <w:r w:rsidRPr="008463F3">
        <w:rPr>
          <w:rFonts w:asciiTheme="minorHAnsi" w:hAnsiTheme="minorHAnsi"/>
          <w:lang w:val="en-GB"/>
        </w:rPr>
        <w:t>Centr</w:t>
      </w:r>
      <w:r>
        <w:rPr>
          <w:rFonts w:asciiTheme="minorHAnsi" w:hAnsiTheme="minorHAnsi"/>
          <w:lang w:val="en-GB"/>
        </w:rPr>
        <w:t>e</w:t>
      </w:r>
      <w:r w:rsidRPr="008463F3">
        <w:rPr>
          <w:rFonts w:asciiTheme="minorHAnsi" w:hAnsiTheme="minorHAnsi"/>
          <w:lang w:val="en-GB"/>
        </w:rPr>
        <w:t xml:space="preserve"> for </w:t>
      </w:r>
      <w:r>
        <w:rPr>
          <w:rFonts w:asciiTheme="minorHAnsi" w:hAnsiTheme="minorHAnsi"/>
          <w:lang w:val="en-GB"/>
        </w:rPr>
        <w:t>N</w:t>
      </w:r>
      <w:r w:rsidRPr="008463F3">
        <w:rPr>
          <w:rFonts w:asciiTheme="minorHAnsi" w:hAnsiTheme="minorHAnsi"/>
          <w:lang w:val="en-GB"/>
        </w:rPr>
        <w:t xml:space="preserve">atural </w:t>
      </w:r>
      <w:r>
        <w:rPr>
          <w:rFonts w:asciiTheme="minorHAnsi" w:hAnsiTheme="minorHAnsi"/>
          <w:lang w:val="en-GB"/>
        </w:rPr>
        <w:t>P</w:t>
      </w:r>
      <w:r w:rsidRPr="008463F3">
        <w:rPr>
          <w:rFonts w:asciiTheme="minorHAnsi" w:hAnsiTheme="minorHAnsi"/>
          <w:lang w:val="en-GB"/>
        </w:rPr>
        <w:t>roducts</w:t>
      </w:r>
    </w:p>
    <w:p w14:paraId="043EC63A" w14:textId="77777777" w:rsidR="007947BF" w:rsidRPr="008463F3" w:rsidRDefault="007947BF" w:rsidP="007947BF">
      <w:pPr>
        <w:jc w:val="both"/>
        <w:rPr>
          <w:lang w:val="en-GB"/>
        </w:rPr>
      </w:pPr>
      <w:r w:rsidRPr="008463F3">
        <w:rPr>
          <w:lang w:val="en-GB"/>
        </w:rPr>
        <w:t>The Centr</w:t>
      </w:r>
      <w:r>
        <w:rPr>
          <w:lang w:val="en-GB"/>
        </w:rPr>
        <w:t>e</w:t>
      </w:r>
      <w:r w:rsidRPr="008463F3">
        <w:rPr>
          <w:lang w:val="en-GB"/>
        </w:rPr>
        <w:t xml:space="preserve"> for Natural Products was established in 2009 within the Faculty of Pharmacy in Skopje. The Centr</w:t>
      </w:r>
      <w:r>
        <w:rPr>
          <w:lang w:val="en-GB"/>
        </w:rPr>
        <w:t>e</w:t>
      </w:r>
      <w:r w:rsidRPr="008463F3">
        <w:rPr>
          <w:lang w:val="en-GB"/>
        </w:rPr>
        <w:t xml:space="preserve"> for Natural Products provides services in the field of natural products (Pharmacognosy, Phytochemistry and Phytotherapy), expert opinions and consulting services, </w:t>
      </w:r>
      <w:r>
        <w:rPr>
          <w:lang w:val="en-GB"/>
        </w:rPr>
        <w:t>and</w:t>
      </w:r>
      <w:r w:rsidRPr="008463F3">
        <w:rPr>
          <w:lang w:val="en-GB"/>
        </w:rPr>
        <w:t xml:space="preserve"> </w:t>
      </w:r>
      <w:r>
        <w:rPr>
          <w:lang w:val="en-GB"/>
        </w:rPr>
        <w:t>drafts</w:t>
      </w:r>
      <w:r w:rsidRPr="008463F3">
        <w:rPr>
          <w:lang w:val="en-GB"/>
        </w:rPr>
        <w:t xml:space="preserve"> expert reports, methodological procedures and laboratory analy</w:t>
      </w:r>
      <w:r>
        <w:rPr>
          <w:lang w:val="en-GB"/>
        </w:rPr>
        <w:t>s</w:t>
      </w:r>
      <w:r w:rsidRPr="008463F3">
        <w:rPr>
          <w:lang w:val="en-GB"/>
        </w:rPr>
        <w:t xml:space="preserve">es. It is an accredited laboratory with quality system implemented according to the ISO17025 standard. </w:t>
      </w:r>
    </w:p>
    <w:p w14:paraId="77475577" w14:textId="77777777" w:rsidR="007947BF" w:rsidRPr="008463F3" w:rsidRDefault="007947BF" w:rsidP="007947BF">
      <w:pPr>
        <w:jc w:val="both"/>
        <w:rPr>
          <w:lang w:val="en-GB"/>
        </w:rPr>
      </w:pPr>
      <w:r w:rsidRPr="008463F3">
        <w:rPr>
          <w:lang w:val="en-GB"/>
        </w:rPr>
        <w:t>The following analy</w:t>
      </w:r>
      <w:r>
        <w:rPr>
          <w:lang w:val="en-GB"/>
        </w:rPr>
        <w:t>s</w:t>
      </w:r>
      <w:r w:rsidRPr="008463F3">
        <w:rPr>
          <w:lang w:val="en-GB"/>
        </w:rPr>
        <w:t>es and services are performed within the Centr</w:t>
      </w:r>
      <w:r>
        <w:rPr>
          <w:lang w:val="en-GB"/>
        </w:rPr>
        <w:t>e</w:t>
      </w:r>
      <w:r w:rsidRPr="008463F3">
        <w:rPr>
          <w:lang w:val="en-GB"/>
        </w:rPr>
        <w:t xml:space="preserve">: </w:t>
      </w:r>
      <w:r>
        <w:rPr>
          <w:lang w:val="en-GB"/>
        </w:rPr>
        <w:t>d</w:t>
      </w:r>
      <w:r w:rsidRPr="008463F3">
        <w:rPr>
          <w:lang w:val="en-GB"/>
        </w:rPr>
        <w:t xml:space="preserve">etermination of ash, foreign matter, stomatal index, swelling index, water in essential oils, fatty acids in essential oils, etc.; </w:t>
      </w:r>
      <w:r>
        <w:rPr>
          <w:lang w:val="en-GB"/>
        </w:rPr>
        <w:t>o</w:t>
      </w:r>
      <w:r w:rsidRPr="008463F3">
        <w:rPr>
          <w:lang w:val="en-GB"/>
        </w:rPr>
        <w:t xml:space="preserve">rganoleptic essential oil testing; </w:t>
      </w:r>
      <w:r>
        <w:rPr>
          <w:lang w:val="en-GB"/>
        </w:rPr>
        <w:t>e</w:t>
      </w:r>
      <w:r w:rsidRPr="008463F3">
        <w:rPr>
          <w:lang w:val="en-GB"/>
        </w:rPr>
        <w:t xml:space="preserve">xamination of plant material (PH. EUR.); GC/MS analysis of cannabis and different cannabis products; HPLC sample analysis; </w:t>
      </w:r>
      <w:r>
        <w:rPr>
          <w:lang w:val="en-GB"/>
        </w:rPr>
        <w:t>s</w:t>
      </w:r>
      <w:r w:rsidRPr="008463F3">
        <w:rPr>
          <w:lang w:val="en-GB"/>
        </w:rPr>
        <w:t xml:space="preserve">pectrophotometric analysis of the sample; </w:t>
      </w:r>
      <w:r>
        <w:rPr>
          <w:lang w:val="en-GB"/>
        </w:rPr>
        <w:t>i</w:t>
      </w:r>
      <w:r w:rsidRPr="008463F3">
        <w:rPr>
          <w:lang w:val="en-GB"/>
        </w:rPr>
        <w:t>dentification of herbal substances and herbal remedies; etc.</w:t>
      </w:r>
    </w:p>
    <w:p w14:paraId="06A6B17E" w14:textId="77777777" w:rsidR="007947BF" w:rsidRPr="008463F3" w:rsidRDefault="007947BF" w:rsidP="007947BF">
      <w:pPr>
        <w:jc w:val="both"/>
        <w:rPr>
          <w:lang w:val="en-GB"/>
        </w:rPr>
      </w:pPr>
      <w:r w:rsidRPr="008463F3">
        <w:rPr>
          <w:lang w:val="en-GB"/>
        </w:rPr>
        <w:t>Research equipment: With regards to capital research equipment, the Centr</w:t>
      </w:r>
      <w:r>
        <w:rPr>
          <w:lang w:val="en-GB"/>
        </w:rPr>
        <w:t>e</w:t>
      </w:r>
      <w:r w:rsidRPr="008463F3">
        <w:rPr>
          <w:lang w:val="en-GB"/>
        </w:rPr>
        <w:t xml:space="preserve"> owns the following instruments: Agilent 7890A Gas Chromatograph coupled to an Agilent 5975C Quadrupole Mass Detector, Shimadzu AOC 5000 Plus Headspace autosampler and Agilent 1200 Series HPLC System. </w:t>
      </w:r>
      <w:r>
        <w:rPr>
          <w:lang w:val="en-GB"/>
        </w:rPr>
        <w:t>Own funds were used to procure this</w:t>
      </w:r>
      <w:r w:rsidRPr="008463F3">
        <w:rPr>
          <w:lang w:val="en-GB"/>
        </w:rPr>
        <w:t xml:space="preserve"> equipment </w:t>
      </w:r>
      <w:r>
        <w:rPr>
          <w:lang w:val="en-GB"/>
        </w:rPr>
        <w:t>was</w:t>
      </w:r>
      <w:r w:rsidRPr="008463F3">
        <w:rPr>
          <w:lang w:val="en-GB"/>
        </w:rPr>
        <w:t xml:space="preserve"> in 2006 and 2007. </w:t>
      </w:r>
    </w:p>
    <w:p w14:paraId="43F3DA9B" w14:textId="77777777" w:rsidR="007947BF" w:rsidRPr="008463F3" w:rsidRDefault="007947BF" w:rsidP="007947BF">
      <w:pPr>
        <w:pStyle w:val="Heading5"/>
        <w:spacing w:after="240"/>
        <w:rPr>
          <w:rFonts w:asciiTheme="minorHAnsi" w:hAnsiTheme="minorHAnsi"/>
          <w:lang w:val="en-GB"/>
        </w:rPr>
      </w:pPr>
      <w:r w:rsidRPr="008463F3">
        <w:rPr>
          <w:rFonts w:asciiTheme="minorHAnsi" w:hAnsiTheme="minorHAnsi"/>
          <w:lang w:val="en-GB"/>
        </w:rPr>
        <w:t>Centr</w:t>
      </w:r>
      <w:r>
        <w:rPr>
          <w:rFonts w:asciiTheme="minorHAnsi" w:hAnsiTheme="minorHAnsi"/>
          <w:lang w:val="en-GB"/>
        </w:rPr>
        <w:t>e</w:t>
      </w:r>
      <w:r w:rsidRPr="008463F3">
        <w:rPr>
          <w:rFonts w:asciiTheme="minorHAnsi" w:hAnsiTheme="minorHAnsi"/>
          <w:lang w:val="en-GB"/>
        </w:rPr>
        <w:t xml:space="preserve"> for Drug Quality Control</w:t>
      </w:r>
    </w:p>
    <w:p w14:paraId="7D16501C" w14:textId="77777777" w:rsidR="007947BF" w:rsidRPr="008463F3" w:rsidRDefault="007947BF" w:rsidP="007947BF">
      <w:pPr>
        <w:pStyle w:val="Heading4"/>
        <w:spacing w:after="240"/>
        <w:jc w:val="both"/>
        <w:rPr>
          <w:rFonts w:asciiTheme="minorHAnsi" w:eastAsiaTheme="minorHAnsi" w:hAnsiTheme="minorHAnsi" w:cstheme="minorBidi"/>
          <w:b w:val="0"/>
          <w:bCs w:val="0"/>
          <w:i w:val="0"/>
          <w:iCs w:val="0"/>
          <w:color w:val="auto"/>
          <w:lang w:val="en-GB"/>
        </w:rPr>
      </w:pPr>
      <w:r w:rsidRPr="008463F3">
        <w:rPr>
          <w:rFonts w:asciiTheme="minorHAnsi" w:eastAsiaTheme="minorHAnsi" w:hAnsiTheme="minorHAnsi" w:cstheme="minorBidi"/>
          <w:b w:val="0"/>
          <w:bCs w:val="0"/>
          <w:i w:val="0"/>
          <w:iCs w:val="0"/>
          <w:color w:val="auto"/>
          <w:lang w:val="en-GB"/>
        </w:rPr>
        <w:t>The Centr</w:t>
      </w:r>
      <w:r>
        <w:rPr>
          <w:rFonts w:asciiTheme="minorHAnsi" w:eastAsiaTheme="minorHAnsi" w:hAnsiTheme="minorHAnsi" w:cstheme="minorBidi"/>
          <w:b w:val="0"/>
          <w:bCs w:val="0"/>
          <w:i w:val="0"/>
          <w:iCs w:val="0"/>
          <w:color w:val="auto"/>
          <w:lang w:val="en-GB"/>
        </w:rPr>
        <w:t>e</w:t>
      </w:r>
      <w:r w:rsidRPr="008463F3">
        <w:rPr>
          <w:rFonts w:asciiTheme="minorHAnsi" w:eastAsiaTheme="minorHAnsi" w:hAnsiTheme="minorHAnsi" w:cstheme="minorBidi"/>
          <w:b w:val="0"/>
          <w:bCs w:val="0"/>
          <w:i w:val="0"/>
          <w:iCs w:val="0"/>
          <w:color w:val="auto"/>
          <w:lang w:val="en-GB"/>
        </w:rPr>
        <w:t xml:space="preserve"> for Drug Quality Control conducts laboratory (pharmaceutical-chemical) tests of pharmaceuticals. The Centr</w:t>
      </w:r>
      <w:r>
        <w:rPr>
          <w:rFonts w:asciiTheme="minorHAnsi" w:eastAsiaTheme="minorHAnsi" w:hAnsiTheme="minorHAnsi" w:cstheme="minorBidi"/>
          <w:b w:val="0"/>
          <w:bCs w:val="0"/>
          <w:i w:val="0"/>
          <w:iCs w:val="0"/>
          <w:color w:val="auto"/>
          <w:lang w:val="en-GB"/>
        </w:rPr>
        <w:t>e</w:t>
      </w:r>
      <w:r w:rsidRPr="008463F3">
        <w:rPr>
          <w:rFonts w:asciiTheme="minorHAnsi" w:eastAsiaTheme="minorHAnsi" w:hAnsiTheme="minorHAnsi" w:cstheme="minorBidi"/>
          <w:b w:val="0"/>
          <w:bCs w:val="0"/>
          <w:i w:val="0"/>
          <w:iCs w:val="0"/>
          <w:color w:val="auto"/>
          <w:lang w:val="en-GB"/>
        </w:rPr>
        <w:t xml:space="preserve"> conducts tests in self-contained, competent, independent and impartial manner in compliance with monographs of current </w:t>
      </w:r>
      <w:proofErr w:type="spellStart"/>
      <w:r w:rsidRPr="008463F3">
        <w:rPr>
          <w:rFonts w:asciiTheme="minorHAnsi" w:eastAsiaTheme="minorHAnsi" w:hAnsiTheme="minorHAnsi" w:cstheme="minorBidi"/>
          <w:b w:val="0"/>
          <w:bCs w:val="0"/>
          <w:i w:val="0"/>
          <w:iCs w:val="0"/>
          <w:color w:val="auto"/>
          <w:lang w:val="en-GB"/>
        </w:rPr>
        <w:t>pharmacopeias</w:t>
      </w:r>
      <w:proofErr w:type="spellEnd"/>
      <w:r w:rsidRPr="008463F3">
        <w:rPr>
          <w:rFonts w:asciiTheme="minorHAnsi" w:eastAsiaTheme="minorHAnsi" w:hAnsiTheme="minorHAnsi" w:cstheme="minorBidi"/>
          <w:b w:val="0"/>
          <w:bCs w:val="0"/>
          <w:i w:val="0"/>
          <w:iCs w:val="0"/>
          <w:color w:val="auto"/>
          <w:lang w:val="en-GB"/>
        </w:rPr>
        <w:t xml:space="preserve">, validated methods suggested by manufacturers and in accordance with the national and international standards and </w:t>
      </w:r>
      <w:r>
        <w:rPr>
          <w:rFonts w:asciiTheme="minorHAnsi" w:eastAsiaTheme="minorHAnsi" w:hAnsiTheme="minorHAnsi" w:cstheme="minorBidi"/>
          <w:b w:val="0"/>
          <w:bCs w:val="0"/>
          <w:i w:val="0"/>
          <w:iCs w:val="0"/>
          <w:color w:val="auto"/>
          <w:lang w:val="en-GB"/>
        </w:rPr>
        <w:t>applicable</w:t>
      </w:r>
      <w:r w:rsidRPr="008463F3">
        <w:rPr>
          <w:rFonts w:asciiTheme="minorHAnsi" w:eastAsiaTheme="minorHAnsi" w:hAnsiTheme="minorHAnsi" w:cstheme="minorBidi"/>
          <w:b w:val="0"/>
          <w:bCs w:val="0"/>
          <w:i w:val="0"/>
          <w:iCs w:val="0"/>
          <w:color w:val="auto"/>
          <w:lang w:val="en-GB"/>
        </w:rPr>
        <w:t xml:space="preserve"> regulation</w:t>
      </w:r>
      <w:r>
        <w:rPr>
          <w:rFonts w:asciiTheme="minorHAnsi" w:eastAsiaTheme="minorHAnsi" w:hAnsiTheme="minorHAnsi" w:cstheme="minorBidi"/>
          <w:b w:val="0"/>
          <w:bCs w:val="0"/>
          <w:i w:val="0"/>
          <w:iCs w:val="0"/>
          <w:color w:val="auto"/>
          <w:lang w:val="en-GB"/>
        </w:rPr>
        <w:t>s</w:t>
      </w:r>
      <w:r w:rsidRPr="008463F3">
        <w:rPr>
          <w:rFonts w:asciiTheme="minorHAnsi" w:eastAsiaTheme="minorHAnsi" w:hAnsiTheme="minorHAnsi" w:cstheme="minorBidi"/>
          <w:b w:val="0"/>
          <w:bCs w:val="0"/>
          <w:i w:val="0"/>
          <w:iCs w:val="0"/>
          <w:color w:val="auto"/>
          <w:lang w:val="en-GB"/>
        </w:rPr>
        <w:t xml:space="preserve">. </w:t>
      </w:r>
    </w:p>
    <w:p w14:paraId="5C0C4046" w14:textId="77777777" w:rsidR="007947BF" w:rsidRPr="008463F3" w:rsidRDefault="007947BF" w:rsidP="007947BF">
      <w:pPr>
        <w:jc w:val="both"/>
        <w:rPr>
          <w:lang w:val="en-GB"/>
        </w:rPr>
      </w:pPr>
      <w:r w:rsidRPr="008463F3">
        <w:rPr>
          <w:lang w:val="en-GB"/>
        </w:rPr>
        <w:t>Services provided: Development and validation of analytical methods for quality control of pharmaceutical active substances and finished pharmaceutical products.</w:t>
      </w:r>
    </w:p>
    <w:p w14:paraId="5D0AB23E" w14:textId="77777777" w:rsidR="007947BF" w:rsidRPr="008463F3" w:rsidRDefault="007947BF" w:rsidP="007947BF">
      <w:pPr>
        <w:pStyle w:val="Heading4"/>
        <w:spacing w:after="240"/>
        <w:jc w:val="both"/>
        <w:rPr>
          <w:rFonts w:asciiTheme="minorHAnsi" w:eastAsiaTheme="minorHAnsi" w:hAnsiTheme="minorHAnsi" w:cstheme="minorBidi"/>
          <w:b w:val="0"/>
          <w:bCs w:val="0"/>
          <w:i w:val="0"/>
          <w:iCs w:val="0"/>
          <w:color w:val="auto"/>
          <w:lang w:val="en-GB"/>
        </w:rPr>
      </w:pPr>
      <w:r w:rsidRPr="008463F3">
        <w:rPr>
          <w:rFonts w:asciiTheme="minorHAnsi" w:eastAsiaTheme="minorHAnsi" w:hAnsiTheme="minorHAnsi" w:cstheme="minorBidi"/>
          <w:b w:val="0"/>
          <w:bCs w:val="0"/>
          <w:i w:val="0"/>
          <w:iCs w:val="0"/>
          <w:color w:val="auto"/>
          <w:lang w:val="en-GB"/>
        </w:rPr>
        <w:t>Research equipment: The Centr</w:t>
      </w:r>
      <w:r>
        <w:rPr>
          <w:rFonts w:asciiTheme="minorHAnsi" w:eastAsiaTheme="minorHAnsi" w:hAnsiTheme="minorHAnsi" w:cstheme="minorBidi"/>
          <w:b w:val="0"/>
          <w:bCs w:val="0"/>
          <w:i w:val="0"/>
          <w:iCs w:val="0"/>
          <w:color w:val="auto"/>
          <w:lang w:val="en-GB"/>
        </w:rPr>
        <w:t>e</w:t>
      </w:r>
      <w:r w:rsidRPr="008463F3">
        <w:rPr>
          <w:rFonts w:asciiTheme="minorHAnsi" w:eastAsiaTheme="minorHAnsi" w:hAnsiTheme="minorHAnsi" w:cstheme="minorBidi"/>
          <w:b w:val="0"/>
          <w:bCs w:val="0"/>
          <w:i w:val="0"/>
          <w:iCs w:val="0"/>
          <w:color w:val="auto"/>
          <w:lang w:val="en-GB"/>
        </w:rPr>
        <w:t xml:space="preserve"> has capital research equipment of total estimated value </w:t>
      </w:r>
      <w:r>
        <w:rPr>
          <w:rFonts w:asciiTheme="minorHAnsi" w:eastAsiaTheme="minorHAnsi" w:hAnsiTheme="minorHAnsi" w:cstheme="minorBidi"/>
          <w:b w:val="0"/>
          <w:bCs w:val="0"/>
          <w:i w:val="0"/>
          <w:iCs w:val="0"/>
          <w:color w:val="auto"/>
          <w:lang w:val="en-GB"/>
        </w:rPr>
        <w:t xml:space="preserve">of </w:t>
      </w:r>
      <w:r w:rsidRPr="008463F3">
        <w:rPr>
          <w:rFonts w:asciiTheme="minorHAnsi" w:eastAsiaTheme="minorHAnsi" w:hAnsiTheme="minorHAnsi" w:cstheme="minorBidi"/>
          <w:b w:val="0"/>
          <w:bCs w:val="0"/>
          <w:i w:val="0"/>
          <w:iCs w:val="0"/>
          <w:color w:val="auto"/>
          <w:lang w:val="en-GB"/>
        </w:rPr>
        <w:t>325.000 euro. The list of single research equipment worth over 50.000 euros is provided in Appendix 1.</w:t>
      </w:r>
    </w:p>
    <w:p w14:paraId="7E64D52D" w14:textId="77777777" w:rsidR="007947BF" w:rsidRPr="008463F3" w:rsidRDefault="007947BF" w:rsidP="007947BF">
      <w:pPr>
        <w:rPr>
          <w:lang w:val="en-GB"/>
        </w:rPr>
      </w:pPr>
    </w:p>
    <w:p w14:paraId="7D532BAF" w14:textId="77777777" w:rsidR="007947BF" w:rsidRPr="008463F3" w:rsidRDefault="007947BF" w:rsidP="007947BF">
      <w:pPr>
        <w:pStyle w:val="Heading4"/>
        <w:spacing w:after="240"/>
        <w:rPr>
          <w:rFonts w:asciiTheme="minorHAnsi" w:hAnsiTheme="minorHAnsi"/>
          <w:lang w:val="en-GB"/>
        </w:rPr>
      </w:pPr>
      <w:r w:rsidRPr="008463F3">
        <w:rPr>
          <w:rFonts w:asciiTheme="minorHAnsi" w:hAnsiTheme="minorHAnsi"/>
          <w:lang w:val="en-GB"/>
        </w:rPr>
        <w:t xml:space="preserve">Faculty of Agricultural Sciences and Food </w:t>
      </w:r>
    </w:p>
    <w:p w14:paraId="7ABFE104" w14:textId="77777777" w:rsidR="007947BF" w:rsidRPr="008463F3" w:rsidRDefault="007947BF" w:rsidP="007947BF">
      <w:pPr>
        <w:spacing w:after="0"/>
        <w:jc w:val="both"/>
        <w:rPr>
          <w:lang w:val="en-GB"/>
        </w:rPr>
      </w:pPr>
      <w:r w:rsidRPr="008463F3">
        <w:rPr>
          <w:lang w:val="en-GB"/>
        </w:rPr>
        <w:t>The Faculty of Agricultural Sciences and Food (FASF) conducts scientific, developmental and applied professional research</w:t>
      </w:r>
      <w:r>
        <w:rPr>
          <w:lang w:val="en-GB"/>
        </w:rPr>
        <w:t>, including</w:t>
      </w:r>
      <w:r w:rsidRPr="008463F3">
        <w:rPr>
          <w:lang w:val="en-GB"/>
        </w:rPr>
        <w:t xml:space="preserve"> </w:t>
      </w:r>
      <w:r>
        <w:rPr>
          <w:lang w:val="en-GB"/>
        </w:rPr>
        <w:t>its</w:t>
      </w:r>
      <w:r w:rsidRPr="008463F3">
        <w:rPr>
          <w:lang w:val="en-GB"/>
        </w:rPr>
        <w:t xml:space="preserve"> application in practice</w:t>
      </w:r>
      <w:r>
        <w:rPr>
          <w:lang w:val="en-GB"/>
        </w:rPr>
        <w:t>,</w:t>
      </w:r>
      <w:r w:rsidRPr="008463F3">
        <w:rPr>
          <w:lang w:val="en-GB"/>
        </w:rPr>
        <w:t xml:space="preserve"> and </w:t>
      </w:r>
      <w:r>
        <w:rPr>
          <w:lang w:val="en-GB"/>
        </w:rPr>
        <w:t xml:space="preserve">implements </w:t>
      </w:r>
      <w:r w:rsidRPr="008463F3">
        <w:rPr>
          <w:lang w:val="en-GB"/>
        </w:rPr>
        <w:t>scientific research projects of wider international interest. The Faculty cooperat</w:t>
      </w:r>
      <w:r>
        <w:rPr>
          <w:lang w:val="en-GB"/>
        </w:rPr>
        <w:t>es</w:t>
      </w:r>
      <w:r w:rsidRPr="008463F3">
        <w:rPr>
          <w:lang w:val="en-GB"/>
        </w:rPr>
        <w:t xml:space="preserve"> with a number of companies from agri-food sector in North Macedonia. At present, FASF consists of six internal organi</w:t>
      </w:r>
      <w:r>
        <w:rPr>
          <w:lang w:val="en-GB"/>
        </w:rPr>
        <w:t>s</w:t>
      </w:r>
      <w:r w:rsidRPr="008463F3">
        <w:rPr>
          <w:lang w:val="en-GB"/>
        </w:rPr>
        <w:t>ational units: Plant Biotechnology</w:t>
      </w:r>
      <w:r>
        <w:rPr>
          <w:lang w:val="en-GB"/>
        </w:rPr>
        <w:t xml:space="preserve"> </w:t>
      </w:r>
      <w:r w:rsidRPr="008463F3">
        <w:rPr>
          <w:lang w:val="en-GB"/>
        </w:rPr>
        <w:t>Institute, Animal Biotechnology</w:t>
      </w:r>
      <w:r w:rsidRPr="002035F3">
        <w:rPr>
          <w:lang w:val="en-GB"/>
        </w:rPr>
        <w:t xml:space="preserve"> </w:t>
      </w:r>
      <w:r w:rsidRPr="008463F3">
        <w:rPr>
          <w:lang w:val="en-GB"/>
        </w:rPr>
        <w:t>Institute, Food</w:t>
      </w:r>
      <w:r>
        <w:rPr>
          <w:lang w:val="en-GB"/>
        </w:rPr>
        <w:t xml:space="preserve"> </w:t>
      </w:r>
      <w:r w:rsidRPr="008463F3">
        <w:rPr>
          <w:lang w:val="en-GB"/>
        </w:rPr>
        <w:t>Institute, Environment</w:t>
      </w:r>
      <w:r>
        <w:rPr>
          <w:lang w:val="en-GB"/>
        </w:rPr>
        <w:t xml:space="preserve"> </w:t>
      </w:r>
      <w:r w:rsidRPr="008463F3">
        <w:rPr>
          <w:lang w:val="en-GB"/>
        </w:rPr>
        <w:t>Institute, Environmental Protection Institute and Agroeconomics</w:t>
      </w:r>
      <w:r>
        <w:rPr>
          <w:lang w:val="en-GB"/>
        </w:rPr>
        <w:t xml:space="preserve"> </w:t>
      </w:r>
      <w:r w:rsidRPr="008463F3">
        <w:rPr>
          <w:lang w:val="en-GB"/>
        </w:rPr>
        <w:t>Institute. Each of the institutes consists of a number of smaller organi</w:t>
      </w:r>
      <w:r>
        <w:rPr>
          <w:lang w:val="en-GB"/>
        </w:rPr>
        <w:t>s</w:t>
      </w:r>
      <w:r w:rsidRPr="008463F3">
        <w:rPr>
          <w:lang w:val="en-GB"/>
        </w:rPr>
        <w:t xml:space="preserve">ational units - departments and laboratories (accredited and non-accredited). The most relevant laboratories with regards to research infrastructures are: </w:t>
      </w:r>
    </w:p>
    <w:p w14:paraId="2E284DD1" w14:textId="77777777" w:rsidR="007947BF" w:rsidRPr="008463F3" w:rsidRDefault="007947BF" w:rsidP="007947BF">
      <w:pPr>
        <w:pStyle w:val="ListParagraph"/>
        <w:numPr>
          <w:ilvl w:val="0"/>
          <w:numId w:val="27"/>
        </w:numPr>
        <w:jc w:val="both"/>
        <w:rPr>
          <w:lang w:val="en-GB"/>
        </w:rPr>
      </w:pPr>
      <w:r w:rsidRPr="008463F3">
        <w:rPr>
          <w:lang w:val="en-GB"/>
        </w:rPr>
        <w:t xml:space="preserve">Animal </w:t>
      </w:r>
      <w:r>
        <w:rPr>
          <w:lang w:val="en-GB"/>
        </w:rPr>
        <w:t>F</w:t>
      </w:r>
      <w:r w:rsidRPr="008463F3">
        <w:rPr>
          <w:lang w:val="en-GB"/>
        </w:rPr>
        <w:t xml:space="preserve">eed Analysis Laboratory </w:t>
      </w:r>
    </w:p>
    <w:p w14:paraId="5B3E0C0A" w14:textId="77777777" w:rsidR="007947BF" w:rsidRPr="008463F3" w:rsidRDefault="007947BF" w:rsidP="007947BF">
      <w:pPr>
        <w:pStyle w:val="ListParagraph"/>
        <w:numPr>
          <w:ilvl w:val="0"/>
          <w:numId w:val="27"/>
        </w:numPr>
        <w:jc w:val="both"/>
        <w:rPr>
          <w:lang w:val="en-GB"/>
        </w:rPr>
      </w:pPr>
      <w:r>
        <w:rPr>
          <w:lang w:val="en-GB"/>
        </w:rPr>
        <w:t>S</w:t>
      </w:r>
      <w:r w:rsidRPr="008463F3">
        <w:rPr>
          <w:lang w:val="en-GB"/>
        </w:rPr>
        <w:t xml:space="preserve">oil and </w:t>
      </w:r>
      <w:r>
        <w:rPr>
          <w:lang w:val="en-GB"/>
        </w:rPr>
        <w:t>F</w:t>
      </w:r>
      <w:r w:rsidRPr="008463F3">
        <w:rPr>
          <w:lang w:val="en-GB"/>
        </w:rPr>
        <w:t>ertili</w:t>
      </w:r>
      <w:r>
        <w:rPr>
          <w:lang w:val="en-GB"/>
        </w:rPr>
        <w:t>s</w:t>
      </w:r>
      <w:r w:rsidRPr="008463F3">
        <w:rPr>
          <w:lang w:val="en-GB"/>
        </w:rPr>
        <w:t xml:space="preserve">ers </w:t>
      </w:r>
      <w:r>
        <w:rPr>
          <w:lang w:val="en-GB"/>
        </w:rPr>
        <w:t>A</w:t>
      </w:r>
      <w:r w:rsidRPr="008463F3">
        <w:rPr>
          <w:lang w:val="en-GB"/>
        </w:rPr>
        <w:t>nalysis</w:t>
      </w:r>
      <w:r>
        <w:rPr>
          <w:lang w:val="en-GB"/>
        </w:rPr>
        <w:t xml:space="preserve"> Laboratory</w:t>
      </w:r>
    </w:p>
    <w:p w14:paraId="7660AF8D" w14:textId="77777777" w:rsidR="007947BF" w:rsidRPr="008463F3" w:rsidRDefault="007947BF" w:rsidP="007947BF">
      <w:pPr>
        <w:pStyle w:val="ListParagraph"/>
        <w:numPr>
          <w:ilvl w:val="0"/>
          <w:numId w:val="27"/>
        </w:numPr>
        <w:jc w:val="both"/>
        <w:rPr>
          <w:lang w:val="en-GB"/>
        </w:rPr>
      </w:pPr>
      <w:r w:rsidRPr="008463F3">
        <w:rPr>
          <w:lang w:val="en-GB"/>
        </w:rPr>
        <w:t xml:space="preserve">Milk and Dairy Products Laboratory </w:t>
      </w:r>
    </w:p>
    <w:p w14:paraId="763B9ED8" w14:textId="77777777" w:rsidR="007947BF" w:rsidRPr="008463F3" w:rsidRDefault="007947BF" w:rsidP="007947BF">
      <w:pPr>
        <w:pStyle w:val="ListParagraph"/>
        <w:numPr>
          <w:ilvl w:val="0"/>
          <w:numId w:val="27"/>
        </w:numPr>
        <w:jc w:val="both"/>
        <w:rPr>
          <w:lang w:val="en-GB"/>
        </w:rPr>
      </w:pPr>
      <w:r w:rsidRPr="008463F3">
        <w:rPr>
          <w:lang w:val="en-GB"/>
        </w:rPr>
        <w:t>Tobacco and Tobacco Products Laboratory</w:t>
      </w:r>
    </w:p>
    <w:p w14:paraId="6849B097" w14:textId="77777777" w:rsidR="007947BF" w:rsidRPr="008463F3" w:rsidRDefault="007947BF" w:rsidP="007947BF">
      <w:pPr>
        <w:jc w:val="both"/>
        <w:rPr>
          <w:lang w:val="en-GB"/>
        </w:rPr>
      </w:pPr>
      <w:r w:rsidRPr="008463F3">
        <w:rPr>
          <w:lang w:val="en-GB"/>
        </w:rPr>
        <w:t>Services offered: The laboratories perform sample testing</w:t>
      </w:r>
      <w:r>
        <w:rPr>
          <w:lang w:val="en-GB"/>
        </w:rPr>
        <w:t xml:space="preserve"> -</w:t>
      </w:r>
      <w:r w:rsidRPr="008463F3">
        <w:rPr>
          <w:lang w:val="en-GB"/>
        </w:rPr>
        <w:t xml:space="preserve"> </w:t>
      </w:r>
      <w:r>
        <w:rPr>
          <w:lang w:val="en-GB"/>
        </w:rPr>
        <w:t xml:space="preserve">testing </w:t>
      </w:r>
      <w:r w:rsidRPr="008463F3">
        <w:rPr>
          <w:lang w:val="en-GB"/>
        </w:rPr>
        <w:t xml:space="preserve">of samples submitted </w:t>
      </w:r>
      <w:r>
        <w:rPr>
          <w:lang w:val="en-GB"/>
        </w:rPr>
        <w:t>by</w:t>
      </w:r>
      <w:r w:rsidRPr="008463F3">
        <w:rPr>
          <w:lang w:val="en-GB"/>
        </w:rPr>
        <w:t xml:space="preserve"> inspection bodies, legal entities and individuals. Animal </w:t>
      </w:r>
      <w:r>
        <w:rPr>
          <w:lang w:val="en-GB"/>
        </w:rPr>
        <w:t>F</w:t>
      </w:r>
      <w:r w:rsidRPr="008463F3">
        <w:rPr>
          <w:lang w:val="en-GB"/>
        </w:rPr>
        <w:t>eed Analysis Laboratory is conducting analysis of: moisture, ash, protein, fat, fibr</w:t>
      </w:r>
      <w:r>
        <w:rPr>
          <w:lang w:val="en-GB"/>
        </w:rPr>
        <w:t>e</w:t>
      </w:r>
      <w:r w:rsidRPr="008463F3">
        <w:rPr>
          <w:lang w:val="en-GB"/>
        </w:rPr>
        <w:t>, impurities, hectolitre weight, calcium, chlorides, pH in silage, volatile fatty acids in silage, ammonia nitrogen in silage, total aflatoxins in grain and animal feed.</w:t>
      </w:r>
    </w:p>
    <w:p w14:paraId="6E086EE3" w14:textId="77777777" w:rsidR="007947BF" w:rsidRPr="008463F3" w:rsidRDefault="007947BF" w:rsidP="007947BF">
      <w:pPr>
        <w:jc w:val="both"/>
        <w:rPr>
          <w:lang w:val="en-GB"/>
        </w:rPr>
      </w:pPr>
      <w:r w:rsidRPr="008463F3">
        <w:rPr>
          <w:lang w:val="en-GB"/>
        </w:rPr>
        <w:t>Research equipment: The Faculty does not have single capital research equipment of high value. However, it has research instruments of smaller value (from 600 to 12000 euro) such as: Analytical balance</w:t>
      </w:r>
      <w:r>
        <w:rPr>
          <w:lang w:val="en-GB"/>
        </w:rPr>
        <w:t xml:space="preserve"> </w:t>
      </w:r>
      <w:r w:rsidRPr="008463F3">
        <w:rPr>
          <w:lang w:val="en-GB"/>
        </w:rPr>
        <w:t>(Mettler Toledo AB-204-S), Electric laboratory dryer (</w:t>
      </w:r>
      <w:proofErr w:type="spellStart"/>
      <w:r w:rsidRPr="008463F3">
        <w:rPr>
          <w:lang w:val="en-GB"/>
        </w:rPr>
        <w:t>Memert</w:t>
      </w:r>
      <w:proofErr w:type="spellEnd"/>
      <w:r w:rsidRPr="008463F3">
        <w:rPr>
          <w:lang w:val="en-GB"/>
        </w:rPr>
        <w:t xml:space="preserve"> Germany UM 400); Muffle oven (Linn </w:t>
      </w:r>
      <w:proofErr w:type="spellStart"/>
      <w:r w:rsidRPr="008463F3">
        <w:rPr>
          <w:lang w:val="en-GB"/>
        </w:rPr>
        <w:t>Elektrotherm</w:t>
      </w:r>
      <w:proofErr w:type="spellEnd"/>
      <w:r w:rsidRPr="008463F3">
        <w:rPr>
          <w:lang w:val="en-GB"/>
        </w:rPr>
        <w:t xml:space="preserve"> LM 312-06); Nitrogen combustion apparatus (Gerhardt TT12 A); pH meter (</w:t>
      </w:r>
      <w:proofErr w:type="spellStart"/>
      <w:r w:rsidRPr="008463F3">
        <w:rPr>
          <w:lang w:val="en-GB"/>
        </w:rPr>
        <w:t>Inolab</w:t>
      </w:r>
      <w:proofErr w:type="spellEnd"/>
      <w:r w:rsidRPr="008463F3">
        <w:rPr>
          <w:lang w:val="en-GB"/>
        </w:rPr>
        <w:t xml:space="preserve">); </w:t>
      </w:r>
      <w:proofErr w:type="spellStart"/>
      <w:r w:rsidRPr="008463F3">
        <w:rPr>
          <w:lang w:val="en-GB"/>
        </w:rPr>
        <w:t>Тhermometer</w:t>
      </w:r>
      <w:proofErr w:type="spellEnd"/>
      <w:r w:rsidRPr="008463F3">
        <w:rPr>
          <w:lang w:val="en-GB"/>
        </w:rPr>
        <w:t xml:space="preserve"> (</w:t>
      </w:r>
      <w:proofErr w:type="spellStart"/>
      <w:r w:rsidRPr="008463F3">
        <w:rPr>
          <w:lang w:val="en-GB"/>
        </w:rPr>
        <w:t>Testo</w:t>
      </w:r>
      <w:proofErr w:type="spellEnd"/>
      <w:r w:rsidRPr="008463F3">
        <w:rPr>
          <w:lang w:val="en-GB"/>
        </w:rPr>
        <w:t xml:space="preserve"> AG 925); </w:t>
      </w:r>
      <w:proofErr w:type="spellStart"/>
      <w:r w:rsidRPr="008463F3">
        <w:rPr>
          <w:lang w:val="en-GB"/>
        </w:rPr>
        <w:t>Elisа</w:t>
      </w:r>
      <w:proofErr w:type="spellEnd"/>
      <w:r w:rsidRPr="008463F3">
        <w:rPr>
          <w:lang w:val="en-GB"/>
        </w:rPr>
        <w:t xml:space="preserve"> reader (Stat – Fax); </w:t>
      </w:r>
      <w:proofErr w:type="spellStart"/>
      <w:r w:rsidRPr="008463F3">
        <w:rPr>
          <w:lang w:val="en-GB"/>
        </w:rPr>
        <w:t>Spektrofotometar</w:t>
      </w:r>
      <w:proofErr w:type="spellEnd"/>
      <w:r w:rsidRPr="008463F3">
        <w:rPr>
          <w:lang w:val="en-GB"/>
        </w:rPr>
        <w:t xml:space="preserve"> Cary, </w:t>
      </w:r>
      <w:proofErr w:type="spellStart"/>
      <w:r w:rsidRPr="008463F3">
        <w:rPr>
          <w:lang w:val="en-GB"/>
        </w:rPr>
        <w:t>Janway</w:t>
      </w:r>
      <w:proofErr w:type="spellEnd"/>
      <w:r w:rsidRPr="008463F3">
        <w:rPr>
          <w:lang w:val="en-GB"/>
        </w:rPr>
        <w:t xml:space="preserve"> PFP7- Flame photometer, etc. </w:t>
      </w:r>
    </w:p>
    <w:p w14:paraId="5492F918" w14:textId="77777777" w:rsidR="007947BF" w:rsidRPr="008463F3" w:rsidRDefault="007947BF" w:rsidP="007947BF">
      <w:pPr>
        <w:pStyle w:val="Heading4"/>
        <w:spacing w:after="240"/>
        <w:rPr>
          <w:rFonts w:asciiTheme="minorHAnsi" w:hAnsiTheme="minorHAnsi"/>
          <w:lang w:val="en-GB"/>
        </w:rPr>
      </w:pPr>
      <w:r w:rsidRPr="008463F3">
        <w:rPr>
          <w:rFonts w:asciiTheme="minorHAnsi" w:hAnsiTheme="minorHAnsi"/>
          <w:lang w:val="en-GB"/>
        </w:rPr>
        <w:t>Faculty of Design and Technologies of Furniture and Interior</w:t>
      </w:r>
    </w:p>
    <w:p w14:paraId="256AE6A9" w14:textId="77777777" w:rsidR="007947BF" w:rsidRPr="008463F3" w:rsidRDefault="007947BF" w:rsidP="007947BF">
      <w:pPr>
        <w:pStyle w:val="Heading5"/>
        <w:spacing w:after="240"/>
        <w:rPr>
          <w:rFonts w:asciiTheme="minorHAnsi" w:hAnsiTheme="minorHAnsi"/>
          <w:lang w:val="en-GB"/>
        </w:rPr>
      </w:pPr>
      <w:r>
        <w:rPr>
          <w:rFonts w:asciiTheme="minorHAnsi" w:hAnsiTheme="minorHAnsi"/>
          <w:lang w:val="en-GB"/>
        </w:rPr>
        <w:t xml:space="preserve">Furniture Testing </w:t>
      </w:r>
      <w:r w:rsidRPr="008463F3">
        <w:rPr>
          <w:rFonts w:asciiTheme="minorHAnsi" w:hAnsiTheme="minorHAnsi"/>
          <w:lang w:val="en-GB"/>
        </w:rPr>
        <w:t xml:space="preserve">Laboratory </w:t>
      </w:r>
    </w:p>
    <w:p w14:paraId="111FAC2D" w14:textId="77777777" w:rsidR="007947BF" w:rsidRPr="008463F3" w:rsidRDefault="007947BF" w:rsidP="007947BF">
      <w:pPr>
        <w:jc w:val="both"/>
        <w:rPr>
          <w:lang w:val="en-GB"/>
        </w:rPr>
      </w:pPr>
      <w:r w:rsidRPr="008463F3">
        <w:rPr>
          <w:lang w:val="en-GB"/>
        </w:rPr>
        <w:t xml:space="preserve">The </w:t>
      </w:r>
      <w:r>
        <w:rPr>
          <w:lang w:val="en-GB"/>
        </w:rPr>
        <w:t xml:space="preserve">Furniture and Interior Testing </w:t>
      </w:r>
      <w:r w:rsidRPr="008463F3">
        <w:rPr>
          <w:lang w:val="en-GB"/>
        </w:rPr>
        <w:t>Laboratory was equipped in 2010. Furniture testing protects the end user</w:t>
      </w:r>
      <w:r>
        <w:rPr>
          <w:lang w:val="en-GB"/>
        </w:rPr>
        <w:t>s</w:t>
      </w:r>
      <w:r w:rsidRPr="008463F3">
        <w:rPr>
          <w:lang w:val="en-GB"/>
        </w:rPr>
        <w:t xml:space="preserve"> from unwanted injuries and deformations of the human body. </w:t>
      </w:r>
      <w:r>
        <w:rPr>
          <w:lang w:val="en-GB"/>
        </w:rPr>
        <w:t>T</w:t>
      </w:r>
      <w:r w:rsidRPr="008463F3">
        <w:rPr>
          <w:lang w:val="en-GB"/>
        </w:rPr>
        <w:t xml:space="preserve">esting of windows and doors leads to protection against unnecessary energy loss in the facilities. The trained team, sophisticated equipment and </w:t>
      </w:r>
      <w:r>
        <w:rPr>
          <w:lang w:val="en-GB"/>
        </w:rPr>
        <w:t>continuous</w:t>
      </w:r>
      <w:r w:rsidRPr="008463F3">
        <w:rPr>
          <w:lang w:val="en-GB"/>
        </w:rPr>
        <w:t xml:space="preserve"> quality control offer tangible results for tested units.</w:t>
      </w:r>
    </w:p>
    <w:p w14:paraId="071CF878" w14:textId="77777777" w:rsidR="007947BF" w:rsidRPr="008463F3" w:rsidRDefault="007947BF" w:rsidP="007947BF">
      <w:pPr>
        <w:jc w:val="both"/>
        <w:rPr>
          <w:lang w:val="en-GB"/>
        </w:rPr>
      </w:pPr>
      <w:r w:rsidRPr="008463F3">
        <w:rPr>
          <w:lang w:val="en-GB"/>
        </w:rPr>
        <w:t xml:space="preserve">Services offered: The </w:t>
      </w:r>
      <w:r>
        <w:rPr>
          <w:lang w:val="en-GB"/>
        </w:rPr>
        <w:t>L</w:t>
      </w:r>
      <w:r w:rsidRPr="008463F3">
        <w:rPr>
          <w:lang w:val="en-GB"/>
        </w:rPr>
        <w:t xml:space="preserve">aboratory </w:t>
      </w:r>
      <w:r>
        <w:rPr>
          <w:lang w:val="en-GB"/>
        </w:rPr>
        <w:t>tests</w:t>
      </w:r>
      <w:r w:rsidRPr="008463F3">
        <w:rPr>
          <w:lang w:val="en-GB"/>
        </w:rPr>
        <w:t xml:space="preserve"> the following products: windows; facade systems; interior doors; breaking windows and doors; chairs; desks and tables; mattresses and beds; school furniture; opening systems; corporate furniture; parquet floors and other tests.</w:t>
      </w:r>
    </w:p>
    <w:p w14:paraId="7D74B6F5" w14:textId="77777777" w:rsidR="007947BF" w:rsidRPr="008463F3" w:rsidRDefault="007947BF" w:rsidP="007947BF">
      <w:pPr>
        <w:jc w:val="both"/>
        <w:rPr>
          <w:lang w:val="en-GB"/>
        </w:rPr>
      </w:pPr>
      <w:r w:rsidRPr="008463F3">
        <w:rPr>
          <w:lang w:val="en-GB"/>
        </w:rPr>
        <w:t xml:space="preserve">Research equipment: The Faculty has capital research equipment of high value. The total purchase value of the research equipment was 392.000 euro. However, the equipment is obsolete. </w:t>
      </w:r>
    </w:p>
    <w:p w14:paraId="019BCB05" w14:textId="77777777" w:rsidR="007947BF" w:rsidRPr="008463F3" w:rsidRDefault="007947BF" w:rsidP="007947BF">
      <w:pPr>
        <w:jc w:val="both"/>
        <w:rPr>
          <w:lang w:val="en-GB"/>
        </w:rPr>
      </w:pPr>
    </w:p>
    <w:p w14:paraId="50C83597" w14:textId="77777777" w:rsidR="007947BF" w:rsidRPr="008463F3" w:rsidRDefault="007947BF" w:rsidP="007947BF">
      <w:pPr>
        <w:pStyle w:val="Heading4"/>
        <w:rPr>
          <w:rFonts w:asciiTheme="minorHAnsi" w:hAnsiTheme="minorHAnsi"/>
          <w:lang w:val="en-GB"/>
        </w:rPr>
      </w:pPr>
      <w:r w:rsidRPr="008463F3">
        <w:rPr>
          <w:rFonts w:asciiTheme="minorHAnsi" w:hAnsiTheme="minorHAnsi"/>
          <w:lang w:val="en-GB"/>
        </w:rPr>
        <w:t>Faculty of Civil Engineering</w:t>
      </w:r>
    </w:p>
    <w:p w14:paraId="2BBCB33B" w14:textId="77777777" w:rsidR="007947BF" w:rsidRPr="008463F3" w:rsidRDefault="007947BF" w:rsidP="007947BF">
      <w:pPr>
        <w:pStyle w:val="Heading5"/>
        <w:spacing w:after="240"/>
        <w:rPr>
          <w:rFonts w:asciiTheme="minorHAnsi" w:hAnsiTheme="minorHAnsi"/>
          <w:lang w:val="en-GB"/>
        </w:rPr>
      </w:pPr>
      <w:r>
        <w:rPr>
          <w:rFonts w:asciiTheme="minorHAnsi" w:hAnsiTheme="minorHAnsi"/>
          <w:lang w:val="en-GB"/>
        </w:rPr>
        <w:t>Materials Testing</w:t>
      </w:r>
      <w:r w:rsidRPr="008463F3">
        <w:rPr>
          <w:rFonts w:asciiTheme="minorHAnsi" w:hAnsiTheme="minorHAnsi"/>
          <w:lang w:val="en-GB"/>
        </w:rPr>
        <w:t xml:space="preserve"> </w:t>
      </w:r>
      <w:r>
        <w:rPr>
          <w:rFonts w:asciiTheme="minorHAnsi" w:hAnsiTheme="minorHAnsi"/>
          <w:lang w:val="en-GB"/>
        </w:rPr>
        <w:t>L</w:t>
      </w:r>
      <w:r w:rsidRPr="008463F3">
        <w:rPr>
          <w:rFonts w:asciiTheme="minorHAnsi" w:hAnsiTheme="minorHAnsi"/>
          <w:lang w:val="en-GB"/>
        </w:rPr>
        <w:t xml:space="preserve">aboratory </w:t>
      </w:r>
    </w:p>
    <w:p w14:paraId="0134A76B" w14:textId="77777777" w:rsidR="007947BF" w:rsidRPr="008463F3" w:rsidRDefault="007947BF" w:rsidP="007947BF">
      <w:pPr>
        <w:jc w:val="both"/>
        <w:rPr>
          <w:lang w:val="en-GB"/>
        </w:rPr>
      </w:pPr>
      <w:r w:rsidRPr="008463F3">
        <w:rPr>
          <w:lang w:val="en-GB"/>
        </w:rPr>
        <w:t xml:space="preserve">The </w:t>
      </w:r>
      <w:r>
        <w:rPr>
          <w:lang w:val="en-GB"/>
        </w:rPr>
        <w:t>Materials Testing L</w:t>
      </w:r>
      <w:r w:rsidRPr="008463F3">
        <w:rPr>
          <w:lang w:val="en-GB"/>
        </w:rPr>
        <w:t>aboratory, as an integral part of the Faculty of Civil Engineering in Skopje, is engaged in educational activities and provides services to external clients. The facilities and the equipment are mainly used in the teaching process. However, it is also utili</w:t>
      </w:r>
      <w:r>
        <w:rPr>
          <w:lang w:val="en-GB"/>
        </w:rPr>
        <w:t>s</w:t>
      </w:r>
      <w:r w:rsidRPr="008463F3">
        <w:rPr>
          <w:lang w:val="en-GB"/>
        </w:rPr>
        <w:t>ed for research purposes within domestic and international scientific projects.</w:t>
      </w:r>
    </w:p>
    <w:p w14:paraId="5C076433" w14:textId="77777777" w:rsidR="007947BF" w:rsidRPr="008463F3" w:rsidRDefault="007947BF" w:rsidP="007947BF">
      <w:pPr>
        <w:jc w:val="both"/>
        <w:rPr>
          <w:lang w:val="en-GB"/>
        </w:rPr>
      </w:pPr>
      <w:r w:rsidRPr="008463F3">
        <w:rPr>
          <w:lang w:val="en-GB"/>
        </w:rPr>
        <w:t>Services offered: The Laboratory tests physical and mechanical properties of the engineering materials, such as: concrete, steel, bricks and tails, rock and soil material, asphalt and bituminous products. The Laboratory is also conducting in-situ tests on engineering structures and structural elements such as: buildings, bridges, roads, dams</w:t>
      </w:r>
      <w:r>
        <w:rPr>
          <w:lang w:val="en-GB"/>
        </w:rPr>
        <w:t>,</w:t>
      </w:r>
      <w:r w:rsidRPr="008463F3">
        <w:rPr>
          <w:lang w:val="en-GB"/>
        </w:rPr>
        <w:t xml:space="preserve"> etc.</w:t>
      </w:r>
    </w:p>
    <w:p w14:paraId="229BD870" w14:textId="77777777" w:rsidR="007947BF" w:rsidRPr="008463F3" w:rsidRDefault="007947BF" w:rsidP="007947BF">
      <w:pPr>
        <w:jc w:val="both"/>
        <w:rPr>
          <w:lang w:val="en-GB"/>
        </w:rPr>
      </w:pPr>
      <w:r w:rsidRPr="008463F3">
        <w:rPr>
          <w:lang w:val="en-GB"/>
        </w:rPr>
        <w:t xml:space="preserve">Research equipment: The current value of research equipment is estimated at 50.000 euro. The Faculty is looking for donations and financial support to renew </w:t>
      </w:r>
      <w:r>
        <w:rPr>
          <w:lang w:val="en-GB"/>
        </w:rPr>
        <w:t>its</w:t>
      </w:r>
      <w:r w:rsidRPr="008463F3">
        <w:rPr>
          <w:lang w:val="en-GB"/>
        </w:rPr>
        <w:t xml:space="preserve"> research infrastructure. The own funds for investments in research infrastructure are limited and are primary used to </w:t>
      </w:r>
      <w:r>
        <w:rPr>
          <w:lang w:val="en-GB"/>
        </w:rPr>
        <w:t>maintain</w:t>
      </w:r>
      <w:r w:rsidRPr="008463F3">
        <w:rPr>
          <w:lang w:val="en-GB"/>
        </w:rPr>
        <w:t xml:space="preserve"> the infrastructure </w:t>
      </w:r>
      <w:r>
        <w:rPr>
          <w:lang w:val="en-GB"/>
        </w:rPr>
        <w:t xml:space="preserve">operational </w:t>
      </w:r>
      <w:r w:rsidRPr="008463F3">
        <w:rPr>
          <w:lang w:val="en-GB"/>
        </w:rPr>
        <w:t>for educational purposes.</w:t>
      </w:r>
    </w:p>
    <w:p w14:paraId="4FCB12CF" w14:textId="77777777" w:rsidR="007947BF" w:rsidRPr="008463F3" w:rsidRDefault="007947BF" w:rsidP="007947BF">
      <w:pPr>
        <w:jc w:val="both"/>
        <w:rPr>
          <w:lang w:val="en-GB"/>
        </w:rPr>
      </w:pPr>
    </w:p>
    <w:p w14:paraId="3C9D6C09" w14:textId="77777777" w:rsidR="007947BF" w:rsidRPr="008463F3" w:rsidRDefault="007947BF" w:rsidP="007947BF">
      <w:pPr>
        <w:pStyle w:val="Heading4"/>
        <w:spacing w:after="240"/>
        <w:rPr>
          <w:lang w:val="en-GB"/>
        </w:rPr>
      </w:pPr>
      <w:r w:rsidRPr="008463F3">
        <w:rPr>
          <w:lang w:val="en-GB"/>
        </w:rPr>
        <w:t xml:space="preserve">Faculty of Law </w:t>
      </w:r>
      <w:proofErr w:type="spellStart"/>
      <w:r w:rsidRPr="008463F3">
        <w:rPr>
          <w:lang w:val="en-GB"/>
        </w:rPr>
        <w:t>Iustinianus</w:t>
      </w:r>
      <w:proofErr w:type="spellEnd"/>
      <w:r w:rsidRPr="008463F3">
        <w:rPr>
          <w:lang w:val="en-GB"/>
        </w:rPr>
        <w:t xml:space="preserve"> Primus</w:t>
      </w:r>
    </w:p>
    <w:p w14:paraId="7E467121" w14:textId="77777777" w:rsidR="007947BF" w:rsidRPr="008463F3" w:rsidRDefault="007947BF" w:rsidP="007947BF">
      <w:pPr>
        <w:pStyle w:val="Heading5"/>
        <w:spacing w:after="240"/>
        <w:rPr>
          <w:lang w:val="en-GB"/>
        </w:rPr>
      </w:pPr>
      <w:r w:rsidRPr="008463F3">
        <w:rPr>
          <w:lang w:val="en-GB"/>
        </w:rPr>
        <w:t>Centr</w:t>
      </w:r>
      <w:r>
        <w:rPr>
          <w:lang w:val="en-GB"/>
        </w:rPr>
        <w:t>e</w:t>
      </w:r>
      <w:r w:rsidRPr="008463F3">
        <w:rPr>
          <w:lang w:val="en-GB"/>
        </w:rPr>
        <w:t xml:space="preserve"> for Legal Clinical Education for Vulnerable Groups</w:t>
      </w:r>
    </w:p>
    <w:p w14:paraId="6F6EF359" w14:textId="77777777" w:rsidR="007947BF" w:rsidRPr="008463F3" w:rsidRDefault="007947BF" w:rsidP="007947BF">
      <w:pPr>
        <w:jc w:val="both"/>
        <w:rPr>
          <w:lang w:val="en-GB"/>
        </w:rPr>
      </w:pPr>
      <w:r w:rsidRPr="008463F3">
        <w:rPr>
          <w:lang w:val="en-GB"/>
        </w:rPr>
        <w:t>The Legal Clinic “Centr</w:t>
      </w:r>
      <w:r>
        <w:rPr>
          <w:lang w:val="en-GB"/>
        </w:rPr>
        <w:t>e</w:t>
      </w:r>
      <w:r w:rsidRPr="008463F3">
        <w:rPr>
          <w:lang w:val="en-GB"/>
        </w:rPr>
        <w:t xml:space="preserve"> for Legal Clinical Education for Vulnerable Groups” is an internal organi</w:t>
      </w:r>
      <w:r>
        <w:rPr>
          <w:lang w:val="en-GB"/>
        </w:rPr>
        <w:t>s</w:t>
      </w:r>
      <w:r w:rsidRPr="008463F3">
        <w:rPr>
          <w:lang w:val="en-GB"/>
        </w:rPr>
        <w:t>ational unit of the Faculty of Law "</w:t>
      </w:r>
      <w:proofErr w:type="spellStart"/>
      <w:r w:rsidRPr="008463F3">
        <w:rPr>
          <w:lang w:val="en-GB"/>
        </w:rPr>
        <w:t>Iustinianus</w:t>
      </w:r>
      <w:proofErr w:type="spellEnd"/>
      <w:r w:rsidRPr="008463F3">
        <w:rPr>
          <w:lang w:val="en-GB"/>
        </w:rPr>
        <w:t xml:space="preserve"> Primus" in Skopje providing legal clinical education. The Centr</w:t>
      </w:r>
      <w:r>
        <w:rPr>
          <w:lang w:val="en-GB"/>
        </w:rPr>
        <w:t>e</w:t>
      </w:r>
      <w:r w:rsidRPr="008463F3">
        <w:rPr>
          <w:lang w:val="en-GB"/>
        </w:rPr>
        <w:t xml:space="preserve"> improves legal teaching method and provides practical knowledge and skills in the field of access to justice for vulnerable groups with focus on legal needs of vulnerable groups (Roma, LGBTI+, sex workers, prisoners and their families, persons in social risk</w:t>
      </w:r>
      <w:r>
        <w:rPr>
          <w:lang w:val="en-GB"/>
        </w:rPr>
        <w:t>,</w:t>
      </w:r>
      <w:r w:rsidRPr="008463F3">
        <w:rPr>
          <w:lang w:val="en-GB"/>
        </w:rPr>
        <w:t xml:space="preserve"> etc.) in field of social security, administrative procedures, rights of prisoners and consumer law. </w:t>
      </w:r>
    </w:p>
    <w:p w14:paraId="0E7AA0FC" w14:textId="77777777" w:rsidR="007947BF" w:rsidRPr="008463F3" w:rsidRDefault="007947BF" w:rsidP="007947BF">
      <w:pPr>
        <w:jc w:val="both"/>
        <w:rPr>
          <w:lang w:val="en-GB"/>
        </w:rPr>
      </w:pPr>
      <w:r w:rsidRPr="008463F3">
        <w:rPr>
          <w:lang w:val="en-GB"/>
        </w:rPr>
        <w:t xml:space="preserve">Services offered: The main purpose and objectives of the Legal Clinic for Vulnerable Groups are </w:t>
      </w:r>
      <w:r>
        <w:rPr>
          <w:lang w:val="en-GB"/>
        </w:rPr>
        <w:t>attained</w:t>
      </w:r>
      <w:r w:rsidRPr="008463F3">
        <w:rPr>
          <w:lang w:val="en-GB"/>
        </w:rPr>
        <w:t xml:space="preserve"> through: organi</w:t>
      </w:r>
      <w:r>
        <w:rPr>
          <w:lang w:val="en-GB"/>
        </w:rPr>
        <w:t>s</w:t>
      </w:r>
      <w:r w:rsidRPr="008463F3">
        <w:rPr>
          <w:lang w:val="en-GB"/>
        </w:rPr>
        <w:t xml:space="preserve">ing continuous education (seminars, workshops, etc.) </w:t>
      </w:r>
      <w:r>
        <w:rPr>
          <w:lang w:val="en-GB"/>
        </w:rPr>
        <w:t>to</w:t>
      </w:r>
      <w:r w:rsidRPr="008463F3">
        <w:rPr>
          <w:lang w:val="en-GB"/>
        </w:rPr>
        <w:t xml:space="preserve"> improv</w:t>
      </w:r>
      <w:r>
        <w:rPr>
          <w:lang w:val="en-GB"/>
        </w:rPr>
        <w:t>e</w:t>
      </w:r>
      <w:r w:rsidRPr="008463F3">
        <w:rPr>
          <w:lang w:val="en-GB"/>
        </w:rPr>
        <w:t xml:space="preserve"> practical knowledge and expertise of the students; provision of legal aid to vulnerable groups by develop</w:t>
      </w:r>
      <w:r>
        <w:rPr>
          <w:lang w:val="en-GB"/>
        </w:rPr>
        <w:t>ing</w:t>
      </w:r>
      <w:r w:rsidRPr="008463F3">
        <w:rPr>
          <w:lang w:val="en-GB"/>
        </w:rPr>
        <w:t xml:space="preserve"> information material</w:t>
      </w:r>
      <w:r>
        <w:rPr>
          <w:lang w:val="en-GB"/>
        </w:rPr>
        <w:t>s</w:t>
      </w:r>
      <w:r w:rsidRPr="008463F3">
        <w:rPr>
          <w:lang w:val="en-GB"/>
        </w:rPr>
        <w:t xml:space="preserve"> o</w:t>
      </w:r>
      <w:r>
        <w:rPr>
          <w:lang w:val="en-GB"/>
        </w:rPr>
        <w:t>f</w:t>
      </w:r>
      <w:r w:rsidRPr="008463F3">
        <w:rPr>
          <w:lang w:val="en-GB"/>
        </w:rPr>
        <w:t xml:space="preserve"> research of their legal needs and working on specific cases; analysis of relevant court practice and </w:t>
      </w:r>
      <w:r>
        <w:rPr>
          <w:lang w:val="en-GB"/>
        </w:rPr>
        <w:t>that</w:t>
      </w:r>
      <w:r w:rsidRPr="008463F3">
        <w:rPr>
          <w:lang w:val="en-GB"/>
        </w:rPr>
        <w:t xml:space="preserve"> of administrative bod</w:t>
      </w:r>
      <w:r>
        <w:rPr>
          <w:lang w:val="en-GB"/>
        </w:rPr>
        <w:t>i</w:t>
      </w:r>
      <w:r w:rsidRPr="008463F3">
        <w:rPr>
          <w:lang w:val="en-GB"/>
        </w:rPr>
        <w:t>es; cooperation with CSOs active in the field of legal protection of marginali</w:t>
      </w:r>
      <w:r>
        <w:rPr>
          <w:lang w:val="en-GB"/>
        </w:rPr>
        <w:t>s</w:t>
      </w:r>
      <w:r w:rsidRPr="008463F3">
        <w:rPr>
          <w:lang w:val="en-GB"/>
        </w:rPr>
        <w:t>ed groups.</w:t>
      </w:r>
    </w:p>
    <w:p w14:paraId="117E9C92" w14:textId="77777777" w:rsidR="007947BF" w:rsidRPr="008463F3" w:rsidRDefault="007947BF" w:rsidP="007947BF">
      <w:pPr>
        <w:pStyle w:val="Heading5"/>
        <w:spacing w:after="240"/>
        <w:rPr>
          <w:lang w:val="en-GB"/>
        </w:rPr>
      </w:pPr>
      <w:r w:rsidRPr="008463F3">
        <w:rPr>
          <w:lang w:val="en-GB"/>
        </w:rPr>
        <w:t>Centr</w:t>
      </w:r>
      <w:r>
        <w:rPr>
          <w:lang w:val="en-GB"/>
        </w:rPr>
        <w:t>e</w:t>
      </w:r>
      <w:r w:rsidRPr="008463F3">
        <w:rPr>
          <w:lang w:val="en-GB"/>
        </w:rPr>
        <w:t xml:space="preserve"> for Legal Clinical Education in Criminal Law</w:t>
      </w:r>
    </w:p>
    <w:p w14:paraId="41494948" w14:textId="77777777" w:rsidR="007947BF" w:rsidRPr="008463F3" w:rsidRDefault="007947BF" w:rsidP="007947BF">
      <w:pPr>
        <w:jc w:val="both"/>
        <w:rPr>
          <w:lang w:val="en-GB"/>
        </w:rPr>
      </w:pPr>
      <w:r w:rsidRPr="008463F3">
        <w:rPr>
          <w:lang w:val="en-GB"/>
        </w:rPr>
        <w:t>The Legal Clinic “Centr</w:t>
      </w:r>
      <w:r>
        <w:rPr>
          <w:lang w:val="en-GB"/>
        </w:rPr>
        <w:t>e</w:t>
      </w:r>
      <w:r w:rsidRPr="008463F3">
        <w:rPr>
          <w:lang w:val="en-GB"/>
        </w:rPr>
        <w:t xml:space="preserve"> for Legal Clinical Education in Criminal Law” is an internal organi</w:t>
      </w:r>
      <w:r>
        <w:rPr>
          <w:lang w:val="en-GB"/>
        </w:rPr>
        <w:t>s</w:t>
      </w:r>
      <w:r w:rsidRPr="008463F3">
        <w:rPr>
          <w:lang w:val="en-GB"/>
        </w:rPr>
        <w:t>ational unit of the Faculty of Law "</w:t>
      </w:r>
      <w:proofErr w:type="spellStart"/>
      <w:r w:rsidRPr="008463F3">
        <w:rPr>
          <w:lang w:val="en-GB"/>
        </w:rPr>
        <w:t>Iustinianus</w:t>
      </w:r>
      <w:proofErr w:type="spellEnd"/>
      <w:r w:rsidRPr="008463F3">
        <w:rPr>
          <w:lang w:val="en-GB"/>
        </w:rPr>
        <w:t xml:space="preserve"> Primus" in Skopje providing legal clinical education. The Centr</w:t>
      </w:r>
      <w:r>
        <w:rPr>
          <w:lang w:val="en-GB"/>
        </w:rPr>
        <w:t>e</w:t>
      </w:r>
      <w:r w:rsidRPr="008463F3">
        <w:rPr>
          <w:lang w:val="en-GB"/>
        </w:rPr>
        <w:t xml:space="preserve"> improves legal teaching method and provides practical knowledge and skills in the field of criminal procedure law and criminal substantive law </w:t>
      </w:r>
      <w:r>
        <w:rPr>
          <w:lang w:val="en-GB"/>
        </w:rPr>
        <w:t>for</w:t>
      </w:r>
      <w:r w:rsidRPr="008463F3">
        <w:rPr>
          <w:lang w:val="en-GB"/>
        </w:rPr>
        <w:t xml:space="preserve"> the students </w:t>
      </w:r>
      <w:r>
        <w:rPr>
          <w:lang w:val="en-GB"/>
        </w:rPr>
        <w:t>of</w:t>
      </w:r>
      <w:r w:rsidRPr="008463F3">
        <w:rPr>
          <w:lang w:val="en-GB"/>
        </w:rPr>
        <w:t xml:space="preserve"> Master</w:t>
      </w:r>
      <w:r>
        <w:rPr>
          <w:lang w:val="en-GB"/>
        </w:rPr>
        <w:t>’s</w:t>
      </w:r>
      <w:r w:rsidRPr="008463F3">
        <w:rPr>
          <w:lang w:val="en-GB"/>
        </w:rPr>
        <w:t xml:space="preserve"> studies in Criminal Law at the Faculty. </w:t>
      </w:r>
    </w:p>
    <w:p w14:paraId="338D2A7F" w14:textId="77777777" w:rsidR="007947BF" w:rsidRPr="008463F3" w:rsidRDefault="007947BF" w:rsidP="007947BF">
      <w:pPr>
        <w:jc w:val="both"/>
        <w:rPr>
          <w:lang w:val="en-GB"/>
        </w:rPr>
      </w:pPr>
      <w:r w:rsidRPr="008463F3">
        <w:rPr>
          <w:lang w:val="en-GB"/>
        </w:rPr>
        <w:t>Services offered: The main purpose and objectives of the Centr</w:t>
      </w:r>
      <w:r>
        <w:rPr>
          <w:lang w:val="en-GB"/>
        </w:rPr>
        <w:t>e</w:t>
      </w:r>
      <w:r w:rsidRPr="008463F3">
        <w:rPr>
          <w:lang w:val="en-GB"/>
        </w:rPr>
        <w:t xml:space="preserve"> for Legal Clinical Education in Criminal Law are </w:t>
      </w:r>
      <w:r>
        <w:rPr>
          <w:lang w:val="en-GB"/>
        </w:rPr>
        <w:t>attained</w:t>
      </w:r>
      <w:r w:rsidRPr="008463F3">
        <w:rPr>
          <w:lang w:val="en-GB"/>
        </w:rPr>
        <w:t xml:space="preserve"> through: organi</w:t>
      </w:r>
      <w:r>
        <w:rPr>
          <w:lang w:val="en-GB"/>
        </w:rPr>
        <w:t>s</w:t>
      </w:r>
      <w:r w:rsidRPr="008463F3">
        <w:rPr>
          <w:lang w:val="en-GB"/>
        </w:rPr>
        <w:t xml:space="preserve">ing continuous education (seminars, workshops, etc.) </w:t>
      </w:r>
      <w:r>
        <w:rPr>
          <w:lang w:val="en-GB"/>
        </w:rPr>
        <w:t>to</w:t>
      </w:r>
      <w:r w:rsidRPr="008463F3">
        <w:rPr>
          <w:lang w:val="en-GB"/>
        </w:rPr>
        <w:t xml:space="preserve"> improv</w:t>
      </w:r>
      <w:r>
        <w:rPr>
          <w:lang w:val="en-GB"/>
        </w:rPr>
        <w:t>e</w:t>
      </w:r>
      <w:r w:rsidRPr="008463F3">
        <w:rPr>
          <w:lang w:val="en-GB"/>
        </w:rPr>
        <w:t xml:space="preserve"> practical knowledge and expertise of the students of Master</w:t>
      </w:r>
      <w:r>
        <w:rPr>
          <w:lang w:val="en-GB"/>
        </w:rPr>
        <w:t>’s</w:t>
      </w:r>
      <w:r w:rsidRPr="008463F3">
        <w:rPr>
          <w:lang w:val="en-GB"/>
        </w:rPr>
        <w:t xml:space="preserve"> studies in Criminal Law; conducting scientific, developmental and applied research in the field of criminal law; organi</w:t>
      </w:r>
      <w:r>
        <w:rPr>
          <w:lang w:val="en-GB"/>
        </w:rPr>
        <w:t>s</w:t>
      </w:r>
      <w:r w:rsidRPr="008463F3">
        <w:rPr>
          <w:lang w:val="en-GB"/>
        </w:rPr>
        <w:t>ing and conducting scientific and professional applied activit</w:t>
      </w:r>
      <w:r>
        <w:rPr>
          <w:lang w:val="en-GB"/>
        </w:rPr>
        <w:t>ies</w:t>
      </w:r>
      <w:r w:rsidRPr="008463F3">
        <w:rPr>
          <w:lang w:val="en-GB"/>
        </w:rPr>
        <w:t>; publications in the field of criminal law; cooperation with domestic and foreign institutions</w:t>
      </w:r>
      <w:r>
        <w:rPr>
          <w:lang w:val="en-GB"/>
        </w:rPr>
        <w:t>,</w:t>
      </w:r>
      <w:r w:rsidRPr="008463F3">
        <w:rPr>
          <w:lang w:val="en-GB"/>
        </w:rPr>
        <w:t xml:space="preserve"> and higher education and scientific institutions</w:t>
      </w:r>
      <w:r>
        <w:rPr>
          <w:lang w:val="en-GB"/>
        </w:rPr>
        <w:t>,</w:t>
      </w:r>
      <w:r w:rsidRPr="008463F3">
        <w:rPr>
          <w:lang w:val="en-GB"/>
        </w:rPr>
        <w:t xml:space="preserve"> and other forms of international cooperation, independently and through the Faculty.</w:t>
      </w:r>
    </w:p>
    <w:p w14:paraId="49A40DB9" w14:textId="77777777" w:rsidR="007947BF" w:rsidRPr="008463F3" w:rsidRDefault="007947BF" w:rsidP="007947BF">
      <w:pPr>
        <w:jc w:val="both"/>
        <w:rPr>
          <w:lang w:val="en-GB"/>
        </w:rPr>
      </w:pPr>
      <w:r w:rsidRPr="008463F3">
        <w:rPr>
          <w:lang w:val="en-GB"/>
        </w:rPr>
        <w:t>The Faculty does not have capital research equipment.</w:t>
      </w:r>
    </w:p>
    <w:p w14:paraId="35AF45E7" w14:textId="77777777" w:rsidR="007947BF" w:rsidRPr="008463F3" w:rsidRDefault="007947BF" w:rsidP="007947BF">
      <w:pPr>
        <w:jc w:val="both"/>
        <w:rPr>
          <w:lang w:val="en-GB"/>
        </w:rPr>
      </w:pPr>
    </w:p>
    <w:p w14:paraId="201984A3" w14:textId="77777777" w:rsidR="007947BF" w:rsidRPr="008463F3" w:rsidRDefault="007947BF" w:rsidP="007947BF">
      <w:pPr>
        <w:pStyle w:val="Heading4"/>
        <w:spacing w:after="240"/>
        <w:rPr>
          <w:lang w:val="en-GB"/>
        </w:rPr>
      </w:pPr>
      <w:r w:rsidRPr="008463F3">
        <w:rPr>
          <w:lang w:val="en-GB"/>
        </w:rPr>
        <w:t xml:space="preserve">Institute of Earthquake Engineering and Engineering Seismology </w:t>
      </w:r>
    </w:p>
    <w:p w14:paraId="0E023344" w14:textId="77777777" w:rsidR="007947BF" w:rsidRPr="008463F3" w:rsidRDefault="007947BF" w:rsidP="007947BF">
      <w:pPr>
        <w:jc w:val="both"/>
        <w:rPr>
          <w:lang w:val="en-GB"/>
        </w:rPr>
      </w:pPr>
      <w:r w:rsidRPr="008463F3">
        <w:rPr>
          <w:lang w:val="en-GB"/>
        </w:rPr>
        <w:t>The Institute of Earthquake Engineering and Engineering Seismology is one of the oldest institutes established in 1965. The Institute has a long tradition in shake table testing, quasi-static testing, in</w:t>
      </w:r>
      <w:r>
        <w:rPr>
          <w:lang w:val="en-GB"/>
        </w:rPr>
        <w:t>-</w:t>
      </w:r>
      <w:r w:rsidRPr="008463F3">
        <w:rPr>
          <w:lang w:val="en-GB"/>
        </w:rPr>
        <w:t xml:space="preserve">situ forced and ambient vibration testing. The Institute has three research laboratories: </w:t>
      </w:r>
      <w:r>
        <w:rPr>
          <w:lang w:val="en-GB"/>
        </w:rPr>
        <w:t>D</w:t>
      </w:r>
      <w:r w:rsidRPr="008463F3">
        <w:rPr>
          <w:lang w:val="en-GB"/>
        </w:rPr>
        <w:t xml:space="preserve">ynamic </w:t>
      </w:r>
      <w:r>
        <w:rPr>
          <w:lang w:val="en-GB"/>
        </w:rPr>
        <w:t>T</w:t>
      </w:r>
      <w:r w:rsidRPr="008463F3">
        <w:rPr>
          <w:lang w:val="en-GB"/>
        </w:rPr>
        <w:t xml:space="preserve">esting laboratory, Laboratory for </w:t>
      </w:r>
      <w:r>
        <w:rPr>
          <w:lang w:val="en-GB"/>
        </w:rPr>
        <w:t>D</w:t>
      </w:r>
      <w:r w:rsidRPr="008463F3">
        <w:rPr>
          <w:lang w:val="en-GB"/>
        </w:rPr>
        <w:t xml:space="preserve">ynamics of </w:t>
      </w:r>
      <w:r>
        <w:rPr>
          <w:lang w:val="en-GB"/>
        </w:rPr>
        <w:t>S</w:t>
      </w:r>
      <w:r w:rsidRPr="008463F3">
        <w:rPr>
          <w:lang w:val="en-GB"/>
        </w:rPr>
        <w:t xml:space="preserve">oil and </w:t>
      </w:r>
      <w:r>
        <w:rPr>
          <w:lang w:val="en-GB"/>
        </w:rPr>
        <w:t>F</w:t>
      </w:r>
      <w:r w:rsidRPr="008463F3">
        <w:rPr>
          <w:lang w:val="en-GB"/>
        </w:rPr>
        <w:t xml:space="preserve">oundation and Laboratory for </w:t>
      </w:r>
      <w:r>
        <w:rPr>
          <w:lang w:val="en-GB"/>
        </w:rPr>
        <w:t>N</w:t>
      </w:r>
      <w:r w:rsidRPr="008463F3">
        <w:rPr>
          <w:lang w:val="en-GB"/>
        </w:rPr>
        <w:t xml:space="preserve">on-destructive </w:t>
      </w:r>
      <w:r>
        <w:rPr>
          <w:lang w:val="en-GB"/>
        </w:rPr>
        <w:t>T</w:t>
      </w:r>
      <w:r w:rsidRPr="008463F3">
        <w:rPr>
          <w:lang w:val="en-GB"/>
        </w:rPr>
        <w:t>esting.</w:t>
      </w:r>
    </w:p>
    <w:p w14:paraId="05756736" w14:textId="77777777" w:rsidR="007947BF" w:rsidRPr="008463F3" w:rsidRDefault="007947BF" w:rsidP="007947BF">
      <w:pPr>
        <w:spacing w:after="0"/>
        <w:jc w:val="both"/>
        <w:rPr>
          <w:lang w:val="en-GB"/>
        </w:rPr>
      </w:pPr>
      <w:r w:rsidRPr="008463F3">
        <w:rPr>
          <w:lang w:val="en-GB"/>
        </w:rPr>
        <w:t>Services offered:</w:t>
      </w:r>
    </w:p>
    <w:p w14:paraId="04053C3E" w14:textId="77777777" w:rsidR="007947BF" w:rsidRPr="008463F3" w:rsidRDefault="007947BF" w:rsidP="007947BF">
      <w:pPr>
        <w:pStyle w:val="ListParagraph"/>
        <w:numPr>
          <w:ilvl w:val="0"/>
          <w:numId w:val="28"/>
        </w:numPr>
        <w:jc w:val="both"/>
        <w:rPr>
          <w:lang w:val="en-GB"/>
        </w:rPr>
      </w:pPr>
      <w:r w:rsidRPr="008463F3">
        <w:rPr>
          <w:lang w:val="en-GB"/>
        </w:rPr>
        <w:t xml:space="preserve">The Dynamic Testing Laboratory: Experimental shake table tests on physical models of buildings, historic and engineering structures; </w:t>
      </w:r>
      <w:r>
        <w:rPr>
          <w:lang w:val="en-GB"/>
        </w:rPr>
        <w:t>d</w:t>
      </w:r>
      <w:r w:rsidRPr="008463F3">
        <w:rPr>
          <w:lang w:val="en-GB"/>
        </w:rPr>
        <w:t xml:space="preserve">ynamic testing of materials, structural elements and joints; </w:t>
      </w:r>
      <w:r>
        <w:rPr>
          <w:lang w:val="en-GB"/>
        </w:rPr>
        <w:t>s</w:t>
      </w:r>
      <w:r w:rsidRPr="008463F3">
        <w:rPr>
          <w:lang w:val="en-GB"/>
        </w:rPr>
        <w:t xml:space="preserve">tatic and quasi-static cyclic testing of full-scale nodes, elements and joints for definition of their mechanical properties; </w:t>
      </w:r>
      <w:r>
        <w:rPr>
          <w:lang w:val="en-GB"/>
        </w:rPr>
        <w:t>e</w:t>
      </w:r>
      <w:r w:rsidRPr="008463F3">
        <w:rPr>
          <w:lang w:val="en-GB"/>
        </w:rPr>
        <w:t xml:space="preserve">xperimental seismic shake table tests for seismic qualification of mechanical and electrical-mechanical equipment; </w:t>
      </w:r>
      <w:r>
        <w:rPr>
          <w:lang w:val="en-GB"/>
        </w:rPr>
        <w:t>r</w:t>
      </w:r>
      <w:r w:rsidRPr="008463F3">
        <w:rPr>
          <w:lang w:val="en-GB"/>
        </w:rPr>
        <w:t xml:space="preserve">esearch, development and practical application of systems for control of dynamic response and systems for passive dissipation of energy in structures exposed to earthquakes, wind and other dynamic effects; </w:t>
      </w:r>
      <w:r>
        <w:rPr>
          <w:lang w:val="en-GB"/>
        </w:rPr>
        <w:t>r</w:t>
      </w:r>
      <w:r w:rsidRPr="008463F3">
        <w:rPr>
          <w:lang w:val="en-GB"/>
        </w:rPr>
        <w:t xml:space="preserve">esearch, development and practical application of systems for seismic isolation and isolation of vibrations of structures exposed to earthquakes and vibrations caused by people, different technological processes and traffic; </w:t>
      </w:r>
      <w:r>
        <w:rPr>
          <w:lang w:val="en-GB"/>
        </w:rPr>
        <w:t>d</w:t>
      </w:r>
      <w:r w:rsidRPr="008463F3">
        <w:rPr>
          <w:lang w:val="en-GB"/>
        </w:rPr>
        <w:t xml:space="preserve">evelopment of applicative software; </w:t>
      </w:r>
      <w:r>
        <w:rPr>
          <w:lang w:val="en-GB"/>
        </w:rPr>
        <w:t>i</w:t>
      </w:r>
      <w:r w:rsidRPr="008463F3">
        <w:rPr>
          <w:lang w:val="en-GB"/>
        </w:rPr>
        <w:t xml:space="preserve">n-situ testing by ambient vibration method of high rise structures, historic monuments, engineering and special structures for definition of dynamic characteristics – natural frequencies, mode shapes and damping coefficients; </w:t>
      </w:r>
      <w:r>
        <w:rPr>
          <w:lang w:val="en-GB"/>
        </w:rPr>
        <w:t>i</w:t>
      </w:r>
      <w:r w:rsidRPr="008463F3">
        <w:rPr>
          <w:lang w:val="en-GB"/>
        </w:rPr>
        <w:t xml:space="preserve">n-situ testing by forced vibration method of high rise structures, historic monuments, engineering and special structures for definition of dynamic characteristics – natural frequencies, mode shapes, damping coefficients and soil-structure interaction; </w:t>
      </w:r>
      <w:r>
        <w:rPr>
          <w:lang w:val="en-GB"/>
        </w:rPr>
        <w:t>m</w:t>
      </w:r>
      <w:r w:rsidRPr="008463F3">
        <w:rPr>
          <w:lang w:val="en-GB"/>
        </w:rPr>
        <w:t xml:space="preserve">onitoring and measuring of vibrations of equipment and machines in industrial structures and power plants, in non-operational and operational conditions; </w:t>
      </w:r>
      <w:r>
        <w:rPr>
          <w:lang w:val="en-GB"/>
        </w:rPr>
        <w:t>m</w:t>
      </w:r>
      <w:r w:rsidRPr="008463F3">
        <w:rPr>
          <w:lang w:val="en-GB"/>
        </w:rPr>
        <w:t xml:space="preserve">onitoring and measurement of vibrations of bridge structures in traffic conditions or another type of dynamic excitation in the surrounding; </w:t>
      </w:r>
      <w:r>
        <w:rPr>
          <w:lang w:val="en-GB"/>
        </w:rPr>
        <w:t>m</w:t>
      </w:r>
      <w:r w:rsidRPr="008463F3">
        <w:rPr>
          <w:lang w:val="en-GB"/>
        </w:rPr>
        <w:t xml:space="preserve">onitoring and measurement of vibrations of structures caused by human activities; </w:t>
      </w:r>
      <w:r>
        <w:rPr>
          <w:lang w:val="en-GB"/>
        </w:rPr>
        <w:t>s</w:t>
      </w:r>
      <w:r w:rsidRPr="008463F3">
        <w:rPr>
          <w:lang w:val="en-GB"/>
        </w:rPr>
        <w:t>eismic tests for qualification of different types of electrical equipment, mechanical equipment and non-structural elements.</w:t>
      </w:r>
    </w:p>
    <w:p w14:paraId="57E4BDC9" w14:textId="77777777" w:rsidR="007947BF" w:rsidRPr="008463F3" w:rsidRDefault="007947BF" w:rsidP="007947BF">
      <w:pPr>
        <w:pStyle w:val="ListParagraph"/>
        <w:numPr>
          <w:ilvl w:val="0"/>
          <w:numId w:val="28"/>
        </w:numPr>
        <w:jc w:val="both"/>
        <w:rPr>
          <w:lang w:val="en-GB"/>
        </w:rPr>
      </w:pPr>
      <w:r w:rsidRPr="008463F3">
        <w:rPr>
          <w:lang w:val="en-GB"/>
        </w:rPr>
        <w:t xml:space="preserve">Laboratory for Dynamic Soil and Foundation: Scientifically based approach for evaluation of liquefaction occurrence potential; </w:t>
      </w:r>
      <w:r>
        <w:rPr>
          <w:lang w:val="en-GB"/>
        </w:rPr>
        <w:t>r</w:t>
      </w:r>
      <w:r w:rsidRPr="008463F3">
        <w:rPr>
          <w:lang w:val="en-GB"/>
        </w:rPr>
        <w:t xml:space="preserve">eal simulation of soil materials in a laminar container; </w:t>
      </w:r>
      <w:r>
        <w:rPr>
          <w:lang w:val="en-GB"/>
        </w:rPr>
        <w:t>d</w:t>
      </w:r>
      <w:r w:rsidRPr="008463F3">
        <w:rPr>
          <w:lang w:val="en-GB"/>
        </w:rPr>
        <w:t xml:space="preserve">evelopment of numerical models for analysis of stability of construction pits against static and dynamic loads, assessment of risk pertaining to landslides, analysis of water saturated soil and different problems in the field of geotechnical – earthquake engineering; </w:t>
      </w:r>
      <w:r>
        <w:rPr>
          <w:lang w:val="en-GB"/>
        </w:rPr>
        <w:t>n</w:t>
      </w:r>
      <w:r w:rsidRPr="008463F3">
        <w:rPr>
          <w:lang w:val="en-GB"/>
        </w:rPr>
        <w:t xml:space="preserve">umerical simulation of multi-phase soil by use of own software; </w:t>
      </w:r>
      <w:r>
        <w:rPr>
          <w:lang w:val="en-GB"/>
        </w:rPr>
        <w:t>d</w:t>
      </w:r>
      <w:r w:rsidRPr="008463F3">
        <w:rPr>
          <w:lang w:val="en-GB"/>
        </w:rPr>
        <w:t xml:space="preserve">efinition of strength-deformability moduli of soil specimens on direct shear apparatus; </w:t>
      </w:r>
      <w:r>
        <w:rPr>
          <w:lang w:val="en-GB"/>
        </w:rPr>
        <w:t>d</w:t>
      </w:r>
      <w:r w:rsidRPr="008463F3">
        <w:rPr>
          <w:lang w:val="en-GB"/>
        </w:rPr>
        <w:t xml:space="preserve">efinition of seismic parameters for locations </w:t>
      </w:r>
      <w:r>
        <w:rPr>
          <w:lang w:val="en-GB"/>
        </w:rPr>
        <w:t>intended</w:t>
      </w:r>
      <w:r w:rsidRPr="008463F3">
        <w:rPr>
          <w:lang w:val="en-GB"/>
        </w:rPr>
        <w:t xml:space="preserve"> for construction of structures of the first category; </w:t>
      </w:r>
      <w:r>
        <w:rPr>
          <w:lang w:val="en-GB"/>
        </w:rPr>
        <w:t>d</w:t>
      </w:r>
      <w:r w:rsidRPr="008463F3">
        <w:rPr>
          <w:lang w:val="en-GB"/>
        </w:rPr>
        <w:t xml:space="preserve">efinition of seismic potential of locations </w:t>
      </w:r>
      <w:r>
        <w:rPr>
          <w:lang w:val="en-GB"/>
        </w:rPr>
        <w:t>intended</w:t>
      </w:r>
      <w:r w:rsidRPr="008463F3">
        <w:rPr>
          <w:lang w:val="en-GB"/>
        </w:rPr>
        <w:t xml:space="preserve"> for construction of important structures; </w:t>
      </w:r>
      <w:r>
        <w:rPr>
          <w:lang w:val="en-GB"/>
        </w:rPr>
        <w:t>l</w:t>
      </w:r>
      <w:r w:rsidRPr="008463F3">
        <w:rPr>
          <w:lang w:val="en-GB"/>
        </w:rPr>
        <w:t xml:space="preserve">aboratory investigations of material curves obtained for specific locations; </w:t>
      </w:r>
      <w:r>
        <w:rPr>
          <w:lang w:val="en-GB"/>
        </w:rPr>
        <w:t>d</w:t>
      </w:r>
      <w:r w:rsidRPr="008463F3">
        <w:rPr>
          <w:lang w:val="en-GB"/>
        </w:rPr>
        <w:t>esign and revision of more important structures pertaining to geotechnical-earthquake engineering</w:t>
      </w:r>
      <w:r>
        <w:rPr>
          <w:lang w:val="en-GB"/>
        </w:rPr>
        <w:t>;</w:t>
      </w:r>
      <w:r w:rsidRPr="008463F3">
        <w:rPr>
          <w:lang w:val="en-GB"/>
        </w:rPr>
        <w:t xml:space="preserve"> and </w:t>
      </w:r>
      <w:r>
        <w:rPr>
          <w:lang w:val="en-GB"/>
        </w:rPr>
        <w:t>a</w:t>
      </w:r>
      <w:r w:rsidRPr="008463F3">
        <w:rPr>
          <w:lang w:val="en-GB"/>
        </w:rPr>
        <w:t>nalysis and solution of problems related to structural consolidation of structures.</w:t>
      </w:r>
    </w:p>
    <w:p w14:paraId="7D51A8C0" w14:textId="77777777" w:rsidR="007947BF" w:rsidRPr="008463F3" w:rsidRDefault="007947BF" w:rsidP="007947BF">
      <w:pPr>
        <w:pStyle w:val="ListParagraph"/>
        <w:numPr>
          <w:ilvl w:val="0"/>
          <w:numId w:val="28"/>
        </w:numPr>
        <w:jc w:val="both"/>
        <w:rPr>
          <w:lang w:val="en-GB"/>
        </w:rPr>
      </w:pPr>
      <w:r w:rsidRPr="008463F3">
        <w:rPr>
          <w:lang w:val="en-GB"/>
        </w:rPr>
        <w:t xml:space="preserve">Laboratory for </w:t>
      </w:r>
      <w:r>
        <w:rPr>
          <w:lang w:val="en-GB"/>
        </w:rPr>
        <w:t>N</w:t>
      </w:r>
      <w:r w:rsidRPr="008463F3">
        <w:rPr>
          <w:lang w:val="en-GB"/>
        </w:rPr>
        <w:t xml:space="preserve">on-destructive </w:t>
      </w:r>
      <w:r>
        <w:rPr>
          <w:lang w:val="en-GB"/>
        </w:rPr>
        <w:t>T</w:t>
      </w:r>
      <w:r w:rsidRPr="008463F3">
        <w:rPr>
          <w:lang w:val="en-GB"/>
        </w:rPr>
        <w:t xml:space="preserve">ests: Monitoring of conditions, detection of damages to buildings, historic structures and monuments and measures for structural rehabilitation; </w:t>
      </w:r>
      <w:r>
        <w:rPr>
          <w:lang w:val="en-GB"/>
        </w:rPr>
        <w:t>d</w:t>
      </w:r>
      <w:r w:rsidRPr="008463F3">
        <w:rPr>
          <w:lang w:val="en-GB"/>
        </w:rPr>
        <w:t>iagnosis, repair, structural strengthening, reconstruction, rehabilitation, enlargements and built additional storeys on existing high rises</w:t>
      </w:r>
      <w:r>
        <w:rPr>
          <w:lang w:val="en-GB"/>
        </w:rPr>
        <w:t>;</w:t>
      </w:r>
      <w:r w:rsidRPr="008463F3">
        <w:rPr>
          <w:lang w:val="en-GB"/>
        </w:rPr>
        <w:t xml:space="preserve"> and </w:t>
      </w:r>
      <w:r>
        <w:rPr>
          <w:lang w:val="en-GB"/>
        </w:rPr>
        <w:t>a</w:t>
      </w:r>
      <w:r w:rsidRPr="008463F3">
        <w:rPr>
          <w:lang w:val="en-GB"/>
        </w:rPr>
        <w:t>nalysis of high rise structures: elastic, static and seismic analysis, analysis of bearing and deformability capacity, nonlinear static analysis, nonlinear dynamic analyses for real earthquake records.</w:t>
      </w:r>
    </w:p>
    <w:p w14:paraId="40C3BAB2" w14:textId="77777777" w:rsidR="007947BF" w:rsidRPr="008463F3" w:rsidRDefault="007947BF" w:rsidP="007947BF">
      <w:pPr>
        <w:jc w:val="both"/>
        <w:rPr>
          <w:lang w:val="en-GB"/>
        </w:rPr>
      </w:pPr>
      <w:r w:rsidRPr="008463F3">
        <w:rPr>
          <w:lang w:val="en-GB"/>
        </w:rPr>
        <w:t>Research equipment: The Institute owns capital research equipment of total current estimated value of 3 mil euros. The single capital research equipment, at purchase price higher than 50.000 euros, is listed in Appendix 1.</w:t>
      </w:r>
    </w:p>
    <w:p w14:paraId="2FDE1CB3" w14:textId="77777777" w:rsidR="007947BF" w:rsidRPr="008463F3" w:rsidRDefault="007947BF" w:rsidP="007947BF">
      <w:pPr>
        <w:pStyle w:val="Heading4"/>
        <w:spacing w:after="240"/>
        <w:rPr>
          <w:rFonts w:asciiTheme="minorHAnsi" w:hAnsiTheme="minorHAnsi"/>
          <w:lang w:val="en-GB"/>
        </w:rPr>
      </w:pPr>
      <w:r w:rsidRPr="008463F3">
        <w:rPr>
          <w:rFonts w:asciiTheme="minorHAnsi" w:hAnsiTheme="minorHAnsi"/>
          <w:lang w:val="en-GB"/>
        </w:rPr>
        <w:t>Institute of Animal Science</w:t>
      </w:r>
    </w:p>
    <w:p w14:paraId="76FFD74A" w14:textId="77777777" w:rsidR="007947BF" w:rsidRPr="008463F3" w:rsidRDefault="007947BF" w:rsidP="007947BF">
      <w:pPr>
        <w:jc w:val="both"/>
        <w:rPr>
          <w:lang w:val="en-GB"/>
        </w:rPr>
      </w:pPr>
      <w:r w:rsidRPr="008463F3">
        <w:rPr>
          <w:lang w:val="en-GB"/>
        </w:rPr>
        <w:t xml:space="preserve">The main research activities of the Institute of Animal Science include: </w:t>
      </w:r>
      <w:r>
        <w:rPr>
          <w:lang w:val="en-GB"/>
        </w:rPr>
        <w:t>n</w:t>
      </w:r>
      <w:r w:rsidRPr="008463F3">
        <w:rPr>
          <w:lang w:val="en-GB"/>
        </w:rPr>
        <w:t xml:space="preserve">utrition and dietetics of domestic animals as well as finding solutions to obtain animal products with improved qualities; </w:t>
      </w:r>
      <w:r>
        <w:rPr>
          <w:lang w:val="en-GB"/>
        </w:rPr>
        <w:t>c</w:t>
      </w:r>
      <w:r w:rsidRPr="008463F3">
        <w:rPr>
          <w:lang w:val="en-GB"/>
        </w:rPr>
        <w:t xml:space="preserve">ontrol of herd booking and biodiversity of endemic and domestic animals; </w:t>
      </w:r>
      <w:r>
        <w:rPr>
          <w:lang w:val="en-GB"/>
        </w:rPr>
        <w:t>c</w:t>
      </w:r>
      <w:r w:rsidRPr="008463F3">
        <w:rPr>
          <w:lang w:val="en-GB"/>
        </w:rPr>
        <w:t xml:space="preserve">ollaboration with the farmers as well as finding solutions to obtain animal products with improved qualities; </w:t>
      </w:r>
      <w:r>
        <w:rPr>
          <w:lang w:val="en-GB"/>
        </w:rPr>
        <w:t>r</w:t>
      </w:r>
      <w:r w:rsidRPr="008463F3">
        <w:rPr>
          <w:lang w:val="en-GB"/>
        </w:rPr>
        <w:t>esearch in the field of aquaculture, ichthyology and fish ecology.</w:t>
      </w:r>
    </w:p>
    <w:p w14:paraId="4FF33109" w14:textId="77777777" w:rsidR="007947BF" w:rsidRPr="008463F3" w:rsidRDefault="007947BF" w:rsidP="007947BF">
      <w:pPr>
        <w:spacing w:after="0"/>
        <w:jc w:val="both"/>
        <w:rPr>
          <w:lang w:val="en-GB"/>
        </w:rPr>
      </w:pPr>
      <w:r w:rsidRPr="008463F3">
        <w:rPr>
          <w:lang w:val="en-GB"/>
        </w:rPr>
        <w:t xml:space="preserve">Services offered: The </w:t>
      </w:r>
      <w:r>
        <w:rPr>
          <w:lang w:val="en-GB"/>
        </w:rPr>
        <w:t>L</w:t>
      </w:r>
      <w:r w:rsidRPr="008463F3">
        <w:rPr>
          <w:lang w:val="en-GB"/>
        </w:rPr>
        <w:t xml:space="preserve">aboratory of the Department of </w:t>
      </w:r>
      <w:r>
        <w:rPr>
          <w:lang w:val="en-GB"/>
        </w:rPr>
        <w:t>N</w:t>
      </w:r>
      <w:r w:rsidRPr="008463F3">
        <w:rPr>
          <w:lang w:val="en-GB"/>
        </w:rPr>
        <w:t xml:space="preserve">utrition and </w:t>
      </w:r>
      <w:r>
        <w:rPr>
          <w:lang w:val="en-GB"/>
        </w:rPr>
        <w:t>F</w:t>
      </w:r>
      <w:r w:rsidRPr="008463F3">
        <w:rPr>
          <w:lang w:val="en-GB"/>
        </w:rPr>
        <w:t xml:space="preserve">oodstuff </w:t>
      </w:r>
      <w:r>
        <w:rPr>
          <w:lang w:val="en-GB"/>
        </w:rPr>
        <w:t>P</w:t>
      </w:r>
      <w:r w:rsidRPr="008463F3">
        <w:rPr>
          <w:lang w:val="en-GB"/>
        </w:rPr>
        <w:t>rocessing has a capacity for the following analys</w:t>
      </w:r>
      <w:r>
        <w:rPr>
          <w:lang w:val="en-GB"/>
        </w:rPr>
        <w:t>i</w:t>
      </w:r>
      <w:r w:rsidRPr="008463F3">
        <w:rPr>
          <w:lang w:val="en-GB"/>
        </w:rPr>
        <w:t xml:space="preserve">s: </w:t>
      </w:r>
      <w:r>
        <w:rPr>
          <w:lang w:val="en-GB"/>
        </w:rPr>
        <w:t>d</w:t>
      </w:r>
      <w:r w:rsidRPr="008463F3">
        <w:rPr>
          <w:lang w:val="en-GB"/>
        </w:rPr>
        <w:t>etermination of moisture, crude proteins, crude fat, nitrogen, pH, NaCl titrimetric, some minerals such as Ca, P, Mg titrimetric</w:t>
      </w:r>
      <w:r>
        <w:rPr>
          <w:lang w:val="en-GB"/>
        </w:rPr>
        <w:t>,</w:t>
      </w:r>
      <w:r w:rsidRPr="008463F3">
        <w:rPr>
          <w:lang w:val="en-GB"/>
        </w:rPr>
        <w:t xml:space="preserve"> etc. </w:t>
      </w:r>
    </w:p>
    <w:p w14:paraId="3FAD098D" w14:textId="77777777" w:rsidR="007947BF" w:rsidRPr="008463F3" w:rsidRDefault="007947BF" w:rsidP="007947BF">
      <w:pPr>
        <w:jc w:val="both"/>
        <w:rPr>
          <w:lang w:val="en-GB"/>
        </w:rPr>
      </w:pPr>
      <w:r w:rsidRPr="008463F3">
        <w:rPr>
          <w:lang w:val="en-GB"/>
        </w:rPr>
        <w:t xml:space="preserve">The </w:t>
      </w:r>
      <w:r>
        <w:rPr>
          <w:lang w:val="en-GB"/>
        </w:rPr>
        <w:t>L</w:t>
      </w:r>
      <w:r w:rsidRPr="008463F3">
        <w:rPr>
          <w:lang w:val="en-GB"/>
        </w:rPr>
        <w:t xml:space="preserve">aboratory of the Department of </w:t>
      </w:r>
      <w:r>
        <w:rPr>
          <w:lang w:val="en-GB"/>
        </w:rPr>
        <w:t>A</w:t>
      </w:r>
      <w:r w:rsidRPr="008463F3">
        <w:rPr>
          <w:lang w:val="en-GB"/>
        </w:rPr>
        <w:t xml:space="preserve">nimal </w:t>
      </w:r>
      <w:r>
        <w:rPr>
          <w:lang w:val="en-GB"/>
        </w:rPr>
        <w:t>H</w:t>
      </w:r>
      <w:r w:rsidRPr="008463F3">
        <w:rPr>
          <w:lang w:val="en-GB"/>
        </w:rPr>
        <w:t xml:space="preserve">usbandry has a capacity for the following analyses: </w:t>
      </w:r>
      <w:r>
        <w:rPr>
          <w:lang w:val="en-GB"/>
        </w:rPr>
        <w:t>d</w:t>
      </w:r>
      <w:r w:rsidRPr="008463F3">
        <w:rPr>
          <w:lang w:val="en-GB"/>
        </w:rPr>
        <w:t xml:space="preserve">etermination of the chemical composition of milk (fats, proteins, lactose, non-fat dry matter, total dry matter, density); </w:t>
      </w:r>
      <w:r>
        <w:rPr>
          <w:lang w:val="en-GB"/>
        </w:rPr>
        <w:t>d</w:t>
      </w:r>
      <w:r w:rsidRPr="008463F3">
        <w:rPr>
          <w:lang w:val="en-GB"/>
        </w:rPr>
        <w:t>etermination of added water in milk (</w:t>
      </w:r>
      <w:proofErr w:type="spellStart"/>
      <w:r w:rsidRPr="008463F3">
        <w:rPr>
          <w:lang w:val="en-GB"/>
        </w:rPr>
        <w:t>cryoscopic</w:t>
      </w:r>
      <w:proofErr w:type="spellEnd"/>
      <w:r w:rsidRPr="008463F3">
        <w:rPr>
          <w:lang w:val="en-GB"/>
        </w:rPr>
        <w:t xml:space="preserve"> method with freezing point); </w:t>
      </w:r>
      <w:r>
        <w:rPr>
          <w:lang w:val="en-GB"/>
        </w:rPr>
        <w:t>d</w:t>
      </w:r>
      <w:r w:rsidRPr="008463F3">
        <w:rPr>
          <w:lang w:val="en-GB"/>
        </w:rPr>
        <w:t xml:space="preserve">etection of antibiotics in milk; </w:t>
      </w:r>
      <w:r>
        <w:rPr>
          <w:lang w:val="en-GB"/>
        </w:rPr>
        <w:t>p</w:t>
      </w:r>
      <w:r w:rsidRPr="008463F3">
        <w:rPr>
          <w:lang w:val="en-GB"/>
        </w:rPr>
        <w:t>resence of alkaline phosphatase (reference method for determining the degree of pasteuri</w:t>
      </w:r>
      <w:r>
        <w:rPr>
          <w:lang w:val="en-GB"/>
        </w:rPr>
        <w:t>s</w:t>
      </w:r>
      <w:r w:rsidRPr="008463F3">
        <w:rPr>
          <w:lang w:val="en-GB"/>
        </w:rPr>
        <w:t xml:space="preserve">ation of milk and dairy products with the help of Sharm </w:t>
      </w:r>
      <w:proofErr w:type="spellStart"/>
      <w:r w:rsidRPr="008463F3">
        <w:rPr>
          <w:lang w:val="en-GB"/>
        </w:rPr>
        <w:t>Luminator</w:t>
      </w:r>
      <w:proofErr w:type="spellEnd"/>
      <w:r w:rsidRPr="008463F3">
        <w:rPr>
          <w:lang w:val="en-GB"/>
        </w:rPr>
        <w:t>)</w:t>
      </w:r>
      <w:r>
        <w:rPr>
          <w:lang w:val="en-GB"/>
        </w:rPr>
        <w:t>,</w:t>
      </w:r>
      <w:r w:rsidRPr="008463F3">
        <w:rPr>
          <w:lang w:val="en-GB"/>
        </w:rPr>
        <w:t xml:space="preserve"> etc.</w:t>
      </w:r>
    </w:p>
    <w:p w14:paraId="6C54338C" w14:textId="77777777" w:rsidR="007947BF" w:rsidRPr="008463F3" w:rsidRDefault="007947BF" w:rsidP="007947BF">
      <w:pPr>
        <w:jc w:val="both"/>
        <w:rPr>
          <w:lang w:val="en-GB"/>
        </w:rPr>
      </w:pPr>
      <w:r w:rsidRPr="008463F3">
        <w:rPr>
          <w:lang w:val="en-GB"/>
        </w:rPr>
        <w:t>The research infrastructure users are: the Government of North Macedonia, Ministry of Agriculture</w:t>
      </w:r>
      <w:r>
        <w:rPr>
          <w:lang w:val="en-GB"/>
        </w:rPr>
        <w:t>,</w:t>
      </w:r>
      <w:r w:rsidRPr="008463F3">
        <w:rPr>
          <w:lang w:val="en-GB"/>
        </w:rPr>
        <w:t xml:space="preserve"> Forestry and Water Economy and Ministry of Environment and Physical Planning.</w:t>
      </w:r>
    </w:p>
    <w:p w14:paraId="754A6D14" w14:textId="77777777" w:rsidR="007947BF" w:rsidRPr="008463F3" w:rsidRDefault="007947BF" w:rsidP="007947BF">
      <w:pPr>
        <w:jc w:val="both"/>
        <w:rPr>
          <w:lang w:val="en-GB"/>
        </w:rPr>
      </w:pPr>
      <w:r w:rsidRPr="008463F3">
        <w:rPr>
          <w:lang w:val="en-GB"/>
        </w:rPr>
        <w:t xml:space="preserve">Research equipment: With regards to capital research equipment, the Institute has </w:t>
      </w:r>
      <w:proofErr w:type="spellStart"/>
      <w:r w:rsidRPr="008463F3">
        <w:rPr>
          <w:lang w:val="en-GB"/>
        </w:rPr>
        <w:t>Milkoscan</w:t>
      </w:r>
      <w:proofErr w:type="spellEnd"/>
      <w:r w:rsidRPr="008463F3">
        <w:rPr>
          <w:lang w:val="en-GB"/>
        </w:rPr>
        <w:t xml:space="preserve"> FT 6000 and Conveyor 4000 of total purchase value of 130.000 euros. However, the equipment is relatively obsolete - it was procured 20 years ago.</w:t>
      </w:r>
    </w:p>
    <w:p w14:paraId="434795C5" w14:textId="77777777" w:rsidR="007947BF" w:rsidRPr="008463F3" w:rsidRDefault="007947BF" w:rsidP="007947BF">
      <w:pPr>
        <w:jc w:val="both"/>
        <w:rPr>
          <w:lang w:val="en-GB"/>
        </w:rPr>
      </w:pPr>
    </w:p>
    <w:p w14:paraId="2C4989FF" w14:textId="77777777" w:rsidR="007947BF" w:rsidRPr="008463F3" w:rsidRDefault="007947BF" w:rsidP="007947BF">
      <w:pPr>
        <w:pStyle w:val="Heading4"/>
        <w:spacing w:after="240"/>
        <w:rPr>
          <w:rFonts w:asciiTheme="minorHAnsi" w:hAnsiTheme="minorHAnsi"/>
          <w:lang w:val="en-GB"/>
        </w:rPr>
      </w:pPr>
      <w:r w:rsidRPr="008463F3">
        <w:rPr>
          <w:rFonts w:asciiTheme="minorHAnsi" w:hAnsiTheme="minorHAnsi"/>
          <w:lang w:val="en-GB"/>
        </w:rPr>
        <w:t>Institute of Agriculture</w:t>
      </w:r>
    </w:p>
    <w:p w14:paraId="1C3FD6E7" w14:textId="77777777" w:rsidR="007947BF" w:rsidRPr="008463F3" w:rsidRDefault="007947BF" w:rsidP="007947BF">
      <w:pPr>
        <w:spacing w:after="0"/>
        <w:jc w:val="both"/>
        <w:rPr>
          <w:lang w:val="en-GB"/>
        </w:rPr>
      </w:pPr>
      <w:r w:rsidRPr="008463F3">
        <w:rPr>
          <w:lang w:val="en-GB"/>
        </w:rPr>
        <w:t>Within its Laboratories, the Institute of Agriculture is performing the following research activities: analysis of wine and alcoholic beverages, analysis of grapes; analyses of soil, fertili</w:t>
      </w:r>
      <w:r>
        <w:rPr>
          <w:lang w:val="en-GB"/>
        </w:rPr>
        <w:t>s</w:t>
      </w:r>
      <w:r w:rsidRPr="008463F3">
        <w:rPr>
          <w:lang w:val="en-GB"/>
        </w:rPr>
        <w:t>ers and plant materials; analysis of seed:</w:t>
      </w:r>
    </w:p>
    <w:p w14:paraId="58241889" w14:textId="77777777" w:rsidR="007947BF" w:rsidRPr="008463F3" w:rsidRDefault="007947BF" w:rsidP="007947BF">
      <w:pPr>
        <w:pStyle w:val="ListParagraph"/>
        <w:numPr>
          <w:ilvl w:val="0"/>
          <w:numId w:val="30"/>
        </w:numPr>
        <w:jc w:val="both"/>
        <w:rPr>
          <w:lang w:val="en-GB"/>
        </w:rPr>
      </w:pPr>
      <w:r w:rsidRPr="008463F3">
        <w:rPr>
          <w:lang w:val="en-GB"/>
        </w:rPr>
        <w:t>Various analyses of wine, alcoholic beverages and grapes are performed in the Laboratory. Analy</w:t>
      </w:r>
      <w:r>
        <w:rPr>
          <w:lang w:val="en-GB"/>
        </w:rPr>
        <w:t>s</w:t>
      </w:r>
      <w:r w:rsidRPr="008463F3">
        <w:rPr>
          <w:lang w:val="en-GB"/>
        </w:rPr>
        <w:t>es of specific gravity, density, alcoholic strength, extract, sugar, free and total SO2, pH, volatile and total acids are mainly performed in wine samples. Determination of intensity, colo</w:t>
      </w:r>
      <w:r>
        <w:rPr>
          <w:lang w:val="en-GB"/>
        </w:rPr>
        <w:t>u</w:t>
      </w:r>
      <w:r w:rsidRPr="008463F3">
        <w:rPr>
          <w:lang w:val="en-GB"/>
        </w:rPr>
        <w:t>r, catechins, anthocyanins and total pol</w:t>
      </w:r>
      <w:r>
        <w:rPr>
          <w:lang w:val="en-GB"/>
        </w:rPr>
        <w:t>y</w:t>
      </w:r>
      <w:r w:rsidRPr="008463F3">
        <w:rPr>
          <w:lang w:val="en-GB"/>
        </w:rPr>
        <w:t xml:space="preserve">phenols and organic acids by spectrophotometric technic </w:t>
      </w:r>
      <w:r>
        <w:rPr>
          <w:lang w:val="en-GB"/>
        </w:rPr>
        <w:t>is</w:t>
      </w:r>
      <w:r w:rsidRPr="008463F3">
        <w:rPr>
          <w:lang w:val="en-GB"/>
        </w:rPr>
        <w:t xml:space="preserve"> also carried out in wine samples. </w:t>
      </w:r>
    </w:p>
    <w:p w14:paraId="7BCE1795" w14:textId="77777777" w:rsidR="007947BF" w:rsidRPr="008463F3" w:rsidRDefault="007947BF" w:rsidP="007947BF">
      <w:pPr>
        <w:pStyle w:val="ListParagraph"/>
        <w:numPr>
          <w:ilvl w:val="0"/>
          <w:numId w:val="30"/>
        </w:numPr>
        <w:jc w:val="both"/>
        <w:rPr>
          <w:lang w:val="en-GB"/>
        </w:rPr>
      </w:pPr>
      <w:r w:rsidRPr="008463F3">
        <w:rPr>
          <w:lang w:val="en-GB"/>
        </w:rPr>
        <w:t xml:space="preserve">The Laboratory for </w:t>
      </w:r>
      <w:r>
        <w:rPr>
          <w:lang w:val="en-GB"/>
        </w:rPr>
        <w:t>S</w:t>
      </w:r>
      <w:r w:rsidRPr="008463F3">
        <w:rPr>
          <w:lang w:val="en-GB"/>
        </w:rPr>
        <w:t xml:space="preserve">oil </w:t>
      </w:r>
      <w:r>
        <w:rPr>
          <w:lang w:val="en-GB"/>
        </w:rPr>
        <w:t>T</w:t>
      </w:r>
      <w:r w:rsidRPr="008463F3">
        <w:rPr>
          <w:lang w:val="en-GB"/>
        </w:rPr>
        <w:t xml:space="preserve">esting, </w:t>
      </w:r>
      <w:r>
        <w:rPr>
          <w:lang w:val="en-GB"/>
        </w:rPr>
        <w:t>F</w:t>
      </w:r>
      <w:r w:rsidRPr="008463F3">
        <w:rPr>
          <w:lang w:val="en-GB"/>
        </w:rPr>
        <w:t>ertili</w:t>
      </w:r>
      <w:r>
        <w:rPr>
          <w:lang w:val="en-GB"/>
        </w:rPr>
        <w:t>s</w:t>
      </w:r>
      <w:r w:rsidRPr="008463F3">
        <w:rPr>
          <w:lang w:val="en-GB"/>
        </w:rPr>
        <w:t xml:space="preserve">ers and </w:t>
      </w:r>
      <w:r>
        <w:rPr>
          <w:lang w:val="en-GB"/>
        </w:rPr>
        <w:t>P</w:t>
      </w:r>
      <w:r w:rsidRPr="008463F3">
        <w:rPr>
          <w:lang w:val="en-GB"/>
        </w:rPr>
        <w:t xml:space="preserve">lant </w:t>
      </w:r>
      <w:r>
        <w:rPr>
          <w:lang w:val="en-GB"/>
        </w:rPr>
        <w:t>M</w:t>
      </w:r>
      <w:r w:rsidRPr="008463F3">
        <w:rPr>
          <w:lang w:val="en-GB"/>
        </w:rPr>
        <w:t xml:space="preserve">aterial </w:t>
      </w:r>
      <w:r>
        <w:rPr>
          <w:lang w:val="en-GB"/>
        </w:rPr>
        <w:t>carries out</w:t>
      </w:r>
      <w:r w:rsidRPr="008463F3">
        <w:rPr>
          <w:lang w:val="en-GB"/>
        </w:rPr>
        <w:t xml:space="preserve"> basic and complex analyses of soil, fertili</w:t>
      </w:r>
      <w:r>
        <w:rPr>
          <w:lang w:val="en-GB"/>
        </w:rPr>
        <w:t>s</w:t>
      </w:r>
      <w:r w:rsidRPr="008463F3">
        <w:rPr>
          <w:lang w:val="en-GB"/>
        </w:rPr>
        <w:t xml:space="preserve">ers and plant materials. </w:t>
      </w:r>
    </w:p>
    <w:p w14:paraId="2C6BAAD6" w14:textId="77777777" w:rsidR="007947BF" w:rsidRPr="008463F3" w:rsidRDefault="007947BF" w:rsidP="007947BF">
      <w:pPr>
        <w:pStyle w:val="ListParagraph"/>
        <w:numPr>
          <w:ilvl w:val="0"/>
          <w:numId w:val="30"/>
        </w:numPr>
        <w:jc w:val="both"/>
        <w:rPr>
          <w:lang w:val="en-GB"/>
        </w:rPr>
      </w:pPr>
      <w:r w:rsidRPr="008463F3">
        <w:rPr>
          <w:lang w:val="en-GB"/>
        </w:rPr>
        <w:t xml:space="preserve">The Seed </w:t>
      </w:r>
      <w:r>
        <w:rPr>
          <w:lang w:val="en-GB"/>
        </w:rPr>
        <w:t>T</w:t>
      </w:r>
      <w:r w:rsidRPr="008463F3">
        <w:rPr>
          <w:lang w:val="en-GB"/>
        </w:rPr>
        <w:t xml:space="preserve">esting </w:t>
      </w:r>
      <w:r>
        <w:rPr>
          <w:lang w:val="en-GB"/>
        </w:rPr>
        <w:t>L</w:t>
      </w:r>
      <w:r w:rsidRPr="008463F3">
        <w:rPr>
          <w:lang w:val="en-GB"/>
        </w:rPr>
        <w:t>aboratory is engaged in determination of seed purity, seed germination, 1000 kernel weight, seed moisture and content of other species seeds in pure seed.</w:t>
      </w:r>
    </w:p>
    <w:p w14:paraId="3985A963" w14:textId="77777777" w:rsidR="007947BF" w:rsidRPr="008463F3" w:rsidRDefault="007947BF" w:rsidP="007947BF">
      <w:pPr>
        <w:spacing w:after="0"/>
        <w:jc w:val="both"/>
        <w:rPr>
          <w:b/>
          <w:lang w:val="en-GB"/>
        </w:rPr>
      </w:pPr>
      <w:r w:rsidRPr="008463F3">
        <w:rPr>
          <w:lang w:val="en-GB"/>
        </w:rPr>
        <w:t>Research equipment:</w:t>
      </w:r>
      <w:r w:rsidRPr="008463F3">
        <w:rPr>
          <w:b/>
          <w:lang w:val="en-GB"/>
        </w:rPr>
        <w:t xml:space="preserve"> </w:t>
      </w:r>
      <w:r w:rsidRPr="008463F3">
        <w:rPr>
          <w:lang w:val="en-GB"/>
        </w:rPr>
        <w:t>The Institute does not have capital research equipment of high value. However, the laboratories are well equipped with research instruments of lower value:</w:t>
      </w:r>
    </w:p>
    <w:p w14:paraId="57C0060B" w14:textId="77777777" w:rsidR="007947BF" w:rsidRPr="008463F3" w:rsidRDefault="007947BF" w:rsidP="007947BF">
      <w:pPr>
        <w:pStyle w:val="ListParagraph"/>
        <w:numPr>
          <w:ilvl w:val="0"/>
          <w:numId w:val="29"/>
        </w:numPr>
        <w:jc w:val="both"/>
        <w:rPr>
          <w:lang w:val="en-GB"/>
        </w:rPr>
      </w:pPr>
      <w:r w:rsidRPr="008463F3">
        <w:rPr>
          <w:lang w:val="en-GB"/>
        </w:rPr>
        <w:t xml:space="preserve">Seed </w:t>
      </w:r>
      <w:r>
        <w:rPr>
          <w:lang w:val="en-GB"/>
        </w:rPr>
        <w:t>T</w:t>
      </w:r>
      <w:r w:rsidRPr="008463F3">
        <w:rPr>
          <w:lang w:val="en-GB"/>
        </w:rPr>
        <w:t xml:space="preserve">esting </w:t>
      </w:r>
      <w:r>
        <w:rPr>
          <w:lang w:val="en-GB"/>
        </w:rPr>
        <w:t>L</w:t>
      </w:r>
      <w:r w:rsidRPr="008463F3">
        <w:rPr>
          <w:lang w:val="en-GB"/>
        </w:rPr>
        <w:t xml:space="preserve">aboratory owns the following equipment: </w:t>
      </w:r>
      <w:r>
        <w:rPr>
          <w:lang w:val="en-GB"/>
        </w:rPr>
        <w:t>t</w:t>
      </w:r>
      <w:r w:rsidRPr="008463F3">
        <w:rPr>
          <w:lang w:val="en-GB"/>
        </w:rPr>
        <w:t xml:space="preserve">emperature chamber (hot air oven) ЅТ- 01/02; </w:t>
      </w:r>
      <w:r>
        <w:rPr>
          <w:lang w:val="en-GB"/>
        </w:rPr>
        <w:t>t</w:t>
      </w:r>
      <w:r w:rsidRPr="008463F3">
        <w:rPr>
          <w:lang w:val="en-GB"/>
        </w:rPr>
        <w:t xml:space="preserve">emperature chamber (seed germinator) Thermostable TNF 5; </w:t>
      </w:r>
      <w:r>
        <w:rPr>
          <w:lang w:val="en-GB"/>
        </w:rPr>
        <w:t>e</w:t>
      </w:r>
      <w:r w:rsidRPr="008463F3">
        <w:rPr>
          <w:lang w:val="en-GB"/>
        </w:rPr>
        <w:t xml:space="preserve">lectronic non-automatic scale, EB-1200C and </w:t>
      </w:r>
      <w:r>
        <w:rPr>
          <w:lang w:val="en-GB"/>
        </w:rPr>
        <w:t>e</w:t>
      </w:r>
      <w:r w:rsidRPr="008463F3">
        <w:rPr>
          <w:lang w:val="en-GB"/>
        </w:rPr>
        <w:t>lectronic non-automatic scale, BP 221S.</w:t>
      </w:r>
    </w:p>
    <w:p w14:paraId="7CB4ADFB" w14:textId="77777777" w:rsidR="007947BF" w:rsidRPr="008463F3" w:rsidRDefault="007947BF" w:rsidP="007947BF">
      <w:pPr>
        <w:pStyle w:val="ListParagraph"/>
        <w:numPr>
          <w:ilvl w:val="0"/>
          <w:numId w:val="29"/>
        </w:numPr>
        <w:jc w:val="both"/>
        <w:rPr>
          <w:lang w:val="en-GB"/>
        </w:rPr>
      </w:pPr>
      <w:r w:rsidRPr="008463F3">
        <w:rPr>
          <w:lang w:val="en-GB"/>
        </w:rPr>
        <w:t xml:space="preserve">Laboratory for </w:t>
      </w:r>
      <w:r>
        <w:rPr>
          <w:lang w:val="en-GB"/>
        </w:rPr>
        <w:t>S</w:t>
      </w:r>
      <w:r w:rsidRPr="008463F3">
        <w:rPr>
          <w:lang w:val="en-GB"/>
        </w:rPr>
        <w:t xml:space="preserve">oil </w:t>
      </w:r>
      <w:r>
        <w:rPr>
          <w:lang w:val="en-GB"/>
        </w:rPr>
        <w:t>T</w:t>
      </w:r>
      <w:r w:rsidRPr="008463F3">
        <w:rPr>
          <w:lang w:val="en-GB"/>
        </w:rPr>
        <w:t xml:space="preserve">esting, </w:t>
      </w:r>
      <w:r>
        <w:rPr>
          <w:lang w:val="en-GB"/>
        </w:rPr>
        <w:t>F</w:t>
      </w:r>
      <w:r w:rsidRPr="008463F3">
        <w:rPr>
          <w:lang w:val="en-GB"/>
        </w:rPr>
        <w:t>ertili</w:t>
      </w:r>
      <w:r>
        <w:rPr>
          <w:lang w:val="en-GB"/>
        </w:rPr>
        <w:t>s</w:t>
      </w:r>
      <w:r w:rsidRPr="008463F3">
        <w:rPr>
          <w:lang w:val="en-GB"/>
        </w:rPr>
        <w:t xml:space="preserve">ers and </w:t>
      </w:r>
      <w:r>
        <w:rPr>
          <w:lang w:val="en-GB"/>
        </w:rPr>
        <w:t>P</w:t>
      </w:r>
      <w:r w:rsidRPr="008463F3">
        <w:rPr>
          <w:lang w:val="en-GB"/>
        </w:rPr>
        <w:t xml:space="preserve">lant </w:t>
      </w:r>
      <w:r>
        <w:rPr>
          <w:lang w:val="en-GB"/>
        </w:rPr>
        <w:t>M</w:t>
      </w:r>
      <w:r w:rsidRPr="008463F3">
        <w:rPr>
          <w:lang w:val="en-GB"/>
        </w:rPr>
        <w:t>aterial is equipped with sampling equipment (manual soil drill) and pocket GPS receivers and basic laboratory equipment (pH meter, flame</w:t>
      </w:r>
      <w:r>
        <w:rPr>
          <w:lang w:val="en-GB"/>
        </w:rPr>
        <w:t xml:space="preserve"> </w:t>
      </w:r>
      <w:r w:rsidRPr="008463F3">
        <w:rPr>
          <w:lang w:val="en-GB"/>
        </w:rPr>
        <w:t xml:space="preserve">photometry, spectrophotometry, drying oven, distiller, and analytical balances). Laboratory is continually engaged in national and international inter-laboratory </w:t>
      </w:r>
      <w:r>
        <w:rPr>
          <w:lang w:val="en-GB"/>
        </w:rPr>
        <w:t>as well as</w:t>
      </w:r>
      <w:r w:rsidRPr="008463F3">
        <w:rPr>
          <w:lang w:val="en-GB"/>
        </w:rPr>
        <w:t xml:space="preserve"> proficiency tests.</w:t>
      </w:r>
    </w:p>
    <w:p w14:paraId="3A837C28" w14:textId="77777777" w:rsidR="007947BF" w:rsidRPr="008463F3" w:rsidRDefault="007947BF" w:rsidP="007947BF">
      <w:pPr>
        <w:jc w:val="both"/>
        <w:rPr>
          <w:lang w:val="en-GB"/>
        </w:rPr>
      </w:pPr>
      <w:r w:rsidRPr="008463F3">
        <w:rPr>
          <w:lang w:val="en-GB"/>
        </w:rPr>
        <w:t xml:space="preserve">The existing equipment is out of date. In order to keep in line with the </w:t>
      </w:r>
      <w:r>
        <w:rPr>
          <w:lang w:val="en-GB"/>
        </w:rPr>
        <w:t>current</w:t>
      </w:r>
      <w:r w:rsidRPr="008463F3">
        <w:rPr>
          <w:lang w:val="en-GB"/>
        </w:rPr>
        <w:t xml:space="preserve"> trends, the Institute needs the following new equipment: EC metr</w:t>
      </w:r>
      <w:r>
        <w:rPr>
          <w:lang w:val="en-GB"/>
        </w:rPr>
        <w:t>e</w:t>
      </w:r>
      <w:r w:rsidRPr="008463F3">
        <w:rPr>
          <w:lang w:val="en-GB"/>
        </w:rPr>
        <w:t>; flame</w:t>
      </w:r>
      <w:r>
        <w:rPr>
          <w:lang w:val="en-GB"/>
        </w:rPr>
        <w:t xml:space="preserve"> </w:t>
      </w:r>
      <w:r w:rsidRPr="008463F3">
        <w:rPr>
          <w:lang w:val="en-GB"/>
        </w:rPr>
        <w:t xml:space="preserve">photometry; spectrophotometry; drying oven; </w:t>
      </w:r>
      <w:proofErr w:type="spellStart"/>
      <w:r w:rsidRPr="008463F3">
        <w:rPr>
          <w:lang w:val="en-GB"/>
        </w:rPr>
        <w:t>kjeldahl</w:t>
      </w:r>
      <w:proofErr w:type="spellEnd"/>
      <w:r w:rsidRPr="008463F3">
        <w:rPr>
          <w:lang w:val="en-GB"/>
        </w:rPr>
        <w:t xml:space="preserve"> digester; </w:t>
      </w:r>
      <w:proofErr w:type="spellStart"/>
      <w:r w:rsidRPr="008463F3">
        <w:rPr>
          <w:lang w:val="en-GB"/>
        </w:rPr>
        <w:t>kjeldahl</w:t>
      </w:r>
      <w:proofErr w:type="spellEnd"/>
      <w:r w:rsidRPr="008463F3">
        <w:rPr>
          <w:lang w:val="en-GB"/>
        </w:rPr>
        <w:t xml:space="preserve"> distiller; water distiller; total nitrogen; CHNS analy</w:t>
      </w:r>
      <w:r>
        <w:rPr>
          <w:lang w:val="en-GB"/>
        </w:rPr>
        <w:t>s</w:t>
      </w:r>
      <w:r w:rsidRPr="008463F3">
        <w:rPr>
          <w:lang w:val="en-GB"/>
        </w:rPr>
        <w:t xml:space="preserve">er; water bath; microwave digestion system; </w:t>
      </w:r>
      <w:r>
        <w:rPr>
          <w:lang w:val="en-GB"/>
        </w:rPr>
        <w:t>g</w:t>
      </w:r>
      <w:r w:rsidRPr="008463F3">
        <w:rPr>
          <w:lang w:val="en-GB"/>
        </w:rPr>
        <w:t>as chromatographer with FID detector for determination of some parameters in beverages</w:t>
      </w:r>
      <w:r>
        <w:rPr>
          <w:lang w:val="en-GB"/>
        </w:rPr>
        <w:t>;</w:t>
      </w:r>
      <w:r w:rsidRPr="008463F3">
        <w:rPr>
          <w:lang w:val="en-GB"/>
        </w:rPr>
        <w:t xml:space="preserve"> and </w:t>
      </w:r>
      <w:r>
        <w:rPr>
          <w:lang w:val="en-GB"/>
        </w:rPr>
        <w:t>h</w:t>
      </w:r>
      <w:r w:rsidRPr="008463F3">
        <w:rPr>
          <w:lang w:val="en-GB"/>
        </w:rPr>
        <w:t>igh performance liquid chromatographer for determination of some parameters in wine samples.</w:t>
      </w:r>
    </w:p>
    <w:p w14:paraId="613EDBAD" w14:textId="77777777" w:rsidR="007947BF" w:rsidRPr="008463F3" w:rsidRDefault="007947BF" w:rsidP="007947BF">
      <w:pPr>
        <w:jc w:val="both"/>
        <w:rPr>
          <w:lang w:val="en-GB"/>
        </w:rPr>
      </w:pPr>
    </w:p>
    <w:p w14:paraId="437E712F" w14:textId="77777777" w:rsidR="007947BF" w:rsidRPr="008463F3" w:rsidRDefault="007947BF" w:rsidP="007947BF">
      <w:pPr>
        <w:pStyle w:val="Heading4"/>
        <w:spacing w:after="240"/>
        <w:rPr>
          <w:rFonts w:asciiTheme="minorHAnsi" w:hAnsiTheme="minorHAnsi"/>
          <w:lang w:val="en-GB"/>
        </w:rPr>
      </w:pPr>
      <w:r w:rsidRPr="008463F3">
        <w:rPr>
          <w:rFonts w:asciiTheme="minorHAnsi" w:hAnsiTheme="minorHAnsi"/>
          <w:lang w:val="en-GB"/>
        </w:rPr>
        <w:t>Institute of Macedonian Language “</w:t>
      </w:r>
      <w:proofErr w:type="spellStart"/>
      <w:r w:rsidRPr="008463F3">
        <w:rPr>
          <w:rFonts w:asciiTheme="minorHAnsi" w:hAnsiTheme="minorHAnsi"/>
          <w:lang w:val="en-GB"/>
        </w:rPr>
        <w:t>Krste</w:t>
      </w:r>
      <w:proofErr w:type="spellEnd"/>
      <w:r w:rsidRPr="008463F3">
        <w:rPr>
          <w:rFonts w:asciiTheme="minorHAnsi" w:hAnsiTheme="minorHAnsi"/>
          <w:lang w:val="en-GB"/>
        </w:rPr>
        <w:t xml:space="preserve"> </w:t>
      </w:r>
      <w:proofErr w:type="spellStart"/>
      <w:r w:rsidRPr="008463F3">
        <w:rPr>
          <w:rFonts w:asciiTheme="minorHAnsi" w:hAnsiTheme="minorHAnsi"/>
          <w:lang w:val="en-GB"/>
        </w:rPr>
        <w:t>Misirkov</w:t>
      </w:r>
      <w:proofErr w:type="spellEnd"/>
      <w:r w:rsidRPr="008463F3">
        <w:rPr>
          <w:rFonts w:asciiTheme="minorHAnsi" w:hAnsiTheme="minorHAnsi"/>
          <w:lang w:val="en-GB"/>
        </w:rPr>
        <w:t>”, Skopje</w:t>
      </w:r>
    </w:p>
    <w:p w14:paraId="64C90325" w14:textId="77777777" w:rsidR="007947BF" w:rsidRPr="008463F3" w:rsidRDefault="007947BF" w:rsidP="007947BF">
      <w:pPr>
        <w:jc w:val="both"/>
        <w:rPr>
          <w:lang w:val="en-GB"/>
        </w:rPr>
      </w:pPr>
      <w:r w:rsidRPr="008463F3">
        <w:rPr>
          <w:lang w:val="en-GB"/>
        </w:rPr>
        <w:t>With regards to research infrastructure, the Institute of Macedonian Language “</w:t>
      </w:r>
      <w:proofErr w:type="spellStart"/>
      <w:r w:rsidRPr="008463F3">
        <w:rPr>
          <w:lang w:val="en-GB"/>
        </w:rPr>
        <w:t>Krste</w:t>
      </w:r>
      <w:proofErr w:type="spellEnd"/>
      <w:r w:rsidRPr="008463F3">
        <w:rPr>
          <w:lang w:val="en-GB"/>
        </w:rPr>
        <w:t xml:space="preserve"> </w:t>
      </w:r>
      <w:proofErr w:type="spellStart"/>
      <w:r w:rsidRPr="008463F3">
        <w:rPr>
          <w:lang w:val="en-GB"/>
        </w:rPr>
        <w:t>Misirkov</w:t>
      </w:r>
      <w:proofErr w:type="spellEnd"/>
      <w:r w:rsidRPr="008463F3">
        <w:rPr>
          <w:lang w:val="en-GB"/>
        </w:rPr>
        <w:t>” comprises: a library centr</w:t>
      </w:r>
      <w:r>
        <w:rPr>
          <w:lang w:val="en-GB"/>
        </w:rPr>
        <w:t>e</w:t>
      </w:r>
      <w:r w:rsidRPr="008463F3">
        <w:rPr>
          <w:lang w:val="en-GB"/>
        </w:rPr>
        <w:t xml:space="preserve"> (including several card index filing systems/collections - Macedonian lexicology, history of Macedonian language, Onomastics and Dialectology), informational and referral centr</w:t>
      </w:r>
      <w:r>
        <w:rPr>
          <w:lang w:val="en-GB"/>
        </w:rPr>
        <w:t>e</w:t>
      </w:r>
      <w:r w:rsidRPr="008463F3">
        <w:rPr>
          <w:lang w:val="en-GB"/>
        </w:rPr>
        <w:t>, basic research equipment, archive and publishing documentation and other resources that contribute to scientific work and research in the field of humanities.</w:t>
      </w:r>
    </w:p>
    <w:p w14:paraId="0E8A91F0" w14:textId="77777777" w:rsidR="007947BF" w:rsidRPr="008463F3" w:rsidRDefault="007947BF" w:rsidP="007947BF">
      <w:pPr>
        <w:jc w:val="both"/>
        <w:rPr>
          <w:lang w:val="en-GB"/>
        </w:rPr>
      </w:pPr>
      <w:r w:rsidRPr="008463F3">
        <w:rPr>
          <w:lang w:val="en-GB"/>
        </w:rPr>
        <w:t xml:space="preserve">The Institute contributes to the development of the science and Macedonian language in all of the linguistic levels, as well as in general linguistics and communicology; </w:t>
      </w:r>
      <w:r>
        <w:rPr>
          <w:lang w:val="en-GB"/>
        </w:rPr>
        <w:t>p</w:t>
      </w:r>
      <w:r w:rsidRPr="008463F3">
        <w:rPr>
          <w:lang w:val="en-GB"/>
        </w:rPr>
        <w:t xml:space="preserve">ublishing scientific literature </w:t>
      </w:r>
      <w:r>
        <w:rPr>
          <w:lang w:val="en-GB"/>
        </w:rPr>
        <w:t>i</w:t>
      </w:r>
      <w:r w:rsidRPr="008463F3">
        <w:rPr>
          <w:lang w:val="en-GB"/>
        </w:rPr>
        <w:t xml:space="preserve">n Macedonian Language, Linguistics and Communicology; </w:t>
      </w:r>
      <w:r>
        <w:rPr>
          <w:lang w:val="en-GB"/>
        </w:rPr>
        <w:t>and a</w:t>
      </w:r>
      <w:r w:rsidRPr="008463F3">
        <w:rPr>
          <w:lang w:val="en-GB"/>
        </w:rPr>
        <w:t>ttributing to general development of the economy.</w:t>
      </w:r>
    </w:p>
    <w:p w14:paraId="750D6273" w14:textId="77777777" w:rsidR="007947BF" w:rsidRPr="008463F3" w:rsidRDefault="007947BF" w:rsidP="007947BF">
      <w:pPr>
        <w:spacing w:after="0"/>
        <w:jc w:val="both"/>
        <w:rPr>
          <w:lang w:val="en-GB"/>
        </w:rPr>
      </w:pPr>
      <w:r w:rsidRPr="008463F3">
        <w:rPr>
          <w:lang w:val="en-GB"/>
        </w:rPr>
        <w:t xml:space="preserve">Services provided: </w:t>
      </w:r>
    </w:p>
    <w:p w14:paraId="1D86D3CF" w14:textId="77777777" w:rsidR="007947BF" w:rsidRPr="008463F3" w:rsidRDefault="007947BF" w:rsidP="007947BF">
      <w:pPr>
        <w:pStyle w:val="ListParagraph"/>
        <w:numPr>
          <w:ilvl w:val="0"/>
          <w:numId w:val="39"/>
        </w:numPr>
        <w:jc w:val="both"/>
        <w:rPr>
          <w:lang w:val="en-GB"/>
        </w:rPr>
      </w:pPr>
      <w:r w:rsidRPr="008463F3">
        <w:rPr>
          <w:lang w:val="en-GB"/>
        </w:rPr>
        <w:t>Library services</w:t>
      </w:r>
    </w:p>
    <w:p w14:paraId="587873C1" w14:textId="77777777" w:rsidR="007947BF" w:rsidRPr="008463F3" w:rsidRDefault="007947BF" w:rsidP="007947BF">
      <w:pPr>
        <w:pStyle w:val="ListParagraph"/>
        <w:numPr>
          <w:ilvl w:val="0"/>
          <w:numId w:val="23"/>
        </w:numPr>
        <w:jc w:val="both"/>
        <w:rPr>
          <w:lang w:val="en-GB"/>
        </w:rPr>
      </w:pPr>
      <w:r w:rsidRPr="008463F3">
        <w:rPr>
          <w:lang w:val="en-GB"/>
        </w:rPr>
        <w:t>Consultation services to the students of the Institute as well as to the wider scientific community in North Macedonia and abroad</w:t>
      </w:r>
    </w:p>
    <w:p w14:paraId="1FFD9EDD" w14:textId="77777777" w:rsidR="007947BF" w:rsidRPr="008463F3" w:rsidRDefault="007947BF" w:rsidP="007947BF">
      <w:pPr>
        <w:pStyle w:val="ListParagraph"/>
        <w:numPr>
          <w:ilvl w:val="0"/>
          <w:numId w:val="23"/>
        </w:numPr>
        <w:jc w:val="both"/>
        <w:rPr>
          <w:lang w:val="en-GB"/>
        </w:rPr>
      </w:pPr>
      <w:r w:rsidRPr="008463F3">
        <w:rPr>
          <w:lang w:val="en-GB"/>
        </w:rPr>
        <w:t>Teaching and training services</w:t>
      </w:r>
    </w:p>
    <w:p w14:paraId="5FC43F67" w14:textId="77777777" w:rsidR="007947BF" w:rsidRPr="008463F3" w:rsidRDefault="007947BF" w:rsidP="007947BF">
      <w:pPr>
        <w:pStyle w:val="ListParagraph"/>
        <w:numPr>
          <w:ilvl w:val="0"/>
          <w:numId w:val="23"/>
        </w:numPr>
        <w:jc w:val="both"/>
        <w:rPr>
          <w:lang w:val="en-GB"/>
        </w:rPr>
      </w:pPr>
      <w:r w:rsidRPr="008463F3">
        <w:rPr>
          <w:lang w:val="en-GB"/>
        </w:rPr>
        <w:t>Organi</w:t>
      </w:r>
      <w:r>
        <w:rPr>
          <w:lang w:val="en-GB"/>
        </w:rPr>
        <w:t>s</w:t>
      </w:r>
      <w:r w:rsidRPr="008463F3">
        <w:rPr>
          <w:lang w:val="en-GB"/>
        </w:rPr>
        <w:t>ation of public events and promotions</w:t>
      </w:r>
    </w:p>
    <w:p w14:paraId="06C13853" w14:textId="77777777" w:rsidR="007947BF" w:rsidRPr="008463F3" w:rsidRDefault="007947BF" w:rsidP="007947BF">
      <w:pPr>
        <w:rPr>
          <w:lang w:val="en-GB"/>
        </w:rPr>
      </w:pPr>
      <w:r w:rsidRPr="008463F3">
        <w:rPr>
          <w:lang w:val="en-GB"/>
        </w:rPr>
        <w:t xml:space="preserve">Research equipment: The Institute does not have any capital research equipment, only computers with basic configuration, printers/copiers and a few </w:t>
      </w:r>
      <w:r>
        <w:rPr>
          <w:lang w:val="en-GB"/>
        </w:rPr>
        <w:t>voice recorders</w:t>
      </w:r>
      <w:r w:rsidRPr="008463F3">
        <w:rPr>
          <w:lang w:val="en-GB"/>
        </w:rPr>
        <w:t xml:space="preserve">. The Institute owns the library and the </w:t>
      </w:r>
      <w:r>
        <w:rPr>
          <w:lang w:val="en-GB"/>
        </w:rPr>
        <w:t>c</w:t>
      </w:r>
      <w:r w:rsidRPr="008463F3">
        <w:rPr>
          <w:lang w:val="en-GB"/>
        </w:rPr>
        <w:t>ard index filing systems/collections which are considered invaluable national cultural heritage.</w:t>
      </w:r>
    </w:p>
    <w:p w14:paraId="3D9A7CD4" w14:textId="77777777" w:rsidR="007947BF" w:rsidRPr="008463F3" w:rsidRDefault="007947BF" w:rsidP="007947BF">
      <w:pPr>
        <w:rPr>
          <w:lang w:val="en-GB"/>
        </w:rPr>
      </w:pPr>
    </w:p>
    <w:p w14:paraId="6AB39F17" w14:textId="77777777" w:rsidR="007947BF" w:rsidRPr="008463F3" w:rsidRDefault="007947BF" w:rsidP="007947BF">
      <w:pPr>
        <w:pStyle w:val="Heading4"/>
        <w:spacing w:after="240"/>
        <w:rPr>
          <w:lang w:val="en-GB"/>
        </w:rPr>
      </w:pPr>
      <w:r w:rsidRPr="008463F3">
        <w:rPr>
          <w:lang w:val="en-GB"/>
        </w:rPr>
        <w:t>Institute of Macedonian Literature</w:t>
      </w:r>
    </w:p>
    <w:p w14:paraId="07EB198A" w14:textId="77777777" w:rsidR="007947BF" w:rsidRPr="008463F3" w:rsidRDefault="007947BF" w:rsidP="007947BF">
      <w:pPr>
        <w:pStyle w:val="Heading5"/>
        <w:spacing w:after="240"/>
        <w:rPr>
          <w:lang w:val="en-GB"/>
        </w:rPr>
      </w:pPr>
      <w:r w:rsidRPr="008463F3">
        <w:rPr>
          <w:lang w:val="en-GB"/>
        </w:rPr>
        <w:t>Academic Library</w:t>
      </w:r>
    </w:p>
    <w:p w14:paraId="613F70FD" w14:textId="77777777" w:rsidR="007947BF" w:rsidRPr="008463F3" w:rsidRDefault="007947BF" w:rsidP="007947BF">
      <w:pPr>
        <w:jc w:val="both"/>
        <w:rPr>
          <w:lang w:val="en-GB"/>
        </w:rPr>
      </w:pPr>
      <w:r w:rsidRPr="008463F3">
        <w:rPr>
          <w:lang w:val="en-GB"/>
        </w:rPr>
        <w:t xml:space="preserve">The library of the Institute of Macedonian Literature provides library material and information support to scientific researchers and students of the Institute, as well as scientific and higher education institutions within the St. Cyril and Methodius </w:t>
      </w:r>
      <w:r>
        <w:rPr>
          <w:lang w:val="en-GB"/>
        </w:rPr>
        <w:t xml:space="preserve">University </w:t>
      </w:r>
      <w:r w:rsidRPr="008463F3">
        <w:rPr>
          <w:lang w:val="en-GB"/>
        </w:rPr>
        <w:t>in Skopje.</w:t>
      </w:r>
    </w:p>
    <w:p w14:paraId="59DE7A0B" w14:textId="77777777" w:rsidR="007947BF" w:rsidRPr="008463F3" w:rsidRDefault="007947BF" w:rsidP="007947BF">
      <w:pPr>
        <w:jc w:val="both"/>
        <w:rPr>
          <w:lang w:val="en-GB"/>
        </w:rPr>
      </w:pPr>
      <w:r w:rsidRPr="008463F3">
        <w:rPr>
          <w:lang w:val="en-GB"/>
        </w:rPr>
        <w:t>At present it holds a total of 7.403 monographs and 131 periodicals in the fields of literature and other fields of humanities. There are 140 own editions (100 monographs and 40 proceedings papers) of the Institute of Macedonian Literature in the Library and the authors are scientific researchers from the Institute. The Institute of Macedonian Literature in Skopje publishes three scientific journals “</w:t>
      </w:r>
      <w:proofErr w:type="spellStart"/>
      <w:r w:rsidRPr="008463F3">
        <w:rPr>
          <w:lang w:val="en-GB"/>
        </w:rPr>
        <w:t>Spektar</w:t>
      </w:r>
      <w:proofErr w:type="spellEnd"/>
      <w:r w:rsidRPr="008463F3">
        <w:rPr>
          <w:lang w:val="en-GB"/>
        </w:rPr>
        <w:t>” (76 issues), “Context” (22 issues) and “Philological Studies</w:t>
      </w:r>
      <w:r>
        <w:rPr>
          <w:lang w:val="en-GB"/>
        </w:rPr>
        <w:t>”</w:t>
      </w:r>
      <w:r w:rsidRPr="008463F3">
        <w:rPr>
          <w:lang w:val="en-GB"/>
        </w:rPr>
        <w:t xml:space="preserve"> (18 issues with two volumes).</w:t>
      </w:r>
    </w:p>
    <w:p w14:paraId="46FCD38F" w14:textId="77777777" w:rsidR="007947BF" w:rsidRPr="008463F3" w:rsidRDefault="007947BF" w:rsidP="007947BF">
      <w:pPr>
        <w:jc w:val="both"/>
        <w:rPr>
          <w:lang w:val="en-GB"/>
        </w:rPr>
      </w:pPr>
      <w:r w:rsidRPr="008463F3">
        <w:rPr>
          <w:lang w:val="en-GB"/>
        </w:rPr>
        <w:t xml:space="preserve">Services provided: The </w:t>
      </w:r>
      <w:r>
        <w:rPr>
          <w:lang w:val="en-GB"/>
        </w:rPr>
        <w:t>L</w:t>
      </w:r>
      <w:r w:rsidRPr="008463F3">
        <w:rPr>
          <w:lang w:val="en-GB"/>
        </w:rPr>
        <w:t>ibrary contains works of literary science</w:t>
      </w:r>
      <w:r>
        <w:rPr>
          <w:lang w:val="en-GB"/>
        </w:rPr>
        <w:t xml:space="preserve"> and</w:t>
      </w:r>
      <w:r w:rsidRPr="008463F3">
        <w:rPr>
          <w:lang w:val="en-GB"/>
        </w:rPr>
        <w:t xml:space="preserve"> related scientific fields (language science, dramatic art, ethnology, philosophy, historical sciences, etc.), periodicals, doctoral dissertations, master's thes</w:t>
      </w:r>
      <w:r>
        <w:rPr>
          <w:lang w:val="en-GB"/>
        </w:rPr>
        <w:t>i</w:t>
      </w:r>
      <w:r w:rsidRPr="008463F3">
        <w:rPr>
          <w:lang w:val="en-GB"/>
        </w:rPr>
        <w:t>s, papers from scientific research projects, collections of scientific meetings and other types of library material (archival material, old manuscripts, facsimiles, etc.)</w:t>
      </w:r>
    </w:p>
    <w:p w14:paraId="6C4CED70" w14:textId="77777777" w:rsidR="007947BF" w:rsidRPr="008463F3" w:rsidRDefault="007947BF" w:rsidP="007947BF">
      <w:pPr>
        <w:pStyle w:val="Heading4"/>
        <w:spacing w:after="240"/>
        <w:rPr>
          <w:lang w:val="en-GB"/>
        </w:rPr>
      </w:pPr>
      <w:r w:rsidRPr="008463F3">
        <w:rPr>
          <w:lang w:val="en-GB"/>
        </w:rPr>
        <w:t xml:space="preserve">Institute of </w:t>
      </w:r>
      <w:r>
        <w:rPr>
          <w:lang w:val="en-GB"/>
        </w:rPr>
        <w:t>F</w:t>
      </w:r>
      <w:r w:rsidRPr="008463F3">
        <w:rPr>
          <w:lang w:val="en-GB"/>
        </w:rPr>
        <w:t xml:space="preserve">olklore “Marko </w:t>
      </w:r>
      <w:proofErr w:type="spellStart"/>
      <w:r w:rsidRPr="008463F3">
        <w:rPr>
          <w:lang w:val="en-GB"/>
        </w:rPr>
        <w:t>Cepenkov</w:t>
      </w:r>
      <w:proofErr w:type="spellEnd"/>
      <w:r w:rsidRPr="008463F3">
        <w:rPr>
          <w:lang w:val="en-GB"/>
        </w:rPr>
        <w:t>”</w:t>
      </w:r>
    </w:p>
    <w:p w14:paraId="5E3DCF62" w14:textId="77777777" w:rsidR="007947BF" w:rsidRPr="008463F3" w:rsidRDefault="007947BF" w:rsidP="007947BF">
      <w:pPr>
        <w:jc w:val="both"/>
        <w:rPr>
          <w:lang w:val="en-GB"/>
        </w:rPr>
      </w:pPr>
      <w:r w:rsidRPr="008463F3">
        <w:rPr>
          <w:lang w:val="en-GB"/>
        </w:rPr>
        <w:t xml:space="preserve">The Institute of </w:t>
      </w:r>
      <w:r>
        <w:rPr>
          <w:lang w:val="en-GB"/>
        </w:rPr>
        <w:t>F</w:t>
      </w:r>
      <w:r w:rsidRPr="008463F3">
        <w:rPr>
          <w:lang w:val="en-GB"/>
        </w:rPr>
        <w:t xml:space="preserve">olklore </w:t>
      </w:r>
      <w:r>
        <w:rPr>
          <w:lang w:val="en-GB"/>
        </w:rPr>
        <w:t>“</w:t>
      </w:r>
      <w:r w:rsidRPr="008463F3">
        <w:rPr>
          <w:lang w:val="en-GB"/>
        </w:rPr>
        <w:t xml:space="preserve">Marko </w:t>
      </w:r>
      <w:proofErr w:type="spellStart"/>
      <w:r w:rsidRPr="008463F3">
        <w:rPr>
          <w:lang w:val="en-GB"/>
        </w:rPr>
        <w:t>Cepenkov</w:t>
      </w:r>
      <w:proofErr w:type="spellEnd"/>
      <w:r>
        <w:rPr>
          <w:lang w:val="en-GB"/>
        </w:rPr>
        <w:t>”</w:t>
      </w:r>
      <w:r w:rsidRPr="008463F3">
        <w:rPr>
          <w:lang w:val="en-GB"/>
        </w:rPr>
        <w:t xml:space="preserve"> is engaged in collecting and preserving local and national folklore and establishing academic relations </w:t>
      </w:r>
      <w:r>
        <w:rPr>
          <w:lang w:val="en-GB"/>
        </w:rPr>
        <w:t xml:space="preserve">with </w:t>
      </w:r>
      <w:r w:rsidRPr="008463F3">
        <w:rPr>
          <w:lang w:val="en-GB"/>
        </w:rPr>
        <w:t>scientific institutions such as the Macedonian Academy of Sciences and Arts. The main aim is to broaden the spectrum of research topics that relate to the Macedonian folklore in comparison to the folklore of the Balkans and abroad.</w:t>
      </w:r>
    </w:p>
    <w:p w14:paraId="0449B973" w14:textId="77777777" w:rsidR="007947BF" w:rsidRPr="008463F3" w:rsidRDefault="007947BF" w:rsidP="007947BF">
      <w:pPr>
        <w:jc w:val="both"/>
        <w:rPr>
          <w:lang w:val="en-GB"/>
        </w:rPr>
      </w:pPr>
      <w:r w:rsidRPr="008463F3">
        <w:rPr>
          <w:lang w:val="en-GB"/>
        </w:rPr>
        <w:t xml:space="preserve">The Institute </w:t>
      </w:r>
      <w:r>
        <w:rPr>
          <w:lang w:val="en-GB"/>
        </w:rPr>
        <w:t>has</w:t>
      </w:r>
      <w:r w:rsidRPr="008463F3">
        <w:rPr>
          <w:lang w:val="en-GB"/>
        </w:rPr>
        <w:t xml:space="preserve"> one of the richest archives in North Macedonia. A lot of materials in the forms of cassettes, videos, </w:t>
      </w:r>
      <w:r>
        <w:rPr>
          <w:lang w:val="en-GB"/>
        </w:rPr>
        <w:t xml:space="preserve">and </w:t>
      </w:r>
      <w:r w:rsidRPr="008463F3">
        <w:rPr>
          <w:lang w:val="en-GB"/>
        </w:rPr>
        <w:t xml:space="preserve">old folk ornaments collected from field research are kept in the archive and the employees are currently working on making this data available to the general public by formatting them in digital form. Many materials in the archive have yet to get their </w:t>
      </w:r>
      <w:r>
        <w:rPr>
          <w:lang w:val="en-GB"/>
        </w:rPr>
        <w:t>well-deserved</w:t>
      </w:r>
      <w:r w:rsidRPr="008463F3">
        <w:rPr>
          <w:lang w:val="en-GB"/>
        </w:rPr>
        <w:t xml:space="preserve"> recognition. Field research </w:t>
      </w:r>
      <w:r>
        <w:rPr>
          <w:lang w:val="en-GB"/>
        </w:rPr>
        <w:t>i</w:t>
      </w:r>
      <w:r w:rsidRPr="008463F3">
        <w:rPr>
          <w:lang w:val="en-GB"/>
        </w:rPr>
        <w:t>n various locations through</w:t>
      </w:r>
      <w:r>
        <w:rPr>
          <w:lang w:val="en-GB"/>
        </w:rPr>
        <w:t>out</w:t>
      </w:r>
      <w:r w:rsidRPr="008463F3">
        <w:rPr>
          <w:lang w:val="en-GB"/>
        </w:rPr>
        <w:t xml:space="preserve"> North Macedonia provided significant data which can be analy</w:t>
      </w:r>
      <w:r>
        <w:rPr>
          <w:lang w:val="en-GB"/>
        </w:rPr>
        <w:t>s</w:t>
      </w:r>
      <w:r w:rsidRPr="008463F3">
        <w:rPr>
          <w:lang w:val="en-GB"/>
        </w:rPr>
        <w:t>ed nowadays and this data is unique and cannot be found in other similar institutions on the Balkans.</w:t>
      </w:r>
    </w:p>
    <w:p w14:paraId="1B5C11E6" w14:textId="77777777" w:rsidR="007947BF" w:rsidRPr="008463F3" w:rsidRDefault="007947BF" w:rsidP="007947BF">
      <w:pPr>
        <w:jc w:val="both"/>
        <w:rPr>
          <w:lang w:val="en-GB"/>
        </w:rPr>
      </w:pPr>
      <w:r w:rsidRPr="008463F3">
        <w:rPr>
          <w:lang w:val="en-GB"/>
        </w:rPr>
        <w:t xml:space="preserve">One of the goals of the </w:t>
      </w:r>
      <w:r>
        <w:rPr>
          <w:lang w:val="en-GB"/>
        </w:rPr>
        <w:t>I</w:t>
      </w:r>
      <w:r w:rsidRPr="008463F3">
        <w:rPr>
          <w:lang w:val="en-GB"/>
        </w:rPr>
        <w:t xml:space="preserve">nstitute is to provide broader access to the collected data to researchers residing in North Macedonia </w:t>
      </w:r>
      <w:r>
        <w:rPr>
          <w:lang w:val="en-GB"/>
        </w:rPr>
        <w:t>and</w:t>
      </w:r>
      <w:r w:rsidRPr="008463F3">
        <w:rPr>
          <w:lang w:val="en-GB"/>
        </w:rPr>
        <w:t xml:space="preserve"> abroad.</w:t>
      </w:r>
    </w:p>
    <w:p w14:paraId="362762F9" w14:textId="77777777" w:rsidR="007947BF" w:rsidRPr="008463F3" w:rsidRDefault="007947BF" w:rsidP="007947BF">
      <w:pPr>
        <w:pStyle w:val="Heading4"/>
        <w:spacing w:after="240"/>
        <w:rPr>
          <w:lang w:val="en-GB"/>
        </w:rPr>
      </w:pPr>
      <w:r w:rsidRPr="008463F3">
        <w:rPr>
          <w:lang w:val="en-GB"/>
        </w:rPr>
        <w:t>Institute of National History</w:t>
      </w:r>
    </w:p>
    <w:p w14:paraId="200CA9B3" w14:textId="77777777" w:rsidR="007947BF" w:rsidRPr="008463F3" w:rsidRDefault="007947BF" w:rsidP="007947BF">
      <w:pPr>
        <w:jc w:val="both"/>
        <w:rPr>
          <w:lang w:val="en-GB"/>
        </w:rPr>
      </w:pPr>
      <w:r w:rsidRPr="008463F3">
        <w:rPr>
          <w:lang w:val="en-GB"/>
        </w:rPr>
        <w:t>The Institute of National History is a public scientific institution focus</w:t>
      </w:r>
      <w:r>
        <w:rPr>
          <w:lang w:val="en-GB"/>
        </w:rPr>
        <w:t>ed</w:t>
      </w:r>
      <w:r w:rsidRPr="008463F3">
        <w:rPr>
          <w:lang w:val="en-GB"/>
        </w:rPr>
        <w:t xml:space="preserve"> on the research of history of North Macedonia and the Balkans. Its field of work includes: knowledge-based resources, using archival documents, sources, data and information from available literature, field research, interviewing individuals, collecting photo documentation, etc.</w:t>
      </w:r>
    </w:p>
    <w:p w14:paraId="20D6F732" w14:textId="77777777" w:rsidR="007947BF" w:rsidRPr="008463F3" w:rsidRDefault="007947BF" w:rsidP="007947BF">
      <w:pPr>
        <w:jc w:val="both"/>
        <w:rPr>
          <w:lang w:val="en-GB"/>
        </w:rPr>
      </w:pPr>
      <w:r w:rsidRPr="008463F3">
        <w:rPr>
          <w:lang w:val="en-GB"/>
        </w:rPr>
        <w:t>The Institute cooperates and strengthens regional cooperation with institutions in the field of science and education. Recogni</w:t>
      </w:r>
      <w:r>
        <w:rPr>
          <w:lang w:val="en-GB"/>
        </w:rPr>
        <w:t>s</w:t>
      </w:r>
      <w:r w:rsidRPr="008463F3">
        <w:rPr>
          <w:lang w:val="en-GB"/>
        </w:rPr>
        <w:t xml:space="preserve">ing the importance of research infrastructures as necessary in the development of the knowledge triangle, composed of research, education and innovation, the Institute provides research on historical processes of North Macedonia and the Balkans as well as training </w:t>
      </w:r>
      <w:r>
        <w:rPr>
          <w:lang w:val="en-GB"/>
        </w:rPr>
        <w:t xml:space="preserve">for </w:t>
      </w:r>
      <w:r w:rsidRPr="008463F3">
        <w:rPr>
          <w:lang w:val="en-GB"/>
        </w:rPr>
        <w:t xml:space="preserve">new historians through postgraduate and doctoral studies. The students have the opportunity to participate in open social debates through lectures, promotions, forums, interviews, etc. Through all these activities, the Institute contributes to the domestic and </w:t>
      </w:r>
      <w:r>
        <w:rPr>
          <w:lang w:val="en-GB"/>
        </w:rPr>
        <w:t>global</w:t>
      </w:r>
      <w:r w:rsidRPr="008463F3">
        <w:rPr>
          <w:lang w:val="en-GB"/>
        </w:rPr>
        <w:t xml:space="preserve"> scientific community.</w:t>
      </w:r>
    </w:p>
    <w:p w14:paraId="71D5F15C" w14:textId="77777777" w:rsidR="007947BF" w:rsidRPr="008463F3" w:rsidRDefault="007947BF" w:rsidP="007947BF">
      <w:pPr>
        <w:jc w:val="both"/>
        <w:rPr>
          <w:lang w:val="en-GB"/>
        </w:rPr>
      </w:pPr>
      <w:r w:rsidRPr="008463F3">
        <w:rPr>
          <w:lang w:val="en-GB"/>
        </w:rPr>
        <w:t>The Institute’s research infrastructure provides users with clear and publicly available guidelines and announcements that contain all relevant information on access processes (required documents, timelines, costs, rights and obligations arising from the access).</w:t>
      </w:r>
    </w:p>
    <w:p w14:paraId="3799391A" w14:textId="77777777" w:rsidR="007947BF" w:rsidRPr="008463F3" w:rsidRDefault="007947BF" w:rsidP="007947BF">
      <w:pPr>
        <w:jc w:val="both"/>
        <w:rPr>
          <w:lang w:val="en-GB"/>
        </w:rPr>
      </w:pPr>
    </w:p>
    <w:p w14:paraId="0C307CD4" w14:textId="77777777" w:rsidR="007947BF" w:rsidRPr="008463F3" w:rsidRDefault="007947BF" w:rsidP="007947BF">
      <w:pPr>
        <w:pStyle w:val="Heading3"/>
        <w:rPr>
          <w:rFonts w:asciiTheme="minorHAnsi" w:hAnsiTheme="minorHAnsi"/>
          <w:lang w:val="en-GB"/>
        </w:rPr>
      </w:pPr>
      <w:bookmarkStart w:id="23" w:name="_Toc77322031"/>
      <w:r w:rsidRPr="008463F3">
        <w:rPr>
          <w:rFonts w:asciiTheme="minorHAnsi" w:hAnsiTheme="minorHAnsi"/>
          <w:lang w:val="en-GB"/>
        </w:rPr>
        <w:t xml:space="preserve">4.1.2. </w:t>
      </w:r>
      <w:proofErr w:type="spellStart"/>
      <w:r w:rsidRPr="008463F3">
        <w:rPr>
          <w:rFonts w:asciiTheme="minorHAnsi" w:hAnsiTheme="minorHAnsi"/>
          <w:lang w:val="en-GB"/>
        </w:rPr>
        <w:t>Goce</w:t>
      </w:r>
      <w:proofErr w:type="spellEnd"/>
      <w:r w:rsidRPr="008463F3">
        <w:rPr>
          <w:rFonts w:asciiTheme="minorHAnsi" w:hAnsiTheme="minorHAnsi"/>
          <w:lang w:val="en-GB"/>
        </w:rPr>
        <w:t xml:space="preserve"> </w:t>
      </w:r>
      <w:proofErr w:type="spellStart"/>
      <w:r w:rsidRPr="008463F3">
        <w:rPr>
          <w:rFonts w:asciiTheme="minorHAnsi" w:hAnsiTheme="minorHAnsi"/>
          <w:lang w:val="en-GB"/>
        </w:rPr>
        <w:t>Delchev</w:t>
      </w:r>
      <w:proofErr w:type="spellEnd"/>
      <w:r w:rsidRPr="008463F3">
        <w:rPr>
          <w:rFonts w:asciiTheme="minorHAnsi" w:hAnsiTheme="minorHAnsi"/>
          <w:lang w:val="en-GB"/>
        </w:rPr>
        <w:t xml:space="preserve"> University</w:t>
      </w:r>
      <w:bookmarkEnd w:id="23"/>
      <w:r w:rsidRPr="008463F3">
        <w:rPr>
          <w:rFonts w:asciiTheme="minorHAnsi" w:hAnsiTheme="minorHAnsi"/>
          <w:lang w:val="en-GB"/>
        </w:rPr>
        <w:t> </w:t>
      </w:r>
    </w:p>
    <w:p w14:paraId="3B319773" w14:textId="77777777" w:rsidR="007947BF" w:rsidRPr="008463F3" w:rsidRDefault="007947BF" w:rsidP="007947BF">
      <w:pPr>
        <w:jc w:val="both"/>
        <w:rPr>
          <w:lang w:val="en-GB"/>
        </w:rPr>
      </w:pPr>
    </w:p>
    <w:p w14:paraId="788BE6B9" w14:textId="77777777" w:rsidR="007947BF" w:rsidRPr="008463F3" w:rsidRDefault="007947BF" w:rsidP="007947BF">
      <w:pPr>
        <w:pStyle w:val="Heading4"/>
        <w:spacing w:after="240"/>
        <w:rPr>
          <w:rFonts w:asciiTheme="minorHAnsi" w:hAnsiTheme="minorHAnsi"/>
          <w:lang w:val="en-GB"/>
        </w:rPr>
      </w:pPr>
      <w:r w:rsidRPr="008463F3">
        <w:rPr>
          <w:rFonts w:asciiTheme="minorHAnsi" w:hAnsiTheme="minorHAnsi"/>
          <w:lang w:val="en-GB"/>
        </w:rPr>
        <w:t>Faculty of Natural and Technical Sciences</w:t>
      </w:r>
    </w:p>
    <w:p w14:paraId="2A1F4025" w14:textId="77777777" w:rsidR="007947BF" w:rsidRPr="008463F3" w:rsidRDefault="007947BF" w:rsidP="007947BF">
      <w:pPr>
        <w:pStyle w:val="Heading5"/>
        <w:spacing w:after="240"/>
        <w:rPr>
          <w:rFonts w:asciiTheme="minorHAnsi" w:hAnsiTheme="minorHAnsi"/>
          <w:lang w:val="en-GB"/>
        </w:rPr>
      </w:pPr>
      <w:r w:rsidRPr="008463F3">
        <w:rPr>
          <w:rFonts w:asciiTheme="minorHAnsi" w:hAnsiTheme="minorHAnsi"/>
          <w:lang w:val="en-GB"/>
        </w:rPr>
        <w:t>AMBICON Research Group</w:t>
      </w:r>
    </w:p>
    <w:p w14:paraId="0BEC8584" w14:textId="77777777" w:rsidR="007947BF" w:rsidRPr="008463F3" w:rsidRDefault="007947BF" w:rsidP="007947BF">
      <w:pPr>
        <w:jc w:val="both"/>
        <w:rPr>
          <w:lang w:val="en-GB"/>
        </w:rPr>
      </w:pPr>
      <w:r w:rsidRPr="008463F3">
        <w:rPr>
          <w:lang w:val="en-GB"/>
        </w:rPr>
        <w:t xml:space="preserve">The AMBICON Lab is focused on the development of methodological base for ambient air monitoring and environmental analyses. AMBICON unites three scientific groups including ambient control and sampling group, electrons scanning microscopy </w:t>
      </w:r>
      <w:r>
        <w:rPr>
          <w:lang w:val="en-GB"/>
        </w:rPr>
        <w:t xml:space="preserve">group </w:t>
      </w:r>
      <w:r w:rsidRPr="008463F3">
        <w:rPr>
          <w:lang w:val="en-GB"/>
        </w:rPr>
        <w:t>and elemental analysis group. Since 2014 the Lab is accredited in accordance with ISO 17025 for environment and samples from the environment testing areas.</w:t>
      </w:r>
    </w:p>
    <w:p w14:paraId="0BCAC3AA" w14:textId="77777777" w:rsidR="007947BF" w:rsidRPr="008463F3" w:rsidRDefault="007947BF" w:rsidP="007947BF">
      <w:pPr>
        <w:jc w:val="both"/>
        <w:rPr>
          <w:lang w:val="en-GB"/>
        </w:rPr>
      </w:pPr>
      <w:r w:rsidRPr="008463F3">
        <w:rPr>
          <w:lang w:val="en-GB"/>
        </w:rPr>
        <w:t xml:space="preserve">Services offered: Standard gravimetric measurement method for the determination of the PM10/PM2,5 mass concentration of suspended particulate matter; </w:t>
      </w:r>
      <w:r>
        <w:rPr>
          <w:lang w:val="en-GB"/>
        </w:rPr>
        <w:t>d</w:t>
      </w:r>
      <w:r w:rsidRPr="008463F3">
        <w:rPr>
          <w:lang w:val="en-GB"/>
        </w:rPr>
        <w:t xml:space="preserve">etermination of chemical composition of ambient particulate matter using Energy Dispersive X-Ray Fluorescence (EDXRF); </w:t>
      </w:r>
      <w:r>
        <w:rPr>
          <w:lang w:val="en-GB"/>
        </w:rPr>
        <w:t>d</w:t>
      </w:r>
      <w:r w:rsidRPr="008463F3">
        <w:rPr>
          <w:lang w:val="en-GB"/>
        </w:rPr>
        <w:t xml:space="preserve">irect on filter analyses of ambient air particulates mineralogy by X-ray diffractometer; </w:t>
      </w:r>
      <w:r>
        <w:rPr>
          <w:lang w:val="en-GB"/>
        </w:rPr>
        <w:t>p</w:t>
      </w:r>
      <w:r w:rsidRPr="008463F3">
        <w:rPr>
          <w:lang w:val="en-GB"/>
        </w:rPr>
        <w:t xml:space="preserve">articulate geometry/morphology and composition using Electron Scanning Microscopy equipped energy dispersive spectrometer (EDS); </w:t>
      </w:r>
      <w:r>
        <w:rPr>
          <w:lang w:val="en-GB"/>
        </w:rPr>
        <w:t>d</w:t>
      </w:r>
      <w:r w:rsidRPr="008463F3">
        <w:rPr>
          <w:lang w:val="en-GB"/>
        </w:rPr>
        <w:t xml:space="preserve">ual-wavelength transmissometer for determination of Black Carbon and Aromatic Organic Compounds in ambient particulates; </w:t>
      </w:r>
      <w:r>
        <w:rPr>
          <w:lang w:val="en-GB"/>
        </w:rPr>
        <w:t>p</w:t>
      </w:r>
      <w:r w:rsidRPr="008463F3">
        <w:rPr>
          <w:lang w:val="en-GB"/>
        </w:rPr>
        <w:t>ersonal exposure or background workplace concentration of different airborne chemical species using direct</w:t>
      </w:r>
      <w:r>
        <w:rPr>
          <w:lang w:val="en-GB"/>
        </w:rPr>
        <w:t>-</w:t>
      </w:r>
      <w:r w:rsidRPr="008463F3">
        <w:rPr>
          <w:lang w:val="en-GB"/>
        </w:rPr>
        <w:t>re</w:t>
      </w:r>
      <w:r>
        <w:rPr>
          <w:lang w:val="en-GB"/>
        </w:rPr>
        <w:t>a</w:t>
      </w:r>
      <w:r w:rsidRPr="008463F3">
        <w:rPr>
          <w:lang w:val="en-GB"/>
        </w:rPr>
        <w:t xml:space="preserve">ding instrumentation (electrochemical, PID, infrared sensor) or </w:t>
      </w:r>
      <w:proofErr w:type="spellStart"/>
      <w:r w:rsidRPr="008463F3">
        <w:rPr>
          <w:lang w:val="en-GB"/>
        </w:rPr>
        <w:t>dosimetric</w:t>
      </w:r>
      <w:proofErr w:type="spellEnd"/>
      <w:r w:rsidRPr="008463F3">
        <w:rPr>
          <w:lang w:val="en-GB"/>
        </w:rPr>
        <w:t xml:space="preserve"> tubes; </w:t>
      </w:r>
      <w:r>
        <w:rPr>
          <w:lang w:val="en-GB"/>
        </w:rPr>
        <w:t>t</w:t>
      </w:r>
      <w:r w:rsidRPr="008463F3">
        <w:rPr>
          <w:lang w:val="en-GB"/>
        </w:rPr>
        <w:t xml:space="preserve">hermal comfort and ventilation surveys and noise and vibration measurements and modelling including personal noise exposure (noise dosimetry). </w:t>
      </w:r>
    </w:p>
    <w:p w14:paraId="7CC118C3" w14:textId="77777777" w:rsidR="007947BF" w:rsidRPr="008463F3" w:rsidRDefault="007947BF" w:rsidP="007947BF">
      <w:pPr>
        <w:jc w:val="both"/>
        <w:rPr>
          <w:lang w:val="en-GB"/>
        </w:rPr>
      </w:pPr>
      <w:r w:rsidRPr="008463F3">
        <w:rPr>
          <w:lang w:val="en-GB"/>
        </w:rPr>
        <w:t>Research equipment: The Lab has capital research equipment whose current value was estimated at 400.000 euro (the purchase value was 1</w:t>
      </w:r>
      <w:r>
        <w:rPr>
          <w:lang w:val="en-GB"/>
        </w:rPr>
        <w:t>.</w:t>
      </w:r>
      <w:r w:rsidRPr="008463F3">
        <w:rPr>
          <w:lang w:val="en-GB"/>
        </w:rPr>
        <w:t xml:space="preserve">27 mil euros). It is fully equipped with all necessary instrumentation </w:t>
      </w:r>
      <w:r>
        <w:rPr>
          <w:lang w:val="en-GB"/>
        </w:rPr>
        <w:t xml:space="preserve">for </w:t>
      </w:r>
      <w:r w:rsidRPr="008463F3">
        <w:rPr>
          <w:lang w:val="en-GB"/>
        </w:rPr>
        <w:t xml:space="preserve">ambient air sampling and analysis. </w:t>
      </w:r>
    </w:p>
    <w:p w14:paraId="16DFE009" w14:textId="77777777" w:rsidR="007947BF" w:rsidRPr="008463F3" w:rsidRDefault="007947BF" w:rsidP="007947BF">
      <w:pPr>
        <w:jc w:val="both"/>
        <w:rPr>
          <w:lang w:val="en-GB"/>
        </w:rPr>
      </w:pPr>
    </w:p>
    <w:p w14:paraId="25A28207" w14:textId="77777777" w:rsidR="007947BF" w:rsidRPr="008463F3" w:rsidRDefault="007947BF" w:rsidP="007947BF">
      <w:pPr>
        <w:pStyle w:val="Heading4"/>
        <w:spacing w:after="240"/>
        <w:rPr>
          <w:rFonts w:asciiTheme="minorHAnsi" w:hAnsiTheme="minorHAnsi"/>
          <w:lang w:val="en-GB"/>
        </w:rPr>
      </w:pPr>
      <w:r w:rsidRPr="008463F3">
        <w:rPr>
          <w:rFonts w:asciiTheme="minorHAnsi" w:hAnsiTheme="minorHAnsi"/>
          <w:lang w:val="en-GB"/>
        </w:rPr>
        <w:t>Faculty of Agriculture</w:t>
      </w:r>
    </w:p>
    <w:p w14:paraId="66630854" w14:textId="77777777" w:rsidR="007947BF" w:rsidRPr="008463F3" w:rsidRDefault="007947BF" w:rsidP="007947BF">
      <w:pPr>
        <w:pStyle w:val="Heading5"/>
        <w:spacing w:after="240"/>
        <w:rPr>
          <w:rFonts w:asciiTheme="minorHAnsi" w:hAnsiTheme="minorHAnsi"/>
          <w:lang w:val="en-GB"/>
        </w:rPr>
      </w:pPr>
      <w:r w:rsidRPr="008463F3">
        <w:rPr>
          <w:rFonts w:asciiTheme="minorHAnsi" w:hAnsiTheme="minorHAnsi"/>
          <w:lang w:val="en-GB"/>
        </w:rPr>
        <w:t>UNILAB</w:t>
      </w:r>
    </w:p>
    <w:p w14:paraId="00436ACB" w14:textId="77777777" w:rsidR="007947BF" w:rsidRPr="008463F3" w:rsidRDefault="007947BF" w:rsidP="007947BF">
      <w:pPr>
        <w:jc w:val="both"/>
        <w:rPr>
          <w:lang w:val="en-GB"/>
        </w:rPr>
      </w:pPr>
      <w:r w:rsidRPr="008463F3">
        <w:rPr>
          <w:lang w:val="en-GB"/>
        </w:rPr>
        <w:t xml:space="preserve">As part of </w:t>
      </w:r>
      <w:r>
        <w:rPr>
          <w:lang w:val="en-GB"/>
        </w:rPr>
        <w:t xml:space="preserve">the </w:t>
      </w:r>
      <w:r w:rsidRPr="008463F3">
        <w:rPr>
          <w:lang w:val="en-GB"/>
        </w:rPr>
        <w:t>Faculty of Agriculture this Lab is engaged in sophisticated agrochemical soil analysis, seeds, raw products, oils, wines. It is also equipped with sophisticated chemistry department for determination of macro, micro and trace elements in solids and liquid samples.</w:t>
      </w:r>
    </w:p>
    <w:p w14:paraId="35648CEB" w14:textId="77777777" w:rsidR="007947BF" w:rsidRPr="008463F3" w:rsidRDefault="007947BF" w:rsidP="007947BF">
      <w:pPr>
        <w:spacing w:after="0"/>
        <w:jc w:val="both"/>
        <w:rPr>
          <w:rFonts w:eastAsia="Calibri" w:cs="Times New Roman"/>
          <w:lang w:val="en-GB"/>
        </w:rPr>
      </w:pPr>
      <w:r w:rsidRPr="008463F3">
        <w:rPr>
          <w:rFonts w:eastAsia="Calibri" w:cs="Times New Roman"/>
          <w:lang w:val="en-GB"/>
        </w:rPr>
        <w:t xml:space="preserve">Services offered: The Lab </w:t>
      </w:r>
      <w:r>
        <w:rPr>
          <w:rFonts w:eastAsia="Calibri" w:cs="Times New Roman"/>
          <w:lang w:val="en-GB"/>
        </w:rPr>
        <w:t xml:space="preserve">is </w:t>
      </w:r>
      <w:r w:rsidRPr="008463F3">
        <w:rPr>
          <w:rFonts w:eastAsia="Calibri" w:cs="Times New Roman"/>
          <w:lang w:val="en-GB"/>
        </w:rPr>
        <w:t xml:space="preserve">offering the following accredited services: </w:t>
      </w:r>
      <w:r>
        <w:rPr>
          <w:rFonts w:eastAsia="Calibri" w:cs="Times New Roman"/>
          <w:lang w:val="en-GB"/>
        </w:rPr>
        <w:t>s</w:t>
      </w:r>
      <w:r w:rsidRPr="008463F3">
        <w:rPr>
          <w:rFonts w:eastAsia="Calibri" w:cs="Times New Roman"/>
          <w:lang w:val="en-GB"/>
        </w:rPr>
        <w:t xml:space="preserve">oil quality - preliminary preparation of a soil sample for physical and chemical analysis (ISO 11464:2006); </w:t>
      </w:r>
      <w:r>
        <w:rPr>
          <w:rFonts w:eastAsia="Calibri" w:cs="Times New Roman"/>
          <w:lang w:val="en-GB"/>
        </w:rPr>
        <w:t>s</w:t>
      </w:r>
      <w:r w:rsidRPr="008463F3">
        <w:rPr>
          <w:rFonts w:eastAsia="Calibri" w:cs="Times New Roman"/>
          <w:lang w:val="en-GB"/>
        </w:rPr>
        <w:t xml:space="preserve">oil quality: </w:t>
      </w:r>
      <w:r>
        <w:rPr>
          <w:rFonts w:eastAsia="Calibri" w:cs="Times New Roman"/>
          <w:lang w:val="en-GB"/>
        </w:rPr>
        <w:t>d</w:t>
      </w:r>
      <w:r w:rsidRPr="008463F3">
        <w:rPr>
          <w:rFonts w:eastAsia="Calibri" w:cs="Times New Roman"/>
          <w:lang w:val="en-GB"/>
        </w:rPr>
        <w:t xml:space="preserve">issolution to determine the total content of the elements-Part 1: Dilution with fluoride and per chloric acid (ISO 14869-1:2001(E)); </w:t>
      </w:r>
      <w:r>
        <w:rPr>
          <w:rFonts w:eastAsia="Calibri" w:cs="Times New Roman"/>
          <w:lang w:val="en-GB"/>
        </w:rPr>
        <w:t>w</w:t>
      </w:r>
      <w:r w:rsidRPr="008463F3">
        <w:rPr>
          <w:rFonts w:eastAsia="Calibri" w:cs="Times New Roman"/>
          <w:lang w:val="en-GB"/>
        </w:rPr>
        <w:t xml:space="preserve">ater quality - </w:t>
      </w:r>
      <w:r>
        <w:rPr>
          <w:rFonts w:eastAsia="Calibri" w:cs="Times New Roman"/>
          <w:lang w:val="en-GB"/>
        </w:rPr>
        <w:t>a</w:t>
      </w:r>
      <w:r w:rsidRPr="008463F3">
        <w:rPr>
          <w:rFonts w:eastAsia="Calibri" w:cs="Times New Roman"/>
          <w:lang w:val="en-GB"/>
        </w:rPr>
        <w:t xml:space="preserve">pplication of inductively coupled mass spectrometry (ICP-MS) plasma - Part 2: Determination of 62 elements (EN ISO 17294-2:2009); </w:t>
      </w:r>
      <w:r>
        <w:rPr>
          <w:rFonts w:eastAsia="Calibri" w:cs="Times New Roman"/>
          <w:lang w:val="en-GB"/>
        </w:rPr>
        <w:t>s</w:t>
      </w:r>
      <w:r w:rsidRPr="008463F3">
        <w:rPr>
          <w:rFonts w:eastAsia="Calibri" w:cs="Times New Roman"/>
          <w:lang w:val="en-GB"/>
        </w:rPr>
        <w:t>oil quality determination of total nitrogen (ISO 11261:1995). In addition, over 40 methods for fertili</w:t>
      </w:r>
      <w:r>
        <w:rPr>
          <w:rFonts w:eastAsia="Calibri" w:cs="Times New Roman"/>
          <w:lang w:val="en-GB"/>
        </w:rPr>
        <w:t>s</w:t>
      </w:r>
      <w:r w:rsidRPr="008463F3">
        <w:rPr>
          <w:rFonts w:eastAsia="Calibri" w:cs="Times New Roman"/>
          <w:lang w:val="en-GB"/>
        </w:rPr>
        <w:t>ers, seeds, food and beverages testing are accredited and regular</w:t>
      </w:r>
      <w:r>
        <w:rPr>
          <w:rFonts w:eastAsia="Calibri" w:cs="Times New Roman"/>
          <w:lang w:val="en-GB"/>
        </w:rPr>
        <w:t>ly</w:t>
      </w:r>
      <w:r w:rsidRPr="008463F3">
        <w:rPr>
          <w:rFonts w:eastAsia="Calibri" w:cs="Times New Roman"/>
          <w:lang w:val="en-GB"/>
        </w:rPr>
        <w:t xml:space="preserve"> offered as a service </w:t>
      </w:r>
      <w:r>
        <w:rPr>
          <w:rFonts w:eastAsia="Calibri" w:cs="Times New Roman"/>
          <w:lang w:val="en-GB"/>
        </w:rPr>
        <w:t>to</w:t>
      </w:r>
      <w:r w:rsidRPr="008463F3">
        <w:rPr>
          <w:rFonts w:eastAsia="Calibri" w:cs="Times New Roman"/>
          <w:lang w:val="en-GB"/>
        </w:rPr>
        <w:t xml:space="preserve"> external customers. </w:t>
      </w:r>
    </w:p>
    <w:p w14:paraId="6D7EDC6D" w14:textId="77777777" w:rsidR="007947BF" w:rsidRPr="008463F3" w:rsidRDefault="007947BF" w:rsidP="007947BF">
      <w:pPr>
        <w:spacing w:after="0"/>
        <w:jc w:val="both"/>
        <w:rPr>
          <w:rFonts w:eastAsia="Calibri" w:cs="Times New Roman"/>
          <w:lang w:val="en-GB"/>
        </w:rPr>
      </w:pPr>
    </w:p>
    <w:p w14:paraId="36DB2DA5" w14:textId="77777777" w:rsidR="007947BF" w:rsidRPr="008463F3" w:rsidRDefault="007947BF" w:rsidP="007947BF">
      <w:pPr>
        <w:jc w:val="both"/>
        <w:rPr>
          <w:lang w:val="en-GB"/>
        </w:rPr>
      </w:pPr>
      <w:r w:rsidRPr="008463F3">
        <w:rPr>
          <w:lang w:val="en-GB"/>
        </w:rPr>
        <w:t xml:space="preserve">Research equipment: The Lab has capital research equipment whose current value was estimated at 400.000 euro (the purchase value was 780.000 euros). The list of single capital research equipment worth over 50.000 euros is provided in Appendix 1. </w:t>
      </w:r>
    </w:p>
    <w:p w14:paraId="1172EA16" w14:textId="77777777" w:rsidR="007947BF" w:rsidRPr="008463F3" w:rsidRDefault="007947BF" w:rsidP="007947BF">
      <w:pPr>
        <w:jc w:val="both"/>
        <w:rPr>
          <w:lang w:val="en-GB"/>
        </w:rPr>
      </w:pPr>
    </w:p>
    <w:p w14:paraId="008B0AFD" w14:textId="77777777" w:rsidR="007947BF" w:rsidRPr="008463F3" w:rsidRDefault="007947BF" w:rsidP="007947BF">
      <w:pPr>
        <w:pStyle w:val="Heading4"/>
        <w:spacing w:after="240"/>
        <w:rPr>
          <w:rFonts w:asciiTheme="minorHAnsi" w:hAnsiTheme="minorHAnsi"/>
          <w:lang w:val="en-GB"/>
        </w:rPr>
      </w:pPr>
      <w:r w:rsidRPr="008463F3">
        <w:rPr>
          <w:rFonts w:asciiTheme="minorHAnsi" w:hAnsiTheme="minorHAnsi"/>
          <w:lang w:val="en-GB"/>
        </w:rPr>
        <w:t>Faculty of Medical Sciences</w:t>
      </w:r>
    </w:p>
    <w:p w14:paraId="713139D7" w14:textId="77777777" w:rsidR="007947BF" w:rsidRPr="008463F3" w:rsidRDefault="007947BF" w:rsidP="007947BF">
      <w:pPr>
        <w:pStyle w:val="Heading5"/>
        <w:spacing w:after="240"/>
        <w:rPr>
          <w:rFonts w:asciiTheme="minorHAnsi" w:hAnsiTheme="minorHAnsi"/>
          <w:b/>
          <w:lang w:val="en-GB"/>
        </w:rPr>
      </w:pPr>
      <w:r w:rsidRPr="008463F3">
        <w:rPr>
          <w:rFonts w:asciiTheme="minorHAnsi" w:hAnsiTheme="minorHAnsi"/>
          <w:lang w:val="en-GB"/>
        </w:rPr>
        <w:t>Health Sciences Research Group</w:t>
      </w:r>
    </w:p>
    <w:p w14:paraId="0884D436" w14:textId="77777777" w:rsidR="007947BF" w:rsidRPr="008463F3" w:rsidRDefault="007947BF" w:rsidP="007947BF">
      <w:pPr>
        <w:jc w:val="both"/>
        <w:rPr>
          <w:lang w:val="en-GB"/>
        </w:rPr>
      </w:pPr>
      <w:r w:rsidRPr="008463F3">
        <w:rPr>
          <w:b/>
          <w:lang w:val="en-GB"/>
        </w:rPr>
        <w:t xml:space="preserve">The Laboratory for </w:t>
      </w:r>
      <w:proofErr w:type="spellStart"/>
      <w:r w:rsidRPr="008463F3">
        <w:rPr>
          <w:b/>
          <w:lang w:val="en-GB"/>
        </w:rPr>
        <w:t>Radiopharmacy</w:t>
      </w:r>
      <w:proofErr w:type="spellEnd"/>
      <w:r w:rsidRPr="008463F3">
        <w:rPr>
          <w:lang w:val="en-GB"/>
        </w:rPr>
        <w:t xml:space="preserve"> is a unit of the Department for Pharmaceutical Chemistry at the Faculty </w:t>
      </w:r>
      <w:r>
        <w:rPr>
          <w:lang w:val="en-GB"/>
        </w:rPr>
        <w:t>of</w:t>
      </w:r>
      <w:r w:rsidRPr="008463F3">
        <w:rPr>
          <w:lang w:val="en-GB"/>
        </w:rPr>
        <w:t xml:space="preserve"> Medical Sciences. The research activities are directed </w:t>
      </w:r>
      <w:r>
        <w:rPr>
          <w:lang w:val="en-GB"/>
        </w:rPr>
        <w:t>at</w:t>
      </w:r>
      <w:r w:rsidRPr="008463F3">
        <w:rPr>
          <w:lang w:val="en-GB"/>
        </w:rPr>
        <w:t xml:space="preserve"> design, development and synthesis of new ligands, precursors and reference molecules and methods for labelling with radioactive isotopes intended for diagnostic, therapeutic </w:t>
      </w:r>
      <w:r>
        <w:rPr>
          <w:lang w:val="en-GB"/>
        </w:rPr>
        <w:t>purposes</w:t>
      </w:r>
      <w:r w:rsidRPr="008463F3">
        <w:rPr>
          <w:lang w:val="en-GB"/>
        </w:rPr>
        <w:t xml:space="preserve"> and basic research, covering all aspects of development of new drugs and medical products, research in the field of pharmacy, medicine, biology, chemistry and related sciences, as well as preclinical and clinical trials of new and existing radiopharmaceuticals.</w:t>
      </w:r>
    </w:p>
    <w:p w14:paraId="6ACDD83B" w14:textId="77777777" w:rsidR="007947BF" w:rsidRPr="008463F3" w:rsidRDefault="007947BF" w:rsidP="007947BF">
      <w:pPr>
        <w:jc w:val="both"/>
        <w:rPr>
          <w:lang w:val="en-GB"/>
        </w:rPr>
      </w:pPr>
      <w:r w:rsidRPr="008463F3">
        <w:rPr>
          <w:lang w:val="en-GB"/>
        </w:rPr>
        <w:t xml:space="preserve">Services offered: introducing validated and accredited procedures for defining the structure </w:t>
      </w:r>
      <w:r>
        <w:rPr>
          <w:lang w:val="en-GB"/>
        </w:rPr>
        <w:t xml:space="preserve">and </w:t>
      </w:r>
      <w:r w:rsidRPr="008463F3">
        <w:rPr>
          <w:lang w:val="en-GB"/>
        </w:rPr>
        <w:t>form of specific radiopharmaceuticals</w:t>
      </w:r>
      <w:r>
        <w:rPr>
          <w:lang w:val="en-GB"/>
        </w:rPr>
        <w:t>,</w:t>
      </w:r>
      <w:r w:rsidRPr="008463F3">
        <w:rPr>
          <w:lang w:val="en-GB"/>
        </w:rPr>
        <w:t xml:space="preserve"> and their quality control. The </w:t>
      </w:r>
      <w:r>
        <w:rPr>
          <w:lang w:val="en-GB"/>
        </w:rPr>
        <w:t>L</w:t>
      </w:r>
      <w:r w:rsidRPr="008463F3">
        <w:rPr>
          <w:lang w:val="en-GB"/>
        </w:rPr>
        <w:t xml:space="preserve">aboratory for </w:t>
      </w:r>
      <w:proofErr w:type="spellStart"/>
      <w:r>
        <w:rPr>
          <w:lang w:val="en-GB"/>
        </w:rPr>
        <w:t>R</w:t>
      </w:r>
      <w:r w:rsidRPr="008463F3">
        <w:rPr>
          <w:lang w:val="en-GB"/>
        </w:rPr>
        <w:t>adiopharmacy</w:t>
      </w:r>
      <w:proofErr w:type="spellEnd"/>
      <w:r w:rsidRPr="008463F3">
        <w:rPr>
          <w:lang w:val="en-GB"/>
        </w:rPr>
        <w:t xml:space="preserve"> with its technical potential and personnel has been included in the first and second cycle study program</w:t>
      </w:r>
      <w:r>
        <w:rPr>
          <w:lang w:val="en-GB"/>
        </w:rPr>
        <w:t>me</w:t>
      </w:r>
      <w:r w:rsidRPr="008463F3">
        <w:rPr>
          <w:lang w:val="en-GB"/>
        </w:rPr>
        <w:t xml:space="preserve">s. </w:t>
      </w:r>
      <w:r>
        <w:rPr>
          <w:lang w:val="en-GB"/>
        </w:rPr>
        <w:t>Its</w:t>
      </w:r>
      <w:r w:rsidRPr="008463F3">
        <w:rPr>
          <w:lang w:val="en-GB"/>
        </w:rPr>
        <w:t xml:space="preserve"> staff has been </w:t>
      </w:r>
      <w:r>
        <w:rPr>
          <w:lang w:val="en-GB"/>
        </w:rPr>
        <w:t xml:space="preserve">continuously </w:t>
      </w:r>
      <w:r w:rsidRPr="008463F3">
        <w:rPr>
          <w:lang w:val="en-GB"/>
        </w:rPr>
        <w:t xml:space="preserve">educated </w:t>
      </w:r>
      <w:r>
        <w:rPr>
          <w:lang w:val="en-GB"/>
        </w:rPr>
        <w:t>through</w:t>
      </w:r>
      <w:r w:rsidRPr="008463F3">
        <w:rPr>
          <w:lang w:val="en-GB"/>
        </w:rPr>
        <w:t xml:space="preserve"> national and international program</w:t>
      </w:r>
      <w:r>
        <w:rPr>
          <w:lang w:val="en-GB"/>
        </w:rPr>
        <w:t>me</w:t>
      </w:r>
      <w:r w:rsidRPr="008463F3">
        <w:rPr>
          <w:lang w:val="en-GB"/>
        </w:rPr>
        <w:t xml:space="preserve">s in the field of </w:t>
      </w:r>
      <w:proofErr w:type="spellStart"/>
      <w:r w:rsidRPr="008463F3">
        <w:rPr>
          <w:lang w:val="en-GB"/>
        </w:rPr>
        <w:t>radiopharmacy</w:t>
      </w:r>
      <w:proofErr w:type="spellEnd"/>
      <w:r w:rsidRPr="008463F3">
        <w:rPr>
          <w:lang w:val="en-GB"/>
        </w:rPr>
        <w:t xml:space="preserve"> and radiochemistry.</w:t>
      </w:r>
    </w:p>
    <w:p w14:paraId="75ED4D9C" w14:textId="77777777" w:rsidR="007947BF" w:rsidRPr="008463F3" w:rsidRDefault="007947BF" w:rsidP="007947BF">
      <w:pPr>
        <w:jc w:val="both"/>
        <w:rPr>
          <w:lang w:val="en-GB"/>
        </w:rPr>
      </w:pPr>
      <w:r w:rsidRPr="008463F3">
        <w:rPr>
          <w:b/>
          <w:lang w:val="en-GB"/>
        </w:rPr>
        <w:t>The Laboratory for Dental Scientific Research</w:t>
      </w:r>
      <w:r w:rsidRPr="008463F3">
        <w:rPr>
          <w:lang w:val="en-GB"/>
        </w:rPr>
        <w:t xml:space="preserve"> </w:t>
      </w:r>
      <w:r>
        <w:rPr>
          <w:lang w:val="en-GB"/>
        </w:rPr>
        <w:t>carries out</w:t>
      </w:r>
      <w:r w:rsidRPr="008463F3">
        <w:rPr>
          <w:lang w:val="en-GB"/>
        </w:rPr>
        <w:t xml:space="preserve"> scientific research, </w:t>
      </w:r>
      <w:r>
        <w:rPr>
          <w:lang w:val="en-GB"/>
        </w:rPr>
        <w:t xml:space="preserve">and </w:t>
      </w:r>
      <w:r w:rsidRPr="008463F3">
        <w:rPr>
          <w:lang w:val="en-GB"/>
        </w:rPr>
        <w:t>educational and applied activit</w:t>
      </w:r>
      <w:r>
        <w:rPr>
          <w:lang w:val="en-GB"/>
        </w:rPr>
        <w:t>ies</w:t>
      </w:r>
      <w:r w:rsidRPr="008463F3">
        <w:rPr>
          <w:lang w:val="en-GB"/>
        </w:rPr>
        <w:t xml:space="preserve"> in several fields</w:t>
      </w:r>
      <w:r>
        <w:rPr>
          <w:lang w:val="en-GB"/>
        </w:rPr>
        <w:t xml:space="preserve"> of dental science</w:t>
      </w:r>
      <w:r w:rsidRPr="008463F3">
        <w:rPr>
          <w:lang w:val="en-GB"/>
        </w:rPr>
        <w:t>: restorative dentistry, dental prosthetics, dental laser therapy, oral surgery, orthodontics and dental implantology.</w:t>
      </w:r>
    </w:p>
    <w:p w14:paraId="2BC75561" w14:textId="77777777" w:rsidR="007947BF" w:rsidRPr="008463F3" w:rsidRDefault="007947BF" w:rsidP="007947BF">
      <w:pPr>
        <w:jc w:val="both"/>
        <w:rPr>
          <w:lang w:val="en-GB"/>
        </w:rPr>
      </w:pPr>
      <w:r w:rsidRPr="008463F3">
        <w:rPr>
          <w:lang w:val="en-GB"/>
        </w:rPr>
        <w:t xml:space="preserve">Services offered: The </w:t>
      </w:r>
      <w:r>
        <w:rPr>
          <w:lang w:val="en-GB"/>
        </w:rPr>
        <w:t>L</w:t>
      </w:r>
      <w:r w:rsidRPr="008463F3">
        <w:rPr>
          <w:lang w:val="en-GB"/>
        </w:rPr>
        <w:t>aboratory is available to students</w:t>
      </w:r>
      <w:r>
        <w:rPr>
          <w:lang w:val="en-GB"/>
        </w:rPr>
        <w:t xml:space="preserve"> as part of</w:t>
      </w:r>
      <w:r w:rsidRPr="008463F3">
        <w:rPr>
          <w:lang w:val="en-GB"/>
        </w:rPr>
        <w:t xml:space="preserve"> the teaching process. It is used in the process of preparing specialist topics in second cycle studies, master's thes</w:t>
      </w:r>
      <w:r>
        <w:rPr>
          <w:lang w:val="en-GB"/>
        </w:rPr>
        <w:t>i</w:t>
      </w:r>
      <w:r w:rsidRPr="008463F3">
        <w:rPr>
          <w:lang w:val="en-GB"/>
        </w:rPr>
        <w:t xml:space="preserve">s and doctoral dissertations, as well as </w:t>
      </w:r>
      <w:r>
        <w:rPr>
          <w:lang w:val="en-GB"/>
        </w:rPr>
        <w:t>by</w:t>
      </w:r>
      <w:r w:rsidRPr="008463F3">
        <w:rPr>
          <w:lang w:val="en-GB"/>
        </w:rPr>
        <w:t xml:space="preserve"> scientists who want to work on scientific research and scientific application projects in the field of dentistry and dental materials. </w:t>
      </w:r>
    </w:p>
    <w:p w14:paraId="19233FE2" w14:textId="77777777" w:rsidR="007947BF" w:rsidRPr="008463F3" w:rsidRDefault="007947BF" w:rsidP="007947BF">
      <w:pPr>
        <w:jc w:val="both"/>
        <w:rPr>
          <w:lang w:val="en-GB"/>
        </w:rPr>
      </w:pPr>
      <w:r w:rsidRPr="008463F3">
        <w:rPr>
          <w:lang w:val="en-GB"/>
        </w:rPr>
        <w:t xml:space="preserve">Research equipment: The Lab has capital research equipment whose current value was estimated at 200.000 euro (the purchase value was 900.000 euros). The list of single capital research equipment worth over 50.000 euros is provided in Appendix 1. </w:t>
      </w:r>
    </w:p>
    <w:p w14:paraId="78568C2D" w14:textId="77777777" w:rsidR="007947BF" w:rsidRPr="008463F3" w:rsidRDefault="007947BF" w:rsidP="007947BF">
      <w:pPr>
        <w:jc w:val="both"/>
        <w:rPr>
          <w:lang w:val="en-GB"/>
        </w:rPr>
      </w:pPr>
    </w:p>
    <w:p w14:paraId="2B4C9AB4" w14:textId="77777777" w:rsidR="007947BF" w:rsidRPr="008463F3" w:rsidRDefault="007947BF" w:rsidP="007947BF">
      <w:pPr>
        <w:pStyle w:val="Heading3"/>
        <w:spacing w:after="240"/>
        <w:rPr>
          <w:rFonts w:asciiTheme="minorHAnsi" w:hAnsiTheme="minorHAnsi"/>
          <w:lang w:val="en-GB"/>
        </w:rPr>
      </w:pPr>
      <w:bookmarkStart w:id="24" w:name="_Toc77322032"/>
      <w:r w:rsidRPr="008463F3">
        <w:rPr>
          <w:rFonts w:asciiTheme="minorHAnsi" w:hAnsiTheme="minorHAnsi"/>
          <w:lang w:val="en-GB"/>
        </w:rPr>
        <w:t xml:space="preserve">4.1.3. St </w:t>
      </w:r>
      <w:proofErr w:type="spellStart"/>
      <w:r w:rsidRPr="008463F3">
        <w:rPr>
          <w:rFonts w:asciiTheme="minorHAnsi" w:hAnsiTheme="minorHAnsi"/>
          <w:lang w:val="en-GB"/>
        </w:rPr>
        <w:t>Kliment</w:t>
      </w:r>
      <w:proofErr w:type="spellEnd"/>
      <w:r w:rsidRPr="008463F3">
        <w:rPr>
          <w:rFonts w:asciiTheme="minorHAnsi" w:hAnsiTheme="minorHAnsi"/>
          <w:lang w:val="en-GB"/>
        </w:rPr>
        <w:t xml:space="preserve"> </w:t>
      </w:r>
      <w:proofErr w:type="spellStart"/>
      <w:r w:rsidRPr="008463F3">
        <w:rPr>
          <w:rFonts w:asciiTheme="minorHAnsi" w:hAnsiTheme="minorHAnsi"/>
          <w:lang w:val="en-GB"/>
        </w:rPr>
        <w:t>Ohridski</w:t>
      </w:r>
      <w:proofErr w:type="spellEnd"/>
      <w:r w:rsidRPr="008463F3">
        <w:rPr>
          <w:rFonts w:asciiTheme="minorHAnsi" w:hAnsiTheme="minorHAnsi"/>
          <w:lang w:val="en-GB"/>
        </w:rPr>
        <w:t> University, Bitola</w:t>
      </w:r>
      <w:bookmarkEnd w:id="24"/>
    </w:p>
    <w:p w14:paraId="34D7A4B6" w14:textId="77777777" w:rsidR="007947BF" w:rsidRPr="008463F3" w:rsidRDefault="007947BF" w:rsidP="007947BF">
      <w:pPr>
        <w:pStyle w:val="Heading4"/>
        <w:spacing w:after="240"/>
        <w:rPr>
          <w:rFonts w:asciiTheme="minorHAnsi" w:hAnsiTheme="minorHAnsi"/>
          <w:lang w:val="en-GB"/>
        </w:rPr>
      </w:pPr>
      <w:r w:rsidRPr="008463F3">
        <w:rPr>
          <w:rFonts w:asciiTheme="minorHAnsi" w:hAnsiTheme="minorHAnsi"/>
          <w:lang w:val="en-GB"/>
        </w:rPr>
        <w:t xml:space="preserve">Veterinary </w:t>
      </w:r>
      <w:r>
        <w:rPr>
          <w:rFonts w:asciiTheme="minorHAnsi" w:hAnsiTheme="minorHAnsi"/>
          <w:lang w:val="en-GB"/>
        </w:rPr>
        <w:t>F</w:t>
      </w:r>
      <w:r w:rsidRPr="008463F3">
        <w:rPr>
          <w:rFonts w:asciiTheme="minorHAnsi" w:hAnsiTheme="minorHAnsi"/>
          <w:lang w:val="en-GB"/>
        </w:rPr>
        <w:t>aculty</w:t>
      </w:r>
    </w:p>
    <w:p w14:paraId="4FD6B23B" w14:textId="77777777" w:rsidR="007947BF" w:rsidRPr="008463F3" w:rsidRDefault="007947BF" w:rsidP="007947BF">
      <w:pPr>
        <w:spacing w:after="0"/>
        <w:jc w:val="both"/>
        <w:rPr>
          <w:lang w:val="en-GB"/>
        </w:rPr>
      </w:pPr>
      <w:r w:rsidRPr="008463F3">
        <w:rPr>
          <w:lang w:val="en-GB"/>
        </w:rPr>
        <w:t>The following research activities have been conducted within the Laboratories operating at the Veterinary Faculty:</w:t>
      </w:r>
    </w:p>
    <w:p w14:paraId="7A8072A6" w14:textId="77777777" w:rsidR="007947BF" w:rsidRPr="008463F3" w:rsidRDefault="007947BF" w:rsidP="007947BF">
      <w:pPr>
        <w:pStyle w:val="ListParagraph"/>
        <w:numPr>
          <w:ilvl w:val="0"/>
          <w:numId w:val="32"/>
        </w:numPr>
        <w:rPr>
          <w:lang w:val="en-GB"/>
        </w:rPr>
      </w:pPr>
      <w:r w:rsidRPr="008463F3">
        <w:rPr>
          <w:lang w:val="en-GB"/>
        </w:rPr>
        <w:t>Laboratory of Molecular Biology – Electrophoresis of DNA, RNA and Protein Samples; Gene expression analysis, Micro-array data validation, SNP-Genotyping, Pathogen detection, DNA methylation analysis, Chromatin immunoprecipitation studies.</w:t>
      </w:r>
    </w:p>
    <w:p w14:paraId="2CBB35C1" w14:textId="77777777" w:rsidR="007947BF" w:rsidRPr="008463F3" w:rsidRDefault="007947BF" w:rsidP="007947BF">
      <w:pPr>
        <w:pStyle w:val="ListParagraph"/>
        <w:numPr>
          <w:ilvl w:val="0"/>
          <w:numId w:val="32"/>
        </w:numPr>
        <w:rPr>
          <w:lang w:val="en-GB"/>
        </w:rPr>
      </w:pPr>
      <w:r w:rsidRPr="008463F3">
        <w:rPr>
          <w:lang w:val="en-GB"/>
        </w:rPr>
        <w:t>Milk Laboratory – Examination of: Fats, Proteins, Lactose and Total Dry matter of milk; Examination of: Individual Number of bacteria and Somatic Cells.</w:t>
      </w:r>
    </w:p>
    <w:p w14:paraId="2509F2E0" w14:textId="77777777" w:rsidR="007947BF" w:rsidRPr="008463F3" w:rsidRDefault="007947BF" w:rsidP="007947BF">
      <w:pPr>
        <w:pStyle w:val="ListParagraph"/>
        <w:numPr>
          <w:ilvl w:val="0"/>
          <w:numId w:val="32"/>
        </w:numPr>
        <w:rPr>
          <w:lang w:val="en-GB"/>
        </w:rPr>
      </w:pPr>
      <w:r w:rsidRPr="008463F3">
        <w:rPr>
          <w:lang w:val="en-GB"/>
        </w:rPr>
        <w:t>H</w:t>
      </w:r>
      <w:r>
        <w:rPr>
          <w:lang w:val="en-GB"/>
        </w:rPr>
        <w:t>a</w:t>
      </w:r>
      <w:r w:rsidRPr="008463F3">
        <w:rPr>
          <w:lang w:val="en-GB"/>
        </w:rPr>
        <w:t>ematology Laboratory – Blood count, 22-parameters: FBC, Hb, WBC, Platelet count; Biochemical analyses of blood.</w:t>
      </w:r>
    </w:p>
    <w:p w14:paraId="09B732FA" w14:textId="77777777" w:rsidR="007947BF" w:rsidRPr="008463F3" w:rsidRDefault="007947BF" w:rsidP="007947BF">
      <w:pPr>
        <w:pStyle w:val="ListParagraph"/>
        <w:numPr>
          <w:ilvl w:val="0"/>
          <w:numId w:val="32"/>
        </w:numPr>
        <w:rPr>
          <w:lang w:val="en-GB"/>
        </w:rPr>
      </w:pPr>
      <w:r w:rsidRPr="008463F3">
        <w:rPr>
          <w:lang w:val="en-GB"/>
        </w:rPr>
        <w:t xml:space="preserve">Laboratory for </w:t>
      </w:r>
      <w:r>
        <w:rPr>
          <w:lang w:val="en-GB"/>
        </w:rPr>
        <w:t>I</w:t>
      </w:r>
      <w:r w:rsidRPr="008463F3">
        <w:rPr>
          <w:lang w:val="en-GB"/>
        </w:rPr>
        <w:t>mmunology/</w:t>
      </w:r>
      <w:r>
        <w:rPr>
          <w:lang w:val="en-GB"/>
        </w:rPr>
        <w:t>S</w:t>
      </w:r>
      <w:r w:rsidRPr="008463F3">
        <w:rPr>
          <w:lang w:val="en-GB"/>
        </w:rPr>
        <w:t xml:space="preserve">erology </w:t>
      </w:r>
      <w:r>
        <w:rPr>
          <w:lang w:val="en-GB"/>
        </w:rPr>
        <w:t>T</w:t>
      </w:r>
      <w:r w:rsidRPr="008463F3">
        <w:rPr>
          <w:lang w:val="en-GB"/>
        </w:rPr>
        <w:t>ests - antigen-antibody interaction as a diagnostic tool - enzyme-linked immunosorbent assay (ELISA).</w:t>
      </w:r>
    </w:p>
    <w:p w14:paraId="542B4BC1" w14:textId="77777777" w:rsidR="007947BF" w:rsidRPr="008463F3" w:rsidRDefault="007947BF" w:rsidP="007947BF">
      <w:pPr>
        <w:jc w:val="both"/>
        <w:rPr>
          <w:lang w:val="en-GB"/>
        </w:rPr>
      </w:pPr>
      <w:r w:rsidRPr="008463F3">
        <w:rPr>
          <w:lang w:val="en-GB"/>
        </w:rPr>
        <w:t xml:space="preserve">Research equipment: The </w:t>
      </w:r>
      <w:r>
        <w:rPr>
          <w:lang w:val="en-GB"/>
        </w:rPr>
        <w:t>F</w:t>
      </w:r>
      <w:r w:rsidRPr="008463F3">
        <w:rPr>
          <w:lang w:val="en-GB"/>
        </w:rPr>
        <w:t xml:space="preserve">aculty has capital research equipment. The total estimated value of research equipment is 105.000 euro (the purchase value was 229.000 euro). The research equipment was procured in 2011 </w:t>
      </w:r>
      <w:r>
        <w:rPr>
          <w:lang w:val="en-GB"/>
        </w:rPr>
        <w:t>as part of</w:t>
      </w:r>
      <w:r w:rsidRPr="008463F3">
        <w:rPr>
          <w:lang w:val="en-GB"/>
        </w:rPr>
        <w:t xml:space="preserve"> the project financed by the Ministry of </w:t>
      </w:r>
      <w:r>
        <w:rPr>
          <w:lang w:val="en-GB"/>
        </w:rPr>
        <w:t>E</w:t>
      </w:r>
      <w:r w:rsidRPr="008463F3">
        <w:rPr>
          <w:lang w:val="en-GB"/>
        </w:rPr>
        <w:t>ducation and Science.</w:t>
      </w:r>
    </w:p>
    <w:p w14:paraId="1C060807" w14:textId="77777777" w:rsidR="007947BF" w:rsidRPr="008463F3" w:rsidRDefault="007947BF" w:rsidP="007947BF">
      <w:pPr>
        <w:jc w:val="both"/>
        <w:rPr>
          <w:lang w:val="en-GB"/>
        </w:rPr>
      </w:pPr>
    </w:p>
    <w:p w14:paraId="2E6EB103" w14:textId="77777777" w:rsidR="007947BF" w:rsidRPr="008463F3" w:rsidRDefault="007947BF" w:rsidP="007947BF">
      <w:pPr>
        <w:pStyle w:val="Heading4"/>
        <w:spacing w:after="240"/>
        <w:rPr>
          <w:rFonts w:asciiTheme="minorHAnsi" w:hAnsiTheme="minorHAnsi"/>
          <w:lang w:val="en-GB"/>
        </w:rPr>
      </w:pPr>
      <w:r w:rsidRPr="008463F3">
        <w:rPr>
          <w:rFonts w:asciiTheme="minorHAnsi" w:hAnsiTheme="minorHAnsi"/>
          <w:lang w:val="en-GB"/>
        </w:rPr>
        <w:t>Faculty of Biotechnical Sciences</w:t>
      </w:r>
    </w:p>
    <w:p w14:paraId="678989F8" w14:textId="77777777" w:rsidR="007947BF" w:rsidRPr="008463F3" w:rsidRDefault="007947BF" w:rsidP="007947BF">
      <w:pPr>
        <w:spacing w:after="0"/>
        <w:jc w:val="both"/>
        <w:rPr>
          <w:lang w:val="en-GB"/>
        </w:rPr>
      </w:pPr>
      <w:r w:rsidRPr="008463F3">
        <w:rPr>
          <w:lang w:val="en-GB"/>
        </w:rPr>
        <w:t>Within the Faculty of Biotechnical Sciences research activities have been performed in the following laboratories:</w:t>
      </w:r>
    </w:p>
    <w:p w14:paraId="227ECCAE" w14:textId="77777777" w:rsidR="007947BF" w:rsidRPr="008463F3" w:rsidRDefault="007947BF" w:rsidP="007947BF">
      <w:pPr>
        <w:pStyle w:val="ListParagraph"/>
        <w:numPr>
          <w:ilvl w:val="0"/>
          <w:numId w:val="33"/>
        </w:numPr>
        <w:jc w:val="both"/>
        <w:rPr>
          <w:lang w:val="en-GB"/>
        </w:rPr>
      </w:pPr>
      <w:r w:rsidRPr="008463F3">
        <w:rPr>
          <w:lang w:val="en-GB"/>
        </w:rPr>
        <w:t>Laboratory for essential oil extraction from spice and medicinal plants and determination of biologically active substances. It is equipped with sophisticated equipment: FID and mass detector; FAST liquid chromatograph with Diode Array detector; HPLC system with Diode Array detectors post column derivati</w:t>
      </w:r>
      <w:r>
        <w:rPr>
          <w:lang w:val="en-GB"/>
        </w:rPr>
        <w:t>s</w:t>
      </w:r>
      <w:r w:rsidRPr="008463F3">
        <w:rPr>
          <w:lang w:val="en-GB"/>
        </w:rPr>
        <w:t>ation; Atomic Absorption Spectrometer; UV-VIS Spectrophotometer with Diode Array Detector.</w:t>
      </w:r>
    </w:p>
    <w:p w14:paraId="757F0407" w14:textId="77777777" w:rsidR="007947BF" w:rsidRPr="008463F3" w:rsidRDefault="007947BF" w:rsidP="007947BF">
      <w:pPr>
        <w:pStyle w:val="ListParagraph"/>
        <w:numPr>
          <w:ilvl w:val="0"/>
          <w:numId w:val="33"/>
        </w:numPr>
        <w:jc w:val="both"/>
        <w:rPr>
          <w:lang w:val="en-GB"/>
        </w:rPr>
      </w:pPr>
      <w:r w:rsidRPr="008463F3">
        <w:rPr>
          <w:lang w:val="en-GB"/>
        </w:rPr>
        <w:t>Practical Laboratory for Biology and Microbiology of animal products. It is equipped with microscopes and microscopic preparations, visual aids for examination of the structural organi</w:t>
      </w:r>
      <w:r>
        <w:rPr>
          <w:lang w:val="en-GB"/>
        </w:rPr>
        <w:t>s</w:t>
      </w:r>
      <w:r w:rsidRPr="008463F3">
        <w:rPr>
          <w:lang w:val="en-GB"/>
        </w:rPr>
        <w:t>ation of living organisms and their diversity.</w:t>
      </w:r>
    </w:p>
    <w:p w14:paraId="24CA7210" w14:textId="77777777" w:rsidR="007947BF" w:rsidRPr="008463F3" w:rsidRDefault="007947BF" w:rsidP="007947BF">
      <w:pPr>
        <w:pStyle w:val="ListParagraph"/>
        <w:numPr>
          <w:ilvl w:val="0"/>
          <w:numId w:val="33"/>
        </w:numPr>
        <w:jc w:val="both"/>
        <w:rPr>
          <w:lang w:val="en-GB"/>
        </w:rPr>
      </w:pPr>
      <w:r w:rsidRPr="008463F3">
        <w:rPr>
          <w:lang w:val="en-GB"/>
        </w:rPr>
        <w:t>Practical Laboratory for Chemistry, Biochemistry and Analytical Chemistry and Instrumental Methods for Control of Animals. It is equipped with basic laboratory equipment for conducting successful practical work as well as modern chemical and biochemical analysis equipment.</w:t>
      </w:r>
    </w:p>
    <w:p w14:paraId="05868A7C" w14:textId="77777777" w:rsidR="007947BF" w:rsidRPr="008463F3" w:rsidRDefault="007947BF" w:rsidP="007947BF">
      <w:pPr>
        <w:pStyle w:val="ListParagraph"/>
        <w:numPr>
          <w:ilvl w:val="0"/>
          <w:numId w:val="33"/>
        </w:numPr>
        <w:jc w:val="both"/>
        <w:rPr>
          <w:lang w:val="en-GB"/>
        </w:rPr>
      </w:pPr>
      <w:r w:rsidRPr="008463F3">
        <w:rPr>
          <w:lang w:val="en-GB"/>
        </w:rPr>
        <w:t>Laboratory for Milk and Dairy Products. The Laboratory conducts research activities in the field of milk and dairy technology, milk and dairy products quality and safety and sensory analysis of dairy products. It is equipped with instruments for analysis of physic</w:t>
      </w:r>
      <w:r>
        <w:rPr>
          <w:lang w:val="en-GB"/>
        </w:rPr>
        <w:t xml:space="preserve">al and </w:t>
      </w:r>
      <w:r w:rsidRPr="008463F3">
        <w:rPr>
          <w:lang w:val="en-GB"/>
        </w:rPr>
        <w:t xml:space="preserve">chemical composition of milk and equipment for individual production of sour-milk products and processed food (cheese), </w:t>
      </w:r>
      <w:r>
        <w:rPr>
          <w:lang w:val="en-GB"/>
        </w:rPr>
        <w:t>at</w:t>
      </w:r>
      <w:r w:rsidRPr="008463F3">
        <w:rPr>
          <w:lang w:val="en-GB"/>
        </w:rPr>
        <w:t xml:space="preserve"> disposal to all students from all study program</w:t>
      </w:r>
      <w:r>
        <w:rPr>
          <w:lang w:val="en-GB"/>
        </w:rPr>
        <w:t>me</w:t>
      </w:r>
      <w:r w:rsidRPr="008463F3">
        <w:rPr>
          <w:lang w:val="en-GB"/>
        </w:rPr>
        <w:t xml:space="preserve">s at the </w:t>
      </w:r>
      <w:r>
        <w:rPr>
          <w:lang w:val="en-GB"/>
        </w:rPr>
        <w:t>F</w:t>
      </w:r>
      <w:r w:rsidRPr="008463F3">
        <w:rPr>
          <w:lang w:val="en-GB"/>
        </w:rPr>
        <w:t>aculty.</w:t>
      </w:r>
    </w:p>
    <w:p w14:paraId="157B7324" w14:textId="77777777" w:rsidR="007947BF" w:rsidRPr="008463F3" w:rsidRDefault="007947BF" w:rsidP="007947BF">
      <w:pPr>
        <w:pStyle w:val="ListParagraph"/>
        <w:numPr>
          <w:ilvl w:val="0"/>
          <w:numId w:val="33"/>
        </w:numPr>
        <w:jc w:val="both"/>
        <w:rPr>
          <w:lang w:val="en-GB"/>
        </w:rPr>
      </w:pPr>
      <w:r w:rsidRPr="008463F3">
        <w:rPr>
          <w:lang w:val="en-GB"/>
        </w:rPr>
        <w:t>Laboratory for Meat and Meat Products</w:t>
      </w:r>
      <w:r>
        <w:rPr>
          <w:lang w:val="en-GB"/>
        </w:rPr>
        <w:t>.</w:t>
      </w:r>
      <w:r w:rsidRPr="008463F3">
        <w:rPr>
          <w:lang w:val="en-GB"/>
        </w:rPr>
        <w:t xml:space="preserve"> The Laboratory conducts research activities in the field of meat technology and meat preparations and sensory analysis of meat products. It is equipped with instruments and devices for analysis of chemical composition of meat and equipment for individual production of meat preparations (sausages), at disposal to all students from all study program</w:t>
      </w:r>
      <w:r>
        <w:rPr>
          <w:lang w:val="en-GB"/>
        </w:rPr>
        <w:t>me</w:t>
      </w:r>
      <w:r w:rsidRPr="008463F3">
        <w:rPr>
          <w:lang w:val="en-GB"/>
        </w:rPr>
        <w:t xml:space="preserve">s at the </w:t>
      </w:r>
      <w:r>
        <w:rPr>
          <w:lang w:val="en-GB"/>
        </w:rPr>
        <w:t>F</w:t>
      </w:r>
      <w:r w:rsidRPr="008463F3">
        <w:rPr>
          <w:lang w:val="en-GB"/>
        </w:rPr>
        <w:t>aculty.</w:t>
      </w:r>
    </w:p>
    <w:p w14:paraId="3BFCF97B" w14:textId="77777777" w:rsidR="007947BF" w:rsidRPr="008463F3" w:rsidRDefault="007947BF" w:rsidP="007947BF">
      <w:pPr>
        <w:jc w:val="both"/>
        <w:rPr>
          <w:lang w:val="en-GB"/>
        </w:rPr>
      </w:pPr>
      <w:r w:rsidRPr="008463F3">
        <w:rPr>
          <w:lang w:val="en-GB"/>
        </w:rPr>
        <w:t xml:space="preserve">Research equipment: The laboratories </w:t>
      </w:r>
      <w:r>
        <w:rPr>
          <w:lang w:val="en-GB"/>
        </w:rPr>
        <w:t>were</w:t>
      </w:r>
      <w:r w:rsidRPr="008463F3">
        <w:rPr>
          <w:lang w:val="en-GB"/>
        </w:rPr>
        <w:t xml:space="preserve"> equipped in 2013 </w:t>
      </w:r>
      <w:r>
        <w:rPr>
          <w:lang w:val="en-GB"/>
        </w:rPr>
        <w:t>as part of</w:t>
      </w:r>
      <w:r w:rsidRPr="008463F3">
        <w:rPr>
          <w:lang w:val="en-GB"/>
        </w:rPr>
        <w:t xml:space="preserve"> the project </w:t>
      </w:r>
      <w:r>
        <w:rPr>
          <w:lang w:val="en-GB"/>
        </w:rPr>
        <w:t>implemented</w:t>
      </w:r>
      <w:r w:rsidRPr="008463F3">
        <w:rPr>
          <w:lang w:val="en-GB"/>
        </w:rPr>
        <w:t xml:space="preserve"> by the Ministry of Education and </w:t>
      </w:r>
      <w:r>
        <w:rPr>
          <w:lang w:val="en-GB"/>
        </w:rPr>
        <w:t>S</w:t>
      </w:r>
      <w:r w:rsidRPr="008463F3">
        <w:rPr>
          <w:lang w:val="en-GB"/>
        </w:rPr>
        <w:t xml:space="preserve">cience. </w:t>
      </w:r>
    </w:p>
    <w:p w14:paraId="72FBAF82" w14:textId="77777777" w:rsidR="007947BF" w:rsidRPr="008463F3" w:rsidRDefault="007947BF" w:rsidP="007947BF">
      <w:pPr>
        <w:jc w:val="both"/>
        <w:rPr>
          <w:lang w:val="en-GB"/>
        </w:rPr>
      </w:pPr>
    </w:p>
    <w:p w14:paraId="3C890789" w14:textId="77777777" w:rsidR="007947BF" w:rsidRPr="008463F3" w:rsidRDefault="007947BF" w:rsidP="007947BF">
      <w:pPr>
        <w:pStyle w:val="Heading4"/>
        <w:spacing w:after="240"/>
        <w:rPr>
          <w:rFonts w:asciiTheme="minorHAnsi" w:hAnsiTheme="minorHAnsi"/>
          <w:lang w:val="en-GB"/>
        </w:rPr>
      </w:pPr>
      <w:r w:rsidRPr="008463F3">
        <w:rPr>
          <w:rFonts w:asciiTheme="minorHAnsi" w:hAnsiTheme="minorHAnsi"/>
          <w:lang w:val="en-GB"/>
        </w:rPr>
        <w:t xml:space="preserve">Faculty of </w:t>
      </w:r>
      <w:r>
        <w:rPr>
          <w:rFonts w:asciiTheme="minorHAnsi" w:hAnsiTheme="minorHAnsi"/>
          <w:lang w:val="en-GB"/>
        </w:rPr>
        <w:t>T</w:t>
      </w:r>
      <w:r w:rsidRPr="008463F3">
        <w:rPr>
          <w:rFonts w:asciiTheme="minorHAnsi" w:hAnsiTheme="minorHAnsi"/>
          <w:lang w:val="en-GB"/>
        </w:rPr>
        <w:t xml:space="preserve">ourism and </w:t>
      </w:r>
      <w:r>
        <w:rPr>
          <w:rFonts w:asciiTheme="minorHAnsi" w:hAnsiTheme="minorHAnsi"/>
          <w:lang w:val="en-GB"/>
        </w:rPr>
        <w:t>H</w:t>
      </w:r>
      <w:r w:rsidRPr="008463F3">
        <w:rPr>
          <w:rFonts w:asciiTheme="minorHAnsi" w:hAnsiTheme="minorHAnsi"/>
          <w:lang w:val="en-GB"/>
        </w:rPr>
        <w:t>ospitality</w:t>
      </w:r>
    </w:p>
    <w:p w14:paraId="6FF2EF9A" w14:textId="77777777" w:rsidR="007947BF" w:rsidRPr="008463F3" w:rsidRDefault="007947BF" w:rsidP="007947BF">
      <w:pPr>
        <w:rPr>
          <w:lang w:val="en-GB"/>
        </w:rPr>
      </w:pPr>
      <w:r w:rsidRPr="008463F3">
        <w:rPr>
          <w:lang w:val="en-GB"/>
        </w:rPr>
        <w:t xml:space="preserve">Research activities of the Faculty of </w:t>
      </w:r>
      <w:r>
        <w:rPr>
          <w:lang w:val="en-GB"/>
        </w:rPr>
        <w:t>T</w:t>
      </w:r>
      <w:r w:rsidRPr="008463F3">
        <w:rPr>
          <w:lang w:val="en-GB"/>
        </w:rPr>
        <w:t xml:space="preserve">ourism and </w:t>
      </w:r>
      <w:r>
        <w:rPr>
          <w:lang w:val="en-GB"/>
        </w:rPr>
        <w:t>H</w:t>
      </w:r>
      <w:r w:rsidRPr="008463F3">
        <w:rPr>
          <w:lang w:val="en-GB"/>
        </w:rPr>
        <w:t xml:space="preserve">ospitality are conducted in the Laboratory of </w:t>
      </w:r>
      <w:r>
        <w:rPr>
          <w:lang w:val="en-GB"/>
        </w:rPr>
        <w:t>G</w:t>
      </w:r>
      <w:r w:rsidRPr="008463F3">
        <w:rPr>
          <w:lang w:val="en-GB"/>
        </w:rPr>
        <w:t xml:space="preserve">astronomical </w:t>
      </w:r>
      <w:r>
        <w:rPr>
          <w:lang w:val="en-GB"/>
        </w:rPr>
        <w:t>R</w:t>
      </w:r>
      <w:r w:rsidRPr="008463F3">
        <w:rPr>
          <w:lang w:val="en-GB"/>
        </w:rPr>
        <w:t>esearch.</w:t>
      </w:r>
    </w:p>
    <w:p w14:paraId="55DEE92B" w14:textId="77777777" w:rsidR="007947BF" w:rsidRPr="008463F3" w:rsidRDefault="007947BF" w:rsidP="007947BF">
      <w:pPr>
        <w:pStyle w:val="Heading5"/>
        <w:spacing w:after="240"/>
        <w:rPr>
          <w:rFonts w:asciiTheme="minorHAnsi" w:hAnsiTheme="minorHAnsi"/>
          <w:lang w:val="en-GB"/>
        </w:rPr>
      </w:pPr>
      <w:r w:rsidRPr="008463F3">
        <w:rPr>
          <w:rFonts w:asciiTheme="minorHAnsi" w:hAnsiTheme="minorHAnsi"/>
          <w:lang w:val="en-GB"/>
        </w:rPr>
        <w:t xml:space="preserve">Laboratory of </w:t>
      </w:r>
      <w:r>
        <w:rPr>
          <w:rFonts w:asciiTheme="minorHAnsi" w:hAnsiTheme="minorHAnsi"/>
          <w:lang w:val="en-GB"/>
        </w:rPr>
        <w:t>G</w:t>
      </w:r>
      <w:r w:rsidRPr="008463F3">
        <w:rPr>
          <w:rFonts w:asciiTheme="minorHAnsi" w:hAnsiTheme="minorHAnsi"/>
          <w:lang w:val="en-GB"/>
        </w:rPr>
        <w:t xml:space="preserve">astronomical </w:t>
      </w:r>
      <w:r>
        <w:rPr>
          <w:rFonts w:asciiTheme="minorHAnsi" w:hAnsiTheme="minorHAnsi"/>
          <w:lang w:val="en-GB"/>
        </w:rPr>
        <w:t>R</w:t>
      </w:r>
      <w:r w:rsidRPr="008463F3">
        <w:rPr>
          <w:rFonts w:asciiTheme="minorHAnsi" w:hAnsiTheme="minorHAnsi"/>
          <w:lang w:val="en-GB"/>
        </w:rPr>
        <w:t>esearch</w:t>
      </w:r>
    </w:p>
    <w:p w14:paraId="63A40B22" w14:textId="77777777" w:rsidR="007947BF" w:rsidRPr="008463F3" w:rsidRDefault="007947BF" w:rsidP="007947BF">
      <w:pPr>
        <w:jc w:val="both"/>
        <w:rPr>
          <w:lang w:val="en-GB"/>
        </w:rPr>
      </w:pPr>
      <w:r w:rsidRPr="008463F3">
        <w:rPr>
          <w:lang w:val="en-GB"/>
        </w:rPr>
        <w:t xml:space="preserve">The </w:t>
      </w:r>
      <w:r>
        <w:rPr>
          <w:lang w:val="en-GB"/>
        </w:rPr>
        <w:t>r</w:t>
      </w:r>
      <w:r w:rsidRPr="008463F3">
        <w:rPr>
          <w:lang w:val="en-GB"/>
        </w:rPr>
        <w:t xml:space="preserve">esearch </w:t>
      </w:r>
      <w:r>
        <w:rPr>
          <w:lang w:val="en-GB"/>
        </w:rPr>
        <w:t>i</w:t>
      </w:r>
      <w:r w:rsidRPr="008463F3">
        <w:rPr>
          <w:lang w:val="en-GB"/>
        </w:rPr>
        <w:t xml:space="preserve">nfrastructure of the </w:t>
      </w:r>
      <w:r>
        <w:rPr>
          <w:lang w:val="en-GB"/>
        </w:rPr>
        <w:t>G</w:t>
      </w:r>
      <w:r w:rsidRPr="008463F3">
        <w:rPr>
          <w:lang w:val="en-GB"/>
        </w:rPr>
        <w:t xml:space="preserve">astronomy </w:t>
      </w:r>
      <w:r>
        <w:rPr>
          <w:lang w:val="en-GB"/>
        </w:rPr>
        <w:t>L</w:t>
      </w:r>
      <w:r w:rsidRPr="008463F3">
        <w:rPr>
          <w:lang w:val="en-GB"/>
        </w:rPr>
        <w:t>aboratory is consisted of apparatuses with different purposes. The majority of appliances are used for professional food processing, storage, deep</w:t>
      </w:r>
      <w:r>
        <w:rPr>
          <w:lang w:val="en-GB"/>
        </w:rPr>
        <w:t xml:space="preserve"> </w:t>
      </w:r>
      <w:r w:rsidRPr="008463F3">
        <w:rPr>
          <w:lang w:val="en-GB"/>
        </w:rPr>
        <w:t xml:space="preserve">frosting and shock freezing of solid and liquid food. The </w:t>
      </w:r>
      <w:r>
        <w:rPr>
          <w:lang w:val="en-GB"/>
        </w:rPr>
        <w:t>L</w:t>
      </w:r>
      <w:r w:rsidRPr="008463F3">
        <w:rPr>
          <w:lang w:val="en-GB"/>
        </w:rPr>
        <w:t xml:space="preserve">aboratory consists of modern kitchen and botanic greenhouse garden used for growing herbs and vegetables. </w:t>
      </w:r>
    </w:p>
    <w:p w14:paraId="274C0280" w14:textId="77777777" w:rsidR="007947BF" w:rsidRPr="008463F3" w:rsidRDefault="007947BF" w:rsidP="007947BF">
      <w:pPr>
        <w:jc w:val="both"/>
        <w:rPr>
          <w:lang w:val="en-GB"/>
        </w:rPr>
      </w:pPr>
      <w:r w:rsidRPr="008463F3">
        <w:rPr>
          <w:lang w:val="en-GB"/>
        </w:rPr>
        <w:t xml:space="preserve">Services provided: The research infrastructure users can perform experiments for food invention and reinvention (for example introduction of traditional dishes in the gastronomic offer of the region and the </w:t>
      </w:r>
      <w:r>
        <w:rPr>
          <w:lang w:val="en-GB"/>
        </w:rPr>
        <w:t>economy</w:t>
      </w:r>
      <w:r w:rsidRPr="008463F3">
        <w:rPr>
          <w:lang w:val="en-GB"/>
        </w:rPr>
        <w:t xml:space="preserve"> as a whole). It hosts masterclasses of distinguished and well known ecologists and technological engineers in the field of food and beverages industry.</w:t>
      </w:r>
    </w:p>
    <w:p w14:paraId="2A08B89A" w14:textId="77777777" w:rsidR="007947BF" w:rsidRPr="008463F3" w:rsidRDefault="007947BF" w:rsidP="007947BF">
      <w:pPr>
        <w:jc w:val="both"/>
        <w:rPr>
          <w:lang w:val="en-GB"/>
        </w:rPr>
      </w:pPr>
      <w:r w:rsidRPr="008463F3">
        <w:rPr>
          <w:lang w:val="en-GB"/>
        </w:rPr>
        <w:t>Research equipment: The Faculty does not have capital research equipment. The total estimated value of research instruments used by the Laboratory is 55.000 euros.</w:t>
      </w:r>
    </w:p>
    <w:p w14:paraId="2B9EA617" w14:textId="77777777" w:rsidR="007947BF" w:rsidRPr="008463F3" w:rsidRDefault="007947BF" w:rsidP="007947BF">
      <w:pPr>
        <w:pStyle w:val="Heading4"/>
        <w:spacing w:after="240"/>
        <w:rPr>
          <w:rFonts w:asciiTheme="minorHAnsi" w:hAnsiTheme="minorHAnsi"/>
          <w:lang w:val="en-GB"/>
        </w:rPr>
      </w:pPr>
      <w:r w:rsidRPr="008463F3">
        <w:rPr>
          <w:rFonts w:asciiTheme="minorHAnsi" w:hAnsiTheme="minorHAnsi"/>
          <w:lang w:val="en-GB"/>
        </w:rPr>
        <w:t>Scientific Tobacco Institute</w:t>
      </w:r>
    </w:p>
    <w:p w14:paraId="00569867" w14:textId="77777777" w:rsidR="007947BF" w:rsidRPr="008463F3" w:rsidRDefault="007947BF" w:rsidP="007947BF">
      <w:pPr>
        <w:jc w:val="both"/>
        <w:rPr>
          <w:lang w:val="en-GB"/>
        </w:rPr>
      </w:pPr>
      <w:r w:rsidRPr="008463F3">
        <w:rPr>
          <w:lang w:val="en-GB"/>
        </w:rPr>
        <w:t>Scientific Tobacco Institute is engaged in research activities in the field of biotechnology (tobacco breeding and other crops). The Institute is conducting the following activities: creation of new tobacco varieties</w:t>
      </w:r>
      <w:r>
        <w:rPr>
          <w:lang w:val="en-GB"/>
        </w:rPr>
        <w:t>,</w:t>
      </w:r>
      <w:r w:rsidRPr="008463F3">
        <w:rPr>
          <w:lang w:val="en-GB"/>
        </w:rPr>
        <w:t xml:space="preserve"> and preservation and improvement of the ones already registered; optimi</w:t>
      </w:r>
      <w:r>
        <w:rPr>
          <w:lang w:val="en-GB"/>
        </w:rPr>
        <w:t>s</w:t>
      </w:r>
      <w:r w:rsidRPr="008463F3">
        <w:rPr>
          <w:lang w:val="en-GB"/>
        </w:rPr>
        <w:t xml:space="preserve">ation of agricultural practices; investigation of diseases, pests and weeds on tobacco; investigation of chemical composition of tobacco and tobacco products; investigation of post-harvest processes and processing of </w:t>
      </w:r>
      <w:r>
        <w:rPr>
          <w:lang w:val="en-GB"/>
        </w:rPr>
        <w:t xml:space="preserve">raw </w:t>
      </w:r>
      <w:r w:rsidRPr="008463F3">
        <w:rPr>
          <w:lang w:val="en-GB"/>
        </w:rPr>
        <w:t xml:space="preserve">tobacco; investigations of economic problems in tobacco industry; </w:t>
      </w:r>
      <w:r>
        <w:rPr>
          <w:lang w:val="en-GB"/>
        </w:rPr>
        <w:t xml:space="preserve">soil </w:t>
      </w:r>
      <w:r w:rsidRPr="008463F3">
        <w:rPr>
          <w:lang w:val="en-GB"/>
        </w:rPr>
        <w:t>investigations: fertility with fertili</w:t>
      </w:r>
      <w:r>
        <w:rPr>
          <w:lang w:val="en-GB"/>
        </w:rPr>
        <w:t>s</w:t>
      </w:r>
      <w:r w:rsidRPr="008463F3">
        <w:rPr>
          <w:lang w:val="en-GB"/>
        </w:rPr>
        <w:t>ation recommendations, pollution and irrigation water quality.</w:t>
      </w:r>
    </w:p>
    <w:p w14:paraId="152144F1" w14:textId="77777777" w:rsidR="007947BF" w:rsidRPr="008463F3" w:rsidRDefault="007947BF" w:rsidP="007947BF">
      <w:pPr>
        <w:jc w:val="both"/>
        <w:rPr>
          <w:lang w:val="en-GB"/>
        </w:rPr>
      </w:pPr>
      <w:r w:rsidRPr="008463F3">
        <w:rPr>
          <w:lang w:val="en-GB"/>
        </w:rPr>
        <w:t>Services provided include: quality control of seeds from agricultural plants; quality control of soil, water, fertili</w:t>
      </w:r>
      <w:r>
        <w:rPr>
          <w:lang w:val="en-GB"/>
        </w:rPr>
        <w:t>s</w:t>
      </w:r>
      <w:r w:rsidRPr="008463F3">
        <w:rPr>
          <w:lang w:val="en-GB"/>
        </w:rPr>
        <w:t>ers and plant material; quality control of tobacco and tobacco products; control of authenticity and quality of tobacco raw material; control of plant health; etc.</w:t>
      </w:r>
    </w:p>
    <w:p w14:paraId="385E9AC2" w14:textId="77777777" w:rsidR="007947BF" w:rsidRPr="008463F3" w:rsidRDefault="007947BF" w:rsidP="007947BF">
      <w:pPr>
        <w:jc w:val="both"/>
        <w:rPr>
          <w:lang w:val="en-GB"/>
        </w:rPr>
      </w:pPr>
      <w:r w:rsidRPr="008463F3">
        <w:rPr>
          <w:lang w:val="en-GB"/>
        </w:rPr>
        <w:t xml:space="preserve">Research equipment: The Institute does not have capital research equipment of high value. However, it is equipped with research instruments of smaller value: atomic absorption spectrometer, flame photometer, CEM microwave digestion system, spectrophotometers, Distillation unit, </w:t>
      </w:r>
      <w:proofErr w:type="spellStart"/>
      <w:r w:rsidRPr="008463F3">
        <w:rPr>
          <w:lang w:val="en-GB"/>
        </w:rPr>
        <w:t>Kjeldhal</w:t>
      </w:r>
      <w:proofErr w:type="spellEnd"/>
      <w:r w:rsidRPr="008463F3">
        <w:rPr>
          <w:lang w:val="en-GB"/>
        </w:rPr>
        <w:t xml:space="preserve"> Digestion units, automatic cigarette sorting scale, etc. The total value of research equipment is estimated at 180.000 euro (purchase value was 631.000 euro).</w:t>
      </w:r>
    </w:p>
    <w:p w14:paraId="2063D814" w14:textId="77777777" w:rsidR="007947BF" w:rsidRPr="008463F3" w:rsidRDefault="007947BF" w:rsidP="007947BF">
      <w:pPr>
        <w:pStyle w:val="Heading4"/>
        <w:spacing w:after="240"/>
        <w:rPr>
          <w:rFonts w:asciiTheme="minorHAnsi" w:hAnsiTheme="minorHAnsi"/>
          <w:lang w:val="en-GB"/>
        </w:rPr>
      </w:pPr>
      <w:r w:rsidRPr="008463F3">
        <w:rPr>
          <w:rFonts w:asciiTheme="minorHAnsi" w:hAnsiTheme="minorHAnsi"/>
          <w:lang w:val="en-GB"/>
        </w:rPr>
        <w:t xml:space="preserve">The Public Scientific Institution: Hydrobiological Institute </w:t>
      </w:r>
      <w:proofErr w:type="spellStart"/>
      <w:r w:rsidRPr="008463F3">
        <w:rPr>
          <w:rFonts w:asciiTheme="minorHAnsi" w:hAnsiTheme="minorHAnsi"/>
          <w:lang w:val="en-GB"/>
        </w:rPr>
        <w:t>Ohrid</w:t>
      </w:r>
      <w:proofErr w:type="spellEnd"/>
    </w:p>
    <w:p w14:paraId="31654DE2" w14:textId="77777777" w:rsidR="007947BF" w:rsidRPr="008463F3" w:rsidRDefault="007947BF" w:rsidP="007947BF">
      <w:pPr>
        <w:jc w:val="both"/>
        <w:rPr>
          <w:lang w:val="en-GB"/>
        </w:rPr>
      </w:pPr>
      <w:r w:rsidRPr="008463F3">
        <w:rPr>
          <w:lang w:val="en-GB"/>
        </w:rPr>
        <w:t xml:space="preserve">The Hydrobiological Institute in </w:t>
      </w:r>
      <w:proofErr w:type="spellStart"/>
      <w:r w:rsidRPr="008463F3">
        <w:rPr>
          <w:lang w:val="en-GB"/>
        </w:rPr>
        <w:t>Ohrid</w:t>
      </w:r>
      <w:proofErr w:type="spellEnd"/>
      <w:r w:rsidRPr="008463F3">
        <w:rPr>
          <w:lang w:val="en-GB"/>
        </w:rPr>
        <w:t xml:space="preserve"> (PSI HIO), established in 1935, is a public and governmental scien</w:t>
      </w:r>
      <w:r>
        <w:rPr>
          <w:lang w:val="en-GB"/>
        </w:rPr>
        <w:t xml:space="preserve">tific and </w:t>
      </w:r>
      <w:r w:rsidRPr="008463F3">
        <w:rPr>
          <w:lang w:val="en-GB"/>
        </w:rPr>
        <w:t>-research</w:t>
      </w:r>
      <w:r>
        <w:rPr>
          <w:lang w:val="en-GB"/>
        </w:rPr>
        <w:t>,</w:t>
      </w:r>
      <w:r w:rsidRPr="008463F3">
        <w:rPr>
          <w:lang w:val="en-GB"/>
        </w:rPr>
        <w:t xml:space="preserve"> and educational organi</w:t>
      </w:r>
      <w:r>
        <w:rPr>
          <w:lang w:val="en-GB"/>
        </w:rPr>
        <w:t>s</w:t>
      </w:r>
      <w:r w:rsidRPr="008463F3">
        <w:rPr>
          <w:lang w:val="en-GB"/>
        </w:rPr>
        <w:t>ation of national interest. Today, PSI HIO is a modern scientific institution with an admirable number of scientists, organi</w:t>
      </w:r>
      <w:r>
        <w:rPr>
          <w:lang w:val="en-GB"/>
        </w:rPr>
        <w:t>s</w:t>
      </w:r>
      <w:r w:rsidRPr="008463F3">
        <w:rPr>
          <w:lang w:val="en-GB"/>
        </w:rPr>
        <w:t>ed into ten departments. It covers research subjects in limnology, reservoirs and rivers. Apart from its principal scientific research activity, PSI HIO has also been involved in educational activity. In this respect, it has successfully completed a cycle of postgraduate studies in Limnology, which produced the first Masters of Science in th</w:t>
      </w:r>
      <w:r>
        <w:rPr>
          <w:lang w:val="en-GB"/>
        </w:rPr>
        <w:t>is</w:t>
      </w:r>
      <w:r w:rsidRPr="008463F3">
        <w:rPr>
          <w:lang w:val="en-GB"/>
        </w:rPr>
        <w:t xml:space="preserve"> field.</w:t>
      </w:r>
    </w:p>
    <w:p w14:paraId="1669B00B" w14:textId="77777777" w:rsidR="007947BF" w:rsidRPr="008463F3" w:rsidRDefault="007947BF" w:rsidP="007947BF">
      <w:pPr>
        <w:jc w:val="both"/>
        <w:rPr>
          <w:lang w:val="en-GB"/>
        </w:rPr>
      </w:pPr>
      <w:r w:rsidRPr="008463F3">
        <w:rPr>
          <w:lang w:val="en-GB"/>
        </w:rPr>
        <w:t xml:space="preserve">Services offered: Water quality monitoring - physical, chemical and biological parameters in open waters and drinking water supply systems; </w:t>
      </w:r>
      <w:r>
        <w:rPr>
          <w:lang w:val="en-GB"/>
        </w:rPr>
        <w:t>f</w:t>
      </w:r>
      <w:r w:rsidRPr="008463F3">
        <w:rPr>
          <w:lang w:val="en-GB"/>
        </w:rPr>
        <w:t xml:space="preserve">easibility studies for environmental protection of freshwater ecosystems; </w:t>
      </w:r>
      <w:r>
        <w:rPr>
          <w:lang w:val="en-GB"/>
        </w:rPr>
        <w:t>f</w:t>
      </w:r>
      <w:r w:rsidRPr="008463F3">
        <w:rPr>
          <w:lang w:val="en-GB"/>
        </w:rPr>
        <w:t xml:space="preserve">isheries management plans of lakes and rivers; </w:t>
      </w:r>
      <w:r>
        <w:rPr>
          <w:lang w:val="en-GB"/>
        </w:rPr>
        <w:t>b</w:t>
      </w:r>
      <w:r w:rsidRPr="008463F3">
        <w:rPr>
          <w:lang w:val="en-GB"/>
        </w:rPr>
        <w:t xml:space="preserve">iodiversity conservation studies; </w:t>
      </w:r>
      <w:r>
        <w:rPr>
          <w:lang w:val="en-GB"/>
        </w:rPr>
        <w:t>f</w:t>
      </w:r>
      <w:r w:rsidRPr="008463F3">
        <w:rPr>
          <w:lang w:val="en-GB"/>
        </w:rPr>
        <w:t>reshwater aquaculture studies and improvement program</w:t>
      </w:r>
      <w:r>
        <w:rPr>
          <w:lang w:val="en-GB"/>
        </w:rPr>
        <w:t>me</w:t>
      </w:r>
      <w:r w:rsidRPr="008463F3">
        <w:rPr>
          <w:lang w:val="en-GB"/>
        </w:rPr>
        <w:t>s and fish stocking program</w:t>
      </w:r>
      <w:r>
        <w:rPr>
          <w:lang w:val="en-GB"/>
        </w:rPr>
        <w:t>me</w:t>
      </w:r>
      <w:r w:rsidRPr="008463F3">
        <w:rPr>
          <w:lang w:val="en-GB"/>
        </w:rPr>
        <w:t>s of open freshwater bodies.</w:t>
      </w:r>
    </w:p>
    <w:p w14:paraId="6F9360C6" w14:textId="77777777" w:rsidR="007947BF" w:rsidRPr="008463F3" w:rsidRDefault="007947BF" w:rsidP="007947BF">
      <w:pPr>
        <w:spacing w:after="0"/>
        <w:jc w:val="both"/>
        <w:rPr>
          <w:lang w:val="en-GB"/>
        </w:rPr>
      </w:pPr>
      <w:r w:rsidRPr="008463F3">
        <w:rPr>
          <w:lang w:val="en-GB"/>
        </w:rPr>
        <w:t xml:space="preserve">Research equipment: PSI HIO does not have single research equipment worth over 50.000 euros. However, it is equipped with research instruments such as: </w:t>
      </w:r>
      <w:proofErr w:type="spellStart"/>
      <w:r w:rsidRPr="008463F3">
        <w:rPr>
          <w:lang w:val="en-GB"/>
        </w:rPr>
        <w:t>Kjeldahl</w:t>
      </w:r>
      <w:proofErr w:type="spellEnd"/>
      <w:r w:rsidRPr="008463F3">
        <w:rPr>
          <w:lang w:val="en-GB"/>
        </w:rPr>
        <w:t xml:space="preserve"> instrument </w:t>
      </w:r>
      <w:proofErr w:type="spellStart"/>
      <w:r w:rsidRPr="008463F3">
        <w:rPr>
          <w:lang w:val="en-GB"/>
        </w:rPr>
        <w:t>Velp</w:t>
      </w:r>
      <w:proofErr w:type="spellEnd"/>
      <w:r w:rsidRPr="008463F3">
        <w:rPr>
          <w:lang w:val="en-GB"/>
        </w:rPr>
        <w:t xml:space="preserve"> (21.800 euros) used for the quantitative determination of nitrogen contained in organic substances plus the nitrogen contained in the inorganic compounds ammonia and ammonium in water and sediment samples and Spectroscopic </w:t>
      </w:r>
      <w:proofErr w:type="spellStart"/>
      <w:r w:rsidRPr="008463F3">
        <w:rPr>
          <w:lang w:val="en-GB"/>
        </w:rPr>
        <w:t>multimeter</w:t>
      </w:r>
      <w:proofErr w:type="spellEnd"/>
      <w:r w:rsidRPr="008463F3">
        <w:rPr>
          <w:lang w:val="en-GB"/>
        </w:rPr>
        <w:t xml:space="preserve"> S:can (18.000 euros) used for the analysis of BOD, COD, BTX, TOC, DOC, Nitrate, Nitrite, TSS, Turbidity</w:t>
      </w:r>
      <w:r>
        <w:rPr>
          <w:lang w:val="en-GB"/>
        </w:rPr>
        <w:t>,</w:t>
      </w:r>
      <w:r w:rsidRPr="008463F3">
        <w:rPr>
          <w:lang w:val="en-GB"/>
        </w:rPr>
        <w:t xml:space="preserve"> etc. It is also equipped with the research instruments of smaller value:</w:t>
      </w:r>
    </w:p>
    <w:p w14:paraId="03F4706A" w14:textId="77777777" w:rsidR="007947BF" w:rsidRPr="008463F3" w:rsidRDefault="007947BF" w:rsidP="007947BF">
      <w:pPr>
        <w:pStyle w:val="ListParagraph"/>
        <w:numPr>
          <w:ilvl w:val="0"/>
          <w:numId w:val="21"/>
        </w:numPr>
        <w:jc w:val="both"/>
        <w:rPr>
          <w:lang w:val="en-GB"/>
        </w:rPr>
      </w:pPr>
      <w:r w:rsidRPr="008463F3">
        <w:rPr>
          <w:lang w:val="en-GB"/>
        </w:rPr>
        <w:t>Stereo Microscope Zeiss (for observation and analysis of scales and para</w:t>
      </w:r>
      <w:r>
        <w:rPr>
          <w:lang w:val="en-GB"/>
        </w:rPr>
        <w:t>s</w:t>
      </w:r>
      <w:r w:rsidRPr="008463F3">
        <w:rPr>
          <w:lang w:val="en-GB"/>
        </w:rPr>
        <w:t xml:space="preserve">ites), </w:t>
      </w:r>
    </w:p>
    <w:p w14:paraId="538935F3" w14:textId="77777777" w:rsidR="007947BF" w:rsidRPr="008463F3" w:rsidRDefault="007947BF" w:rsidP="007947BF">
      <w:pPr>
        <w:pStyle w:val="ListParagraph"/>
        <w:numPr>
          <w:ilvl w:val="0"/>
          <w:numId w:val="21"/>
        </w:numPr>
        <w:jc w:val="both"/>
        <w:rPr>
          <w:lang w:val="en-GB"/>
        </w:rPr>
      </w:pPr>
      <w:r w:rsidRPr="008463F3">
        <w:rPr>
          <w:lang w:val="en-GB"/>
        </w:rPr>
        <w:t xml:space="preserve">Fluorescent microscope Zeiss (for analysis of bacteria), </w:t>
      </w:r>
    </w:p>
    <w:p w14:paraId="51E781E5" w14:textId="77777777" w:rsidR="007947BF" w:rsidRPr="008463F3" w:rsidRDefault="007947BF" w:rsidP="007947BF">
      <w:pPr>
        <w:pStyle w:val="ListParagraph"/>
        <w:numPr>
          <w:ilvl w:val="0"/>
          <w:numId w:val="21"/>
        </w:numPr>
        <w:jc w:val="both"/>
        <w:rPr>
          <w:lang w:val="en-GB"/>
        </w:rPr>
      </w:pPr>
      <w:r w:rsidRPr="008463F3">
        <w:rPr>
          <w:lang w:val="en-GB"/>
        </w:rPr>
        <w:t xml:space="preserve">Light Microscope Zeiss (for observation and analysis of macrophytes), </w:t>
      </w:r>
    </w:p>
    <w:p w14:paraId="396F0722" w14:textId="77777777" w:rsidR="007947BF" w:rsidRPr="008463F3" w:rsidRDefault="007947BF" w:rsidP="007947BF">
      <w:pPr>
        <w:pStyle w:val="ListParagraph"/>
        <w:numPr>
          <w:ilvl w:val="0"/>
          <w:numId w:val="21"/>
        </w:numPr>
        <w:jc w:val="both"/>
        <w:rPr>
          <w:lang w:val="en-GB"/>
        </w:rPr>
      </w:pPr>
      <w:r w:rsidRPr="008463F3">
        <w:rPr>
          <w:lang w:val="en-GB"/>
        </w:rPr>
        <w:t>Inverted microscope Zeiss (for fish and fish parasites obse</w:t>
      </w:r>
      <w:r>
        <w:rPr>
          <w:lang w:val="en-GB"/>
        </w:rPr>
        <w:t>r</w:t>
      </w:r>
      <w:r w:rsidRPr="008463F3">
        <w:rPr>
          <w:lang w:val="en-GB"/>
        </w:rPr>
        <w:t xml:space="preserve">vation and analysis), </w:t>
      </w:r>
    </w:p>
    <w:p w14:paraId="73716E21" w14:textId="77777777" w:rsidR="007947BF" w:rsidRPr="008463F3" w:rsidRDefault="007947BF" w:rsidP="007947BF">
      <w:pPr>
        <w:pStyle w:val="ListParagraph"/>
        <w:numPr>
          <w:ilvl w:val="0"/>
          <w:numId w:val="21"/>
        </w:numPr>
        <w:jc w:val="both"/>
        <w:rPr>
          <w:lang w:val="en-GB"/>
        </w:rPr>
      </w:pPr>
      <w:r w:rsidRPr="008463F3">
        <w:rPr>
          <w:lang w:val="en-GB"/>
        </w:rPr>
        <w:t xml:space="preserve">DIC microscope Zeiss (for analysis of algae and diatoms), </w:t>
      </w:r>
    </w:p>
    <w:p w14:paraId="619ACC77" w14:textId="77777777" w:rsidR="007947BF" w:rsidRPr="008463F3" w:rsidRDefault="007947BF" w:rsidP="007947BF">
      <w:pPr>
        <w:pStyle w:val="ListParagraph"/>
        <w:numPr>
          <w:ilvl w:val="0"/>
          <w:numId w:val="21"/>
        </w:numPr>
        <w:jc w:val="both"/>
        <w:rPr>
          <w:lang w:val="en-GB"/>
        </w:rPr>
      </w:pPr>
      <w:r w:rsidRPr="008463F3">
        <w:rPr>
          <w:lang w:val="en-GB"/>
        </w:rPr>
        <w:t>Microplate reader M965+ (for analysis of toxin and other metabolic products),</w:t>
      </w:r>
    </w:p>
    <w:p w14:paraId="0AA2E167" w14:textId="77777777" w:rsidR="007947BF" w:rsidRPr="008463F3" w:rsidRDefault="007947BF" w:rsidP="007947BF">
      <w:pPr>
        <w:pStyle w:val="ListParagraph"/>
        <w:numPr>
          <w:ilvl w:val="0"/>
          <w:numId w:val="21"/>
        </w:numPr>
        <w:jc w:val="both"/>
        <w:rPr>
          <w:lang w:val="en-GB"/>
        </w:rPr>
      </w:pPr>
      <w:r w:rsidRPr="008463F3">
        <w:rPr>
          <w:lang w:val="en-GB"/>
        </w:rPr>
        <w:t xml:space="preserve">Centrifuge DLAB (for sample preparation), </w:t>
      </w:r>
    </w:p>
    <w:p w14:paraId="25ADDCAC" w14:textId="77777777" w:rsidR="007947BF" w:rsidRPr="008463F3" w:rsidRDefault="007947BF" w:rsidP="007947BF">
      <w:pPr>
        <w:pStyle w:val="ListParagraph"/>
        <w:numPr>
          <w:ilvl w:val="0"/>
          <w:numId w:val="21"/>
        </w:numPr>
        <w:jc w:val="both"/>
        <w:rPr>
          <w:lang w:val="en-GB"/>
        </w:rPr>
      </w:pPr>
      <w:r w:rsidRPr="008463F3">
        <w:rPr>
          <w:lang w:val="en-GB"/>
        </w:rPr>
        <w:t xml:space="preserve">Centrifuge DLAB </w:t>
      </w:r>
      <w:proofErr w:type="spellStart"/>
      <w:r w:rsidRPr="008463F3">
        <w:rPr>
          <w:lang w:val="en-GB"/>
        </w:rPr>
        <w:t>hematocrite</w:t>
      </w:r>
      <w:proofErr w:type="spellEnd"/>
      <w:r w:rsidRPr="008463F3">
        <w:rPr>
          <w:lang w:val="en-GB"/>
        </w:rPr>
        <w:t xml:space="preserve"> (for sample preparation of fish blood), </w:t>
      </w:r>
    </w:p>
    <w:p w14:paraId="19F78B6D" w14:textId="77777777" w:rsidR="007947BF" w:rsidRPr="008463F3" w:rsidRDefault="007947BF" w:rsidP="007947BF">
      <w:pPr>
        <w:pStyle w:val="ListParagraph"/>
        <w:numPr>
          <w:ilvl w:val="0"/>
          <w:numId w:val="21"/>
        </w:numPr>
        <w:jc w:val="both"/>
        <w:rPr>
          <w:lang w:val="en-GB"/>
        </w:rPr>
      </w:pPr>
      <w:r w:rsidRPr="008463F3">
        <w:rPr>
          <w:lang w:val="en-GB"/>
        </w:rPr>
        <w:t xml:space="preserve">van Veen grab </w:t>
      </w:r>
      <w:proofErr w:type="spellStart"/>
      <w:r w:rsidRPr="008463F3">
        <w:rPr>
          <w:lang w:val="en-GB"/>
        </w:rPr>
        <w:t>Hydrobios</w:t>
      </w:r>
      <w:proofErr w:type="spellEnd"/>
      <w:r w:rsidRPr="008463F3">
        <w:rPr>
          <w:lang w:val="en-GB"/>
        </w:rPr>
        <w:t xml:space="preserve"> (for bottom samples collection), </w:t>
      </w:r>
    </w:p>
    <w:p w14:paraId="48AC9F60" w14:textId="77777777" w:rsidR="007947BF" w:rsidRPr="008463F3" w:rsidRDefault="007947BF" w:rsidP="007947BF">
      <w:pPr>
        <w:pStyle w:val="ListParagraph"/>
        <w:numPr>
          <w:ilvl w:val="0"/>
          <w:numId w:val="21"/>
        </w:numPr>
        <w:jc w:val="both"/>
        <w:rPr>
          <w:lang w:val="en-GB"/>
        </w:rPr>
      </w:pPr>
      <w:proofErr w:type="spellStart"/>
      <w:r w:rsidRPr="008463F3">
        <w:rPr>
          <w:lang w:val="en-GB"/>
        </w:rPr>
        <w:t>Ruttner</w:t>
      </w:r>
      <w:proofErr w:type="spellEnd"/>
      <w:r w:rsidRPr="008463F3">
        <w:rPr>
          <w:lang w:val="en-GB"/>
        </w:rPr>
        <w:t xml:space="preserve"> bottle Aquatic biotechnology (for sampling water), </w:t>
      </w:r>
    </w:p>
    <w:p w14:paraId="216B0A5B" w14:textId="77777777" w:rsidR="007947BF" w:rsidRPr="008463F3" w:rsidRDefault="007947BF" w:rsidP="007947BF">
      <w:pPr>
        <w:pStyle w:val="ListParagraph"/>
        <w:numPr>
          <w:ilvl w:val="0"/>
          <w:numId w:val="21"/>
        </w:numPr>
        <w:jc w:val="both"/>
        <w:rPr>
          <w:lang w:val="en-GB"/>
        </w:rPr>
      </w:pPr>
      <w:r w:rsidRPr="008463F3">
        <w:rPr>
          <w:lang w:val="en-GB"/>
        </w:rPr>
        <w:t xml:space="preserve">Ekman- </w:t>
      </w:r>
      <w:proofErr w:type="spellStart"/>
      <w:r w:rsidRPr="008463F3">
        <w:rPr>
          <w:lang w:val="en-GB"/>
        </w:rPr>
        <w:t>Birge</w:t>
      </w:r>
      <w:proofErr w:type="spellEnd"/>
      <w:r w:rsidRPr="008463F3">
        <w:rPr>
          <w:lang w:val="en-GB"/>
        </w:rPr>
        <w:t xml:space="preserve"> grab sampler </w:t>
      </w:r>
      <w:proofErr w:type="spellStart"/>
      <w:r w:rsidRPr="008463F3">
        <w:rPr>
          <w:lang w:val="en-GB"/>
        </w:rPr>
        <w:t>Hydrobios</w:t>
      </w:r>
      <w:proofErr w:type="spellEnd"/>
      <w:r w:rsidRPr="008463F3">
        <w:rPr>
          <w:lang w:val="en-GB"/>
        </w:rPr>
        <w:t xml:space="preserve"> (for sampling sediment for </w:t>
      </w:r>
      <w:proofErr w:type="spellStart"/>
      <w:r w:rsidRPr="008463F3">
        <w:rPr>
          <w:lang w:val="en-GB"/>
        </w:rPr>
        <w:t>macrozoobenthos</w:t>
      </w:r>
      <w:proofErr w:type="spellEnd"/>
      <w:r w:rsidRPr="008463F3">
        <w:rPr>
          <w:lang w:val="en-GB"/>
        </w:rPr>
        <w:t xml:space="preserve"> analysis).</w:t>
      </w:r>
    </w:p>
    <w:p w14:paraId="22790ECA" w14:textId="77777777" w:rsidR="007947BF" w:rsidRPr="008463F3" w:rsidRDefault="007947BF" w:rsidP="007947BF">
      <w:pPr>
        <w:pStyle w:val="ListParagraph"/>
        <w:jc w:val="both"/>
        <w:rPr>
          <w:lang w:val="en-GB"/>
        </w:rPr>
      </w:pPr>
    </w:p>
    <w:p w14:paraId="19392B09" w14:textId="77777777" w:rsidR="007947BF" w:rsidRPr="008463F3" w:rsidRDefault="007947BF" w:rsidP="007947BF">
      <w:pPr>
        <w:pStyle w:val="Heading4"/>
        <w:spacing w:after="240"/>
        <w:rPr>
          <w:lang w:val="en-GB"/>
        </w:rPr>
      </w:pPr>
      <w:r w:rsidRPr="008463F3">
        <w:rPr>
          <w:lang w:val="en-GB"/>
        </w:rPr>
        <w:t>PRI Institute of Old Slavic Culture – PRILEP</w:t>
      </w:r>
    </w:p>
    <w:p w14:paraId="4134AEF8" w14:textId="77777777" w:rsidR="007947BF" w:rsidRPr="008463F3" w:rsidRDefault="007947BF" w:rsidP="007947BF">
      <w:pPr>
        <w:jc w:val="both"/>
        <w:rPr>
          <w:lang w:val="en-GB"/>
        </w:rPr>
      </w:pPr>
      <w:r w:rsidRPr="008463F3">
        <w:rPr>
          <w:lang w:val="en-GB"/>
        </w:rPr>
        <w:t xml:space="preserve">Institute of Old Slavic Culture – PRILEP is a public research institution and an associate member of the St. Clement of </w:t>
      </w:r>
      <w:proofErr w:type="spellStart"/>
      <w:r w:rsidRPr="008463F3">
        <w:rPr>
          <w:lang w:val="en-GB"/>
        </w:rPr>
        <w:t>Ohrid</w:t>
      </w:r>
      <w:proofErr w:type="spellEnd"/>
      <w:r w:rsidRPr="008463F3">
        <w:rPr>
          <w:lang w:val="en-GB"/>
        </w:rPr>
        <w:t xml:space="preserve"> University in Bitola. It was founded in 1979 and has implemented a great number of research projects in the humanities, generally focused on the analysis of tangible and intangible cultural heritage from the Central Balkans. A great part of </w:t>
      </w:r>
      <w:r>
        <w:rPr>
          <w:lang w:val="en-GB"/>
        </w:rPr>
        <w:t>its</w:t>
      </w:r>
      <w:r w:rsidRPr="008463F3">
        <w:rPr>
          <w:lang w:val="en-GB"/>
        </w:rPr>
        <w:t xml:space="preserve"> research activities was focused on the research of the remains of past human activities in the area of </w:t>
      </w:r>
      <w:proofErr w:type="spellStart"/>
      <w:r w:rsidRPr="008463F3">
        <w:rPr>
          <w:lang w:val="en-GB"/>
        </w:rPr>
        <w:t>Markovi</w:t>
      </w:r>
      <w:proofErr w:type="spellEnd"/>
      <w:r w:rsidRPr="008463F3">
        <w:rPr>
          <w:lang w:val="en-GB"/>
        </w:rPr>
        <w:t xml:space="preserve"> </w:t>
      </w:r>
      <w:proofErr w:type="spellStart"/>
      <w:r w:rsidRPr="008463F3">
        <w:rPr>
          <w:lang w:val="en-GB"/>
        </w:rPr>
        <w:t>Kuli</w:t>
      </w:r>
      <w:proofErr w:type="spellEnd"/>
      <w:r w:rsidRPr="008463F3">
        <w:rPr>
          <w:lang w:val="en-GB"/>
        </w:rPr>
        <w:t xml:space="preserve"> Monument of Nature</w:t>
      </w:r>
      <w:r w:rsidRPr="008463F3" w:rsidDel="0010727B">
        <w:rPr>
          <w:lang w:val="en-GB"/>
        </w:rPr>
        <w:t xml:space="preserve"> </w:t>
      </w:r>
      <w:r w:rsidRPr="008463F3">
        <w:rPr>
          <w:lang w:val="en-GB"/>
        </w:rPr>
        <w:t xml:space="preserve">– </w:t>
      </w:r>
      <w:proofErr w:type="spellStart"/>
      <w:r w:rsidRPr="008463F3">
        <w:rPr>
          <w:lang w:val="en-GB"/>
        </w:rPr>
        <w:t>Prilep</w:t>
      </w:r>
      <w:proofErr w:type="spellEnd"/>
      <w:r w:rsidRPr="008463F3">
        <w:rPr>
          <w:lang w:val="en-GB"/>
        </w:rPr>
        <w:t xml:space="preserve">. The Monument of Nature is managed by the Institute </w:t>
      </w:r>
      <w:r>
        <w:rPr>
          <w:lang w:val="en-GB"/>
        </w:rPr>
        <w:t xml:space="preserve">as provided </w:t>
      </w:r>
      <w:r w:rsidRPr="008463F3">
        <w:rPr>
          <w:lang w:val="en-GB"/>
        </w:rPr>
        <w:t>by</w:t>
      </w:r>
      <w:r>
        <w:rPr>
          <w:lang w:val="en-GB"/>
        </w:rPr>
        <w:t xml:space="preserve"> the</w:t>
      </w:r>
      <w:r w:rsidRPr="008463F3">
        <w:rPr>
          <w:lang w:val="en-GB"/>
        </w:rPr>
        <w:t xml:space="preserve"> law (Official Gazette of the Republic of Macedonia 49/06, p. 8-11). </w:t>
      </w:r>
    </w:p>
    <w:p w14:paraId="1D292A80" w14:textId="77777777" w:rsidR="007947BF" w:rsidRPr="008463F3" w:rsidRDefault="007947BF" w:rsidP="007947BF">
      <w:pPr>
        <w:spacing w:after="0"/>
        <w:jc w:val="both"/>
        <w:rPr>
          <w:lang w:val="en-GB"/>
        </w:rPr>
      </w:pPr>
      <w:r w:rsidRPr="008463F3">
        <w:rPr>
          <w:lang w:val="en-GB"/>
        </w:rPr>
        <w:t>Regarding the available research infrastructures, a vast collection of archive research data (strictly followed by metadata) was built. The data is generally available in:</w:t>
      </w:r>
    </w:p>
    <w:p w14:paraId="4F503223" w14:textId="77777777" w:rsidR="007947BF" w:rsidRPr="008463F3" w:rsidRDefault="007947BF" w:rsidP="007947BF">
      <w:pPr>
        <w:pStyle w:val="ListParagraph"/>
        <w:numPr>
          <w:ilvl w:val="0"/>
          <w:numId w:val="47"/>
        </w:numPr>
        <w:jc w:val="both"/>
        <w:rPr>
          <w:lang w:val="en-GB"/>
        </w:rPr>
      </w:pPr>
      <w:r w:rsidRPr="008463F3">
        <w:rPr>
          <w:lang w:val="en-GB"/>
        </w:rPr>
        <w:t>alphanumeric data in raw format</w:t>
      </w:r>
      <w:r>
        <w:rPr>
          <w:lang w:val="en-GB"/>
        </w:rPr>
        <w:t>,</w:t>
      </w:r>
    </w:p>
    <w:p w14:paraId="52A0470C" w14:textId="77777777" w:rsidR="007947BF" w:rsidRPr="008463F3" w:rsidRDefault="007947BF" w:rsidP="007947BF">
      <w:pPr>
        <w:pStyle w:val="ListParagraph"/>
        <w:numPr>
          <w:ilvl w:val="0"/>
          <w:numId w:val="47"/>
        </w:numPr>
        <w:jc w:val="both"/>
        <w:rPr>
          <w:lang w:val="en-GB"/>
        </w:rPr>
      </w:pPr>
      <w:r w:rsidRPr="008463F3">
        <w:rPr>
          <w:lang w:val="en-GB"/>
        </w:rPr>
        <w:t>handmade large-scale architectural documentation (drawings, plans, sections, facades)</w:t>
      </w:r>
      <w:r>
        <w:rPr>
          <w:lang w:val="en-GB"/>
        </w:rPr>
        <w:t>,</w:t>
      </w:r>
    </w:p>
    <w:p w14:paraId="69D28B7F" w14:textId="77777777" w:rsidR="007947BF" w:rsidRPr="008463F3" w:rsidRDefault="007947BF" w:rsidP="007947BF">
      <w:pPr>
        <w:pStyle w:val="ListParagraph"/>
        <w:numPr>
          <w:ilvl w:val="0"/>
          <w:numId w:val="47"/>
        </w:numPr>
        <w:jc w:val="both"/>
        <w:rPr>
          <w:lang w:val="en-GB"/>
        </w:rPr>
      </w:pPr>
      <w:r w:rsidRPr="008463F3">
        <w:rPr>
          <w:lang w:val="en-GB"/>
        </w:rPr>
        <w:t>photos, mostly available in negatives.</w:t>
      </w:r>
    </w:p>
    <w:p w14:paraId="4D3E75CE" w14:textId="77777777" w:rsidR="007947BF" w:rsidRPr="008463F3" w:rsidRDefault="007947BF" w:rsidP="007947BF">
      <w:pPr>
        <w:jc w:val="both"/>
        <w:rPr>
          <w:lang w:val="en-GB"/>
        </w:rPr>
      </w:pPr>
      <w:r w:rsidRPr="008463F3">
        <w:rPr>
          <w:lang w:val="en-GB"/>
        </w:rPr>
        <w:t>Still, the process of digiti</w:t>
      </w:r>
      <w:r>
        <w:rPr>
          <w:lang w:val="en-GB"/>
        </w:rPr>
        <w:t>s</w:t>
      </w:r>
      <w:r w:rsidRPr="008463F3">
        <w:rPr>
          <w:lang w:val="en-GB"/>
        </w:rPr>
        <w:t xml:space="preserve">ation of all this data is in the initial phase </w:t>
      </w:r>
      <w:r>
        <w:rPr>
          <w:lang w:val="en-GB"/>
        </w:rPr>
        <w:t>with thus far data digitalised</w:t>
      </w:r>
      <w:r w:rsidRPr="008463F3">
        <w:rPr>
          <w:lang w:val="en-GB"/>
        </w:rPr>
        <w:t xml:space="preserve"> </w:t>
      </w:r>
      <w:r>
        <w:rPr>
          <w:lang w:val="en-GB"/>
        </w:rPr>
        <w:t xml:space="preserve">as part of the </w:t>
      </w:r>
      <w:r w:rsidRPr="008463F3">
        <w:rPr>
          <w:lang w:val="en-GB"/>
        </w:rPr>
        <w:t xml:space="preserve">activities </w:t>
      </w:r>
      <w:r>
        <w:rPr>
          <w:lang w:val="en-GB"/>
        </w:rPr>
        <w:t>implemented</w:t>
      </w:r>
      <w:r w:rsidRPr="008463F3">
        <w:rPr>
          <w:lang w:val="en-GB"/>
        </w:rPr>
        <w:t xml:space="preserve"> for finding the most efficient and practical methodology and technology for this purpose.</w:t>
      </w:r>
    </w:p>
    <w:p w14:paraId="703A4489" w14:textId="77777777" w:rsidR="007947BF" w:rsidRPr="008463F3" w:rsidRDefault="007947BF" w:rsidP="007947BF">
      <w:pPr>
        <w:pStyle w:val="ListParagraph"/>
        <w:ind w:left="0"/>
        <w:jc w:val="both"/>
        <w:rPr>
          <w:lang w:val="en-GB"/>
        </w:rPr>
      </w:pPr>
      <w:r w:rsidRPr="008463F3">
        <w:rPr>
          <w:lang w:val="en-GB"/>
        </w:rPr>
        <w:t>During</w:t>
      </w:r>
      <w:r>
        <w:rPr>
          <w:lang w:val="en-GB"/>
        </w:rPr>
        <w:t xml:space="preserve"> the</w:t>
      </w:r>
      <w:r w:rsidRPr="008463F3">
        <w:rPr>
          <w:lang w:val="en-GB"/>
        </w:rPr>
        <w:t xml:space="preserve"> recent years, great progress was made in the search for the best methodology and adequate technology to be used for documentation of the architectural cultural heritage and a high detail surveying of the</w:t>
      </w:r>
      <w:r>
        <w:rPr>
          <w:lang w:val="en-GB"/>
        </w:rPr>
        <w:t xml:space="preserve"> relevant</w:t>
      </w:r>
      <w:r w:rsidRPr="008463F3">
        <w:rPr>
          <w:lang w:val="en-GB"/>
        </w:rPr>
        <w:t xml:space="preserve"> landscapes. This was made by building the basic human resources and integration of technology and freely available digital resources. All this was made on a national level with support </w:t>
      </w:r>
      <w:r>
        <w:rPr>
          <w:lang w:val="en-GB"/>
        </w:rPr>
        <w:t>provided</w:t>
      </w:r>
      <w:r w:rsidRPr="008463F3">
        <w:rPr>
          <w:lang w:val="en-GB"/>
        </w:rPr>
        <w:t xml:space="preserve"> from the domestic (Ministry of Culture and Ministry of Education and Science) and EU funds.</w:t>
      </w:r>
    </w:p>
    <w:p w14:paraId="066440C5" w14:textId="77777777" w:rsidR="007947BF" w:rsidRPr="008463F3" w:rsidRDefault="007947BF" w:rsidP="007947BF">
      <w:pPr>
        <w:pStyle w:val="ListParagraph"/>
        <w:ind w:left="0"/>
        <w:jc w:val="both"/>
        <w:rPr>
          <w:lang w:val="en-GB"/>
        </w:rPr>
      </w:pPr>
      <w:r w:rsidRPr="008463F3">
        <w:rPr>
          <w:lang w:val="en-GB"/>
        </w:rPr>
        <w:t>Part of the products of these activities is available as open access e-infrastructure. A web-implemented geographic information system was developed for six settlements from the Roman period. DIENDICURE – Digital Environments for Digital Cultural Realities (</w:t>
      </w:r>
      <w:hyperlink r:id="rId9" w:history="1">
        <w:r w:rsidRPr="008463F3">
          <w:rPr>
            <w:lang w:val="en-GB"/>
          </w:rPr>
          <w:t>https://diendicure.mk/</w:t>
        </w:r>
      </w:hyperlink>
      <w:r w:rsidRPr="008463F3">
        <w:rPr>
          <w:lang w:val="en-GB"/>
        </w:rPr>
        <w:t xml:space="preserve">) was introduced for the first time in 2018. This system should be annually updated and upgraded as part of different project activities. </w:t>
      </w:r>
    </w:p>
    <w:p w14:paraId="4F1588ED" w14:textId="77777777" w:rsidR="007947BF" w:rsidRPr="008463F3" w:rsidRDefault="007947BF" w:rsidP="007947BF">
      <w:pPr>
        <w:spacing w:after="0"/>
        <w:jc w:val="both"/>
        <w:rPr>
          <w:lang w:val="en-GB"/>
        </w:rPr>
      </w:pPr>
      <w:r w:rsidRPr="008463F3">
        <w:rPr>
          <w:lang w:val="en-GB"/>
        </w:rPr>
        <w:t>Services provided include the following:</w:t>
      </w:r>
    </w:p>
    <w:p w14:paraId="0832D141" w14:textId="77777777" w:rsidR="007947BF" w:rsidRPr="008463F3" w:rsidRDefault="007947BF" w:rsidP="007947BF">
      <w:pPr>
        <w:pStyle w:val="ListParagraph"/>
        <w:numPr>
          <w:ilvl w:val="0"/>
          <w:numId w:val="48"/>
        </w:numPr>
        <w:jc w:val="both"/>
        <w:rPr>
          <w:lang w:val="en-GB"/>
        </w:rPr>
      </w:pPr>
      <w:r w:rsidRPr="008463F3">
        <w:rPr>
          <w:lang w:val="en-GB"/>
        </w:rPr>
        <w:t>Research on the archaeological sites and monuments from the Roman and Medieval Period and research o</w:t>
      </w:r>
      <w:r>
        <w:rPr>
          <w:lang w:val="en-GB"/>
        </w:rPr>
        <w:t>f</w:t>
      </w:r>
      <w:r w:rsidRPr="008463F3">
        <w:rPr>
          <w:lang w:val="en-GB"/>
        </w:rPr>
        <w:t xml:space="preserve"> the intangible cultural heritage located in the Central Balkans;</w:t>
      </w:r>
    </w:p>
    <w:p w14:paraId="20926655" w14:textId="77777777" w:rsidR="007947BF" w:rsidRPr="008463F3" w:rsidRDefault="007947BF" w:rsidP="007947BF">
      <w:pPr>
        <w:pStyle w:val="ListParagraph"/>
        <w:numPr>
          <w:ilvl w:val="0"/>
          <w:numId w:val="48"/>
        </w:numPr>
        <w:jc w:val="both"/>
        <w:rPr>
          <w:lang w:val="en-GB"/>
        </w:rPr>
      </w:pPr>
      <w:r w:rsidRPr="008463F3">
        <w:rPr>
          <w:lang w:val="en-GB"/>
        </w:rPr>
        <w:t>A photographic survey using suitable terrestrial and aerial photo capturing equipment;</w:t>
      </w:r>
    </w:p>
    <w:p w14:paraId="2B6C9BCE" w14:textId="77777777" w:rsidR="007947BF" w:rsidRPr="008463F3" w:rsidRDefault="007947BF" w:rsidP="007947BF">
      <w:pPr>
        <w:pStyle w:val="ListParagraph"/>
        <w:numPr>
          <w:ilvl w:val="0"/>
          <w:numId w:val="48"/>
        </w:numPr>
        <w:jc w:val="both"/>
        <w:rPr>
          <w:lang w:val="en-GB"/>
        </w:rPr>
      </w:pPr>
      <w:r w:rsidRPr="008463F3">
        <w:rPr>
          <w:lang w:val="en-GB"/>
        </w:rPr>
        <w:t>A topographic and geodetic survey using total station;</w:t>
      </w:r>
    </w:p>
    <w:p w14:paraId="00A1E7E9" w14:textId="77777777" w:rsidR="007947BF" w:rsidRPr="008463F3" w:rsidRDefault="007947BF" w:rsidP="007947BF">
      <w:pPr>
        <w:pStyle w:val="ListParagraph"/>
        <w:numPr>
          <w:ilvl w:val="0"/>
          <w:numId w:val="48"/>
        </w:numPr>
        <w:jc w:val="both"/>
        <w:rPr>
          <w:lang w:val="en-GB"/>
        </w:rPr>
      </w:pPr>
      <w:r w:rsidRPr="008463F3">
        <w:rPr>
          <w:lang w:val="en-GB"/>
        </w:rPr>
        <w:t>Field survey using the above</w:t>
      </w:r>
      <w:r>
        <w:rPr>
          <w:lang w:val="en-GB"/>
        </w:rPr>
        <w:t xml:space="preserve"> </w:t>
      </w:r>
      <w:r w:rsidRPr="008463F3">
        <w:rPr>
          <w:lang w:val="en-GB"/>
        </w:rPr>
        <w:t>mentioned equipment and the technology of photogrammetry (IBM – image-based model</w:t>
      </w:r>
      <w:r>
        <w:rPr>
          <w:lang w:val="en-GB"/>
        </w:rPr>
        <w:t>l</w:t>
      </w:r>
      <w:r w:rsidRPr="008463F3">
        <w:rPr>
          <w:lang w:val="en-GB"/>
        </w:rPr>
        <w:t>ing) throughout a wide range of computer-based procedures and specific software;</w:t>
      </w:r>
    </w:p>
    <w:p w14:paraId="5E4A805A" w14:textId="77777777" w:rsidR="007947BF" w:rsidRPr="008463F3" w:rsidRDefault="007947BF" w:rsidP="007947BF">
      <w:pPr>
        <w:pStyle w:val="ListParagraph"/>
        <w:numPr>
          <w:ilvl w:val="0"/>
          <w:numId w:val="48"/>
        </w:numPr>
        <w:jc w:val="both"/>
        <w:rPr>
          <w:lang w:val="en-GB"/>
        </w:rPr>
      </w:pPr>
      <w:r w:rsidRPr="008463F3">
        <w:rPr>
          <w:lang w:val="en-GB"/>
        </w:rPr>
        <w:t>Implementation and integration of data, spatial and quantitative data analysis using GIS technology;</w:t>
      </w:r>
    </w:p>
    <w:p w14:paraId="6B2AEB10" w14:textId="77777777" w:rsidR="007947BF" w:rsidRPr="008463F3" w:rsidRDefault="007947BF" w:rsidP="007947BF">
      <w:pPr>
        <w:pStyle w:val="ListParagraph"/>
        <w:numPr>
          <w:ilvl w:val="0"/>
          <w:numId w:val="48"/>
        </w:numPr>
        <w:jc w:val="both"/>
        <w:rPr>
          <w:lang w:val="en-GB"/>
        </w:rPr>
      </w:pPr>
      <w:r w:rsidRPr="008463F3">
        <w:rPr>
          <w:lang w:val="en-GB"/>
        </w:rPr>
        <w:t>Mass storage of data.</w:t>
      </w:r>
    </w:p>
    <w:p w14:paraId="6888BF78" w14:textId="77777777" w:rsidR="007947BF" w:rsidRPr="008463F3" w:rsidRDefault="007947BF" w:rsidP="007947BF">
      <w:pPr>
        <w:jc w:val="both"/>
        <w:rPr>
          <w:lang w:val="en-GB"/>
        </w:rPr>
      </w:pPr>
      <w:r w:rsidRPr="008463F3">
        <w:rPr>
          <w:lang w:val="en-GB"/>
        </w:rPr>
        <w:t>Research equipment: The Institute does not have capital research equipment. The current value of research equipment is estimated at 18.000 euros.</w:t>
      </w:r>
    </w:p>
    <w:p w14:paraId="612645C5" w14:textId="77777777" w:rsidR="007947BF" w:rsidRPr="008463F3" w:rsidRDefault="007947BF" w:rsidP="007947BF">
      <w:pPr>
        <w:pStyle w:val="Heading3"/>
        <w:spacing w:after="240"/>
        <w:rPr>
          <w:rFonts w:asciiTheme="minorHAnsi" w:hAnsiTheme="minorHAnsi"/>
          <w:lang w:val="en-GB"/>
        </w:rPr>
      </w:pPr>
      <w:bookmarkStart w:id="25" w:name="_Toc77322033"/>
      <w:r w:rsidRPr="008463F3">
        <w:rPr>
          <w:rFonts w:asciiTheme="minorHAnsi" w:hAnsiTheme="minorHAnsi"/>
          <w:lang w:val="en-GB"/>
        </w:rPr>
        <w:t>4.1.4. Mother Teresa</w:t>
      </w:r>
      <w:r>
        <w:rPr>
          <w:rFonts w:asciiTheme="minorHAnsi" w:hAnsiTheme="minorHAnsi"/>
          <w:lang w:val="en-GB"/>
        </w:rPr>
        <w:t xml:space="preserve"> University</w:t>
      </w:r>
      <w:r w:rsidRPr="008463F3">
        <w:rPr>
          <w:rFonts w:asciiTheme="minorHAnsi" w:hAnsiTheme="minorHAnsi"/>
          <w:lang w:val="en-GB"/>
        </w:rPr>
        <w:t>, Skopje</w:t>
      </w:r>
      <w:bookmarkEnd w:id="25"/>
    </w:p>
    <w:p w14:paraId="144F74FB" w14:textId="77777777" w:rsidR="007947BF" w:rsidRPr="008463F3" w:rsidRDefault="007947BF" w:rsidP="007947BF">
      <w:pPr>
        <w:jc w:val="both"/>
        <w:rPr>
          <w:lang w:val="en-GB"/>
        </w:rPr>
      </w:pPr>
      <w:r w:rsidRPr="008463F3">
        <w:rPr>
          <w:lang w:val="en-GB"/>
        </w:rPr>
        <w:t xml:space="preserve">The Mother Teresa </w:t>
      </w:r>
      <w:r>
        <w:rPr>
          <w:lang w:val="en-GB"/>
        </w:rPr>
        <w:t xml:space="preserve">University </w:t>
      </w:r>
      <w:r w:rsidRPr="008463F3">
        <w:rPr>
          <w:lang w:val="en-GB"/>
        </w:rPr>
        <w:t>in Skopje was founded in 2016. It offers education in the natural and social sciences through its five faculties. Having in mind that it is a very young university, its research activities have been mainly oriented toward participation at scientific conferences and EU Programme in the fields of education, training, youth and sport for the period 2014-2021 (Erasmus+).</w:t>
      </w:r>
    </w:p>
    <w:p w14:paraId="47476F90" w14:textId="77777777" w:rsidR="007947BF" w:rsidRPr="008463F3" w:rsidRDefault="007947BF" w:rsidP="007947BF">
      <w:pPr>
        <w:spacing w:after="0"/>
        <w:jc w:val="both"/>
        <w:rPr>
          <w:lang w:val="en-GB"/>
        </w:rPr>
      </w:pPr>
      <w:r w:rsidRPr="008463F3">
        <w:rPr>
          <w:lang w:val="en-GB"/>
        </w:rPr>
        <w:t>The following research infrastructures have been identified:</w:t>
      </w:r>
    </w:p>
    <w:p w14:paraId="1A8FD1DD" w14:textId="77777777" w:rsidR="007947BF" w:rsidRPr="008463F3" w:rsidRDefault="007947BF" w:rsidP="007947BF">
      <w:pPr>
        <w:pStyle w:val="ListParagraph"/>
        <w:numPr>
          <w:ilvl w:val="0"/>
          <w:numId w:val="34"/>
        </w:numPr>
        <w:jc w:val="both"/>
        <w:rPr>
          <w:lang w:val="en-GB"/>
        </w:rPr>
      </w:pPr>
      <w:r w:rsidRPr="008463F3">
        <w:rPr>
          <w:lang w:val="en-GB"/>
        </w:rPr>
        <w:t xml:space="preserve">Laboratory for Anthropometric Measurements and Biomechanical analysis at the Faculty of </w:t>
      </w:r>
      <w:r>
        <w:rPr>
          <w:lang w:val="en-GB"/>
        </w:rPr>
        <w:t>S</w:t>
      </w:r>
      <w:r w:rsidRPr="008463F3">
        <w:rPr>
          <w:lang w:val="en-GB"/>
        </w:rPr>
        <w:t xml:space="preserve">ocial </w:t>
      </w:r>
      <w:r>
        <w:rPr>
          <w:lang w:val="en-GB"/>
        </w:rPr>
        <w:t>S</w:t>
      </w:r>
      <w:r w:rsidRPr="008463F3">
        <w:rPr>
          <w:lang w:val="en-GB"/>
        </w:rPr>
        <w:t xml:space="preserve">cience </w:t>
      </w:r>
      <w:r>
        <w:rPr>
          <w:lang w:val="en-GB"/>
        </w:rPr>
        <w:t xml:space="preserve">which </w:t>
      </w:r>
      <w:r w:rsidRPr="008463F3">
        <w:rPr>
          <w:lang w:val="en-GB"/>
        </w:rPr>
        <w:t>was equipped in 2020 with a set of research instruments (total purchase value was 20.000 euro) for the following services: assessing patient’s general physical conditions, identifying deficiencies, postural problems and asymmetries on the basis of data and videos and determin</w:t>
      </w:r>
      <w:r>
        <w:rPr>
          <w:lang w:val="en-GB"/>
        </w:rPr>
        <w:t>ing</w:t>
      </w:r>
      <w:r w:rsidRPr="008463F3">
        <w:rPr>
          <w:lang w:val="en-GB"/>
        </w:rPr>
        <w:t xml:space="preserve"> how the patients’ performance is being effected, orthopaedic solutions on the basis of precise data, preventing relapses, complications and involutions, etc.</w:t>
      </w:r>
    </w:p>
    <w:p w14:paraId="1A72CA01" w14:textId="77777777" w:rsidR="007947BF" w:rsidRPr="008463F3" w:rsidRDefault="007947BF" w:rsidP="007947BF">
      <w:pPr>
        <w:pStyle w:val="ListParagraph"/>
        <w:numPr>
          <w:ilvl w:val="0"/>
          <w:numId w:val="34"/>
        </w:numPr>
        <w:jc w:val="both"/>
        <w:rPr>
          <w:lang w:val="en-GB"/>
        </w:rPr>
      </w:pPr>
      <w:r w:rsidRPr="008463F3">
        <w:rPr>
          <w:lang w:val="en-GB"/>
        </w:rPr>
        <w:t>Computer Science Labs at the Faculty of Informatics performs various research</w:t>
      </w:r>
      <w:r>
        <w:rPr>
          <w:lang w:val="en-GB"/>
        </w:rPr>
        <w:t>es</w:t>
      </w:r>
      <w:r w:rsidRPr="008463F3">
        <w:rPr>
          <w:lang w:val="en-GB"/>
        </w:rPr>
        <w:t xml:space="preserve"> in the field of Computer Science and Engineering such as: Artificial Intelligence, Computer Networks, Next Generation of Mobile Networks, Data Mining, Machine Learning, Mathematics, etc.</w:t>
      </w:r>
    </w:p>
    <w:p w14:paraId="40BC3D1D" w14:textId="77777777" w:rsidR="007947BF" w:rsidRPr="008463F3" w:rsidRDefault="007947BF" w:rsidP="007947BF">
      <w:pPr>
        <w:pStyle w:val="ListParagraph"/>
        <w:numPr>
          <w:ilvl w:val="0"/>
          <w:numId w:val="34"/>
        </w:numPr>
        <w:jc w:val="both"/>
        <w:rPr>
          <w:lang w:val="en-GB"/>
        </w:rPr>
      </w:pPr>
      <w:r w:rsidRPr="008463F3">
        <w:rPr>
          <w:lang w:val="en-GB"/>
        </w:rPr>
        <w:t>IT Centre at the Faculty of Construction and Architecture is engaged in designing and analysing structures, architectural design and plotting.</w:t>
      </w:r>
    </w:p>
    <w:p w14:paraId="10815695" w14:textId="77777777" w:rsidR="007947BF" w:rsidRPr="008463F3" w:rsidRDefault="007947BF" w:rsidP="007947BF">
      <w:pPr>
        <w:pStyle w:val="ListParagraph"/>
        <w:numPr>
          <w:ilvl w:val="0"/>
          <w:numId w:val="34"/>
        </w:numPr>
        <w:jc w:val="both"/>
        <w:rPr>
          <w:lang w:val="en-GB"/>
        </w:rPr>
      </w:pPr>
      <w:r w:rsidRPr="008463F3">
        <w:rPr>
          <w:lang w:val="en-GB"/>
        </w:rPr>
        <w:t>Faculty of Technological Sciences conducts qualitative and quantitative analyses of food samples, chemical processes, development and validation of methods.</w:t>
      </w:r>
    </w:p>
    <w:p w14:paraId="4CE34BD3" w14:textId="77777777" w:rsidR="007947BF" w:rsidRPr="008463F3" w:rsidRDefault="007947BF" w:rsidP="007947BF">
      <w:pPr>
        <w:pStyle w:val="ListParagraph"/>
        <w:numPr>
          <w:ilvl w:val="0"/>
          <w:numId w:val="34"/>
        </w:numPr>
        <w:jc w:val="both"/>
        <w:rPr>
          <w:lang w:val="en-GB"/>
        </w:rPr>
      </w:pPr>
      <w:r w:rsidRPr="008463F3">
        <w:rPr>
          <w:lang w:val="en-GB"/>
        </w:rPr>
        <w:t>Faculty of Technical Science is using small research instruments for education-based activities: simulat</w:t>
      </w:r>
      <w:r>
        <w:rPr>
          <w:lang w:val="en-GB"/>
        </w:rPr>
        <w:t>ions</w:t>
      </w:r>
      <w:r w:rsidRPr="008463F3">
        <w:rPr>
          <w:lang w:val="en-GB"/>
        </w:rPr>
        <w:t xml:space="preserve"> </w:t>
      </w:r>
      <w:r>
        <w:rPr>
          <w:lang w:val="en-GB"/>
        </w:rPr>
        <w:t xml:space="preserve">of </w:t>
      </w:r>
      <w:r w:rsidRPr="008463F3">
        <w:rPr>
          <w:lang w:val="en-GB"/>
        </w:rPr>
        <w:t xml:space="preserve">road traffic to the finest detail </w:t>
      </w:r>
      <w:r>
        <w:rPr>
          <w:lang w:val="en-GB"/>
        </w:rPr>
        <w:t xml:space="preserve">- </w:t>
      </w:r>
      <w:r w:rsidRPr="008463F3">
        <w:rPr>
          <w:lang w:val="en-GB"/>
        </w:rPr>
        <w:t xml:space="preserve">macroscopic, simulations for traffic analyses, forecasts and GIS-based data management </w:t>
      </w:r>
      <w:r>
        <w:rPr>
          <w:lang w:val="en-GB"/>
        </w:rPr>
        <w:t>at</w:t>
      </w:r>
      <w:r w:rsidRPr="008463F3">
        <w:rPr>
          <w:lang w:val="en-GB"/>
        </w:rPr>
        <w:t xml:space="preserve"> city, regional or national levels</w:t>
      </w:r>
      <w:r>
        <w:rPr>
          <w:lang w:val="en-GB"/>
        </w:rPr>
        <w:t>.</w:t>
      </w:r>
      <w:r w:rsidRPr="008463F3">
        <w:rPr>
          <w:lang w:val="en-GB"/>
        </w:rPr>
        <w:t xml:space="preserve"> Oscilloscope is used to examine an electronic part that is considered to be defective. It </w:t>
      </w:r>
      <w:r>
        <w:rPr>
          <w:lang w:val="en-GB"/>
        </w:rPr>
        <w:t xml:space="preserve">is </w:t>
      </w:r>
      <w:r w:rsidRPr="008463F3">
        <w:rPr>
          <w:lang w:val="en-GB"/>
        </w:rPr>
        <w:t xml:space="preserve">also </w:t>
      </w:r>
      <w:r>
        <w:rPr>
          <w:lang w:val="en-GB"/>
        </w:rPr>
        <w:t>used</w:t>
      </w:r>
      <w:r w:rsidRPr="008463F3">
        <w:rPr>
          <w:lang w:val="en-GB"/>
        </w:rPr>
        <w:t xml:space="preserve"> to test newly made electrical circuits </w:t>
      </w:r>
      <w:r>
        <w:rPr>
          <w:lang w:val="en-GB"/>
        </w:rPr>
        <w:t>in terms of</w:t>
      </w:r>
      <w:r w:rsidRPr="008463F3">
        <w:rPr>
          <w:lang w:val="en-GB"/>
        </w:rPr>
        <w:t xml:space="preserve"> their voltage and design errors.</w:t>
      </w:r>
    </w:p>
    <w:p w14:paraId="46E0B23F" w14:textId="77777777" w:rsidR="007947BF" w:rsidRPr="008463F3" w:rsidRDefault="007947BF" w:rsidP="007947BF">
      <w:pPr>
        <w:jc w:val="both"/>
        <w:rPr>
          <w:lang w:val="en-GB"/>
        </w:rPr>
      </w:pPr>
      <w:r w:rsidRPr="008463F3">
        <w:rPr>
          <w:lang w:val="en-GB"/>
        </w:rPr>
        <w:t>Research equipment: The University does not have capital research equipment. It is equipped with research instruments of small value mainly intended for educational purposes.</w:t>
      </w:r>
    </w:p>
    <w:p w14:paraId="3522F780" w14:textId="77777777" w:rsidR="007947BF" w:rsidRPr="008463F3" w:rsidRDefault="007947BF" w:rsidP="007947BF">
      <w:pPr>
        <w:jc w:val="both"/>
        <w:rPr>
          <w:lang w:val="en-GB"/>
        </w:rPr>
      </w:pPr>
    </w:p>
    <w:p w14:paraId="197DB076" w14:textId="77777777" w:rsidR="007947BF" w:rsidRPr="008463F3" w:rsidRDefault="007947BF" w:rsidP="007947BF">
      <w:pPr>
        <w:pStyle w:val="Heading3"/>
        <w:spacing w:after="240"/>
        <w:rPr>
          <w:rFonts w:asciiTheme="minorHAnsi" w:hAnsiTheme="minorHAnsi"/>
          <w:lang w:val="en-GB"/>
        </w:rPr>
      </w:pPr>
      <w:bookmarkStart w:id="26" w:name="_Toc77322034"/>
      <w:r w:rsidRPr="008463F3">
        <w:rPr>
          <w:rFonts w:asciiTheme="minorHAnsi" w:hAnsiTheme="minorHAnsi"/>
          <w:lang w:val="en-GB"/>
        </w:rPr>
        <w:t>4.1.5. Institute for Advanced Composites and Robotics</w:t>
      </w:r>
      <w:bookmarkEnd w:id="26"/>
    </w:p>
    <w:p w14:paraId="05E752DF" w14:textId="77777777" w:rsidR="007947BF" w:rsidRPr="008463F3" w:rsidRDefault="007947BF" w:rsidP="007947BF">
      <w:pPr>
        <w:jc w:val="both"/>
        <w:rPr>
          <w:lang w:val="en-GB"/>
        </w:rPr>
      </w:pPr>
      <w:r w:rsidRPr="003C6CFD">
        <w:rPr>
          <w:lang w:val="en-GB"/>
        </w:rPr>
        <w:t>The Institute for Advanced</w:t>
      </w:r>
      <w:r w:rsidRPr="00990244">
        <w:rPr>
          <w:lang w:val="en-GB"/>
        </w:rPr>
        <w:t xml:space="preserve"> Composites</w:t>
      </w:r>
      <w:r w:rsidRPr="008463F3">
        <w:rPr>
          <w:lang w:val="en-GB"/>
        </w:rPr>
        <w:t xml:space="preserve"> and Robotics is the private institution whose mission is to build an appropriate research infrastructure that will develop the fundamental and applied science in the area of advanced composites and robotics through the interdisciplinary approach. This will be achieved through a clear and focused work program</w:t>
      </w:r>
      <w:r>
        <w:rPr>
          <w:lang w:val="en-GB"/>
        </w:rPr>
        <w:t>me</w:t>
      </w:r>
      <w:r w:rsidRPr="008463F3">
        <w:rPr>
          <w:lang w:val="en-GB"/>
        </w:rPr>
        <w:t xml:space="preserve">, attracting and building high-skilled research personnel and permanent development of the research infrastructure, following the </w:t>
      </w:r>
      <w:r>
        <w:rPr>
          <w:lang w:val="en-GB"/>
        </w:rPr>
        <w:t>global</w:t>
      </w:r>
      <w:r w:rsidRPr="008463F3">
        <w:rPr>
          <w:lang w:val="en-GB"/>
        </w:rPr>
        <w:t xml:space="preserve"> trends in the development of advanced composites and robotics. The Institute is orientated towards cooperation with the leading </w:t>
      </w:r>
      <w:r>
        <w:rPr>
          <w:lang w:val="en-GB"/>
        </w:rPr>
        <w:t>global</w:t>
      </w:r>
      <w:r w:rsidRPr="008463F3">
        <w:rPr>
          <w:lang w:val="en-GB"/>
        </w:rPr>
        <w:t xml:space="preserve"> institutes in the field of advanced composites and robotics.</w:t>
      </w:r>
    </w:p>
    <w:p w14:paraId="1662EABD" w14:textId="77777777" w:rsidR="007947BF" w:rsidRPr="008463F3" w:rsidRDefault="007947BF" w:rsidP="007947BF">
      <w:pPr>
        <w:jc w:val="both"/>
        <w:rPr>
          <w:lang w:val="en-GB"/>
        </w:rPr>
      </w:pPr>
      <w:r w:rsidRPr="008463F3">
        <w:rPr>
          <w:lang w:val="en-GB"/>
        </w:rPr>
        <w:t xml:space="preserve">Services offered: Slitting of prepress with different width from 6.35mm to 300mm; </w:t>
      </w:r>
      <w:r>
        <w:rPr>
          <w:lang w:val="en-GB"/>
        </w:rPr>
        <w:t>p</w:t>
      </w:r>
      <w:r w:rsidRPr="008463F3">
        <w:rPr>
          <w:lang w:val="en-GB"/>
        </w:rPr>
        <w:t xml:space="preserve">roduction of composite plates, pipes, complex parts with AFP / ATL robotic machines; </w:t>
      </w:r>
      <w:r>
        <w:rPr>
          <w:lang w:val="en-GB"/>
        </w:rPr>
        <w:t>t</w:t>
      </w:r>
      <w:r w:rsidRPr="008463F3">
        <w:rPr>
          <w:lang w:val="en-GB"/>
        </w:rPr>
        <w:t xml:space="preserve">est methods to determine the constituent content, volatiles content of composite materials; </w:t>
      </w:r>
      <w:r>
        <w:rPr>
          <w:lang w:val="en-GB"/>
        </w:rPr>
        <w:t>d</w:t>
      </w:r>
      <w:r w:rsidRPr="008463F3">
        <w:rPr>
          <w:lang w:val="en-GB"/>
        </w:rPr>
        <w:t>etermination of porosity with optical microscopy of composite materials; mechanical tests for characteristics of composite parts (tensile and compression strength, 3pbt, ILSS, etc.).</w:t>
      </w:r>
    </w:p>
    <w:p w14:paraId="6BD41133" w14:textId="77777777" w:rsidR="007947BF" w:rsidRPr="008463F3" w:rsidRDefault="007947BF" w:rsidP="007947BF">
      <w:pPr>
        <w:jc w:val="both"/>
        <w:rPr>
          <w:lang w:val="en-GB"/>
        </w:rPr>
      </w:pPr>
      <w:r w:rsidRPr="008463F3">
        <w:rPr>
          <w:lang w:val="en-GB"/>
        </w:rPr>
        <w:t>Research equipment: The Institute has capital research equipment whose current value was estimated at 870.000 euro (the purchase value was 1</w:t>
      </w:r>
      <w:r>
        <w:rPr>
          <w:lang w:val="en-GB"/>
        </w:rPr>
        <w:t>.</w:t>
      </w:r>
      <w:r w:rsidRPr="008463F3">
        <w:rPr>
          <w:lang w:val="en-GB"/>
        </w:rPr>
        <w:t>2 mil euros). The list of single capital research equipment worth over 50.000 euros is provided in Appendix 1.</w:t>
      </w:r>
    </w:p>
    <w:p w14:paraId="41A4C8BD" w14:textId="77777777" w:rsidR="007947BF" w:rsidRPr="008463F3" w:rsidRDefault="007947BF" w:rsidP="007947BF">
      <w:pPr>
        <w:jc w:val="both"/>
        <w:rPr>
          <w:lang w:val="en-GB"/>
        </w:rPr>
      </w:pPr>
    </w:p>
    <w:p w14:paraId="69B5D432" w14:textId="77777777" w:rsidR="007947BF" w:rsidRPr="008463F3" w:rsidRDefault="007947BF" w:rsidP="007947BF">
      <w:pPr>
        <w:pStyle w:val="Heading3"/>
        <w:spacing w:after="240"/>
        <w:rPr>
          <w:rFonts w:asciiTheme="minorHAnsi" w:hAnsiTheme="minorHAnsi"/>
          <w:lang w:val="en-GB"/>
        </w:rPr>
      </w:pPr>
      <w:bookmarkStart w:id="27" w:name="_Toc77322035"/>
      <w:r w:rsidRPr="008463F3">
        <w:rPr>
          <w:rFonts w:asciiTheme="minorHAnsi" w:hAnsiTheme="minorHAnsi"/>
          <w:lang w:val="en-GB"/>
        </w:rPr>
        <w:t>4.1.6. South East European University</w:t>
      </w:r>
      <w:bookmarkEnd w:id="27"/>
    </w:p>
    <w:p w14:paraId="7F9A84B0" w14:textId="77777777" w:rsidR="007947BF" w:rsidRPr="008463F3" w:rsidRDefault="007947BF" w:rsidP="007947BF">
      <w:pPr>
        <w:pStyle w:val="Heading5"/>
        <w:spacing w:after="240"/>
        <w:rPr>
          <w:rFonts w:asciiTheme="minorHAnsi" w:hAnsiTheme="minorHAnsi"/>
          <w:lang w:val="en-GB"/>
        </w:rPr>
      </w:pPr>
      <w:r w:rsidRPr="008463F3">
        <w:rPr>
          <w:rFonts w:asciiTheme="minorHAnsi" w:hAnsiTheme="minorHAnsi"/>
          <w:lang w:val="en-GB"/>
        </w:rPr>
        <w:t xml:space="preserve">Max van der </w:t>
      </w:r>
      <w:proofErr w:type="spellStart"/>
      <w:r w:rsidRPr="008463F3">
        <w:rPr>
          <w:rFonts w:asciiTheme="minorHAnsi" w:hAnsiTheme="minorHAnsi"/>
          <w:lang w:val="en-GB"/>
        </w:rPr>
        <w:t>Stoel</w:t>
      </w:r>
      <w:proofErr w:type="spellEnd"/>
      <w:r w:rsidRPr="008463F3">
        <w:rPr>
          <w:rFonts w:asciiTheme="minorHAnsi" w:hAnsiTheme="minorHAnsi"/>
          <w:lang w:val="en-GB"/>
        </w:rPr>
        <w:t xml:space="preserve"> Institute</w:t>
      </w:r>
    </w:p>
    <w:p w14:paraId="65E13DCF" w14:textId="77777777" w:rsidR="007947BF" w:rsidRPr="008463F3" w:rsidRDefault="007947BF" w:rsidP="007947BF">
      <w:pPr>
        <w:spacing w:after="0"/>
        <w:jc w:val="both"/>
        <w:rPr>
          <w:lang w:val="en-GB"/>
        </w:rPr>
      </w:pPr>
      <w:r w:rsidRPr="008463F3">
        <w:rPr>
          <w:lang w:val="en-GB"/>
        </w:rPr>
        <w:t xml:space="preserve">Max van der </w:t>
      </w:r>
      <w:proofErr w:type="spellStart"/>
      <w:r w:rsidRPr="008463F3">
        <w:rPr>
          <w:lang w:val="en-GB"/>
        </w:rPr>
        <w:t>Stoel</w:t>
      </w:r>
      <w:proofErr w:type="spellEnd"/>
      <w:r w:rsidRPr="008463F3">
        <w:rPr>
          <w:lang w:val="en-GB"/>
        </w:rPr>
        <w:t xml:space="preserve"> Institute (MVDSI) is a scientific institute within South East European University focus</w:t>
      </w:r>
      <w:r>
        <w:rPr>
          <w:lang w:val="en-GB"/>
        </w:rPr>
        <w:t>ed</w:t>
      </w:r>
      <w:r w:rsidRPr="008463F3">
        <w:rPr>
          <w:lang w:val="en-GB"/>
        </w:rPr>
        <w:t xml:space="preserve"> on inter-disciplinary fields of social sciences and information and communication technologies. In terms of the research infrastructure, there are three main laboratories organised within the Max van der </w:t>
      </w:r>
      <w:proofErr w:type="spellStart"/>
      <w:r w:rsidRPr="008463F3">
        <w:rPr>
          <w:lang w:val="en-GB"/>
        </w:rPr>
        <w:t>Stoel</w:t>
      </w:r>
      <w:proofErr w:type="spellEnd"/>
      <w:r w:rsidRPr="008463F3">
        <w:rPr>
          <w:lang w:val="en-GB"/>
        </w:rPr>
        <w:t xml:space="preserve"> Institute: </w:t>
      </w:r>
      <w:r>
        <w:rPr>
          <w:lang w:val="en-GB"/>
        </w:rPr>
        <w:t>L</w:t>
      </w:r>
      <w:r w:rsidRPr="008463F3">
        <w:rPr>
          <w:lang w:val="en-GB"/>
        </w:rPr>
        <w:t xml:space="preserve">aboratory for Distributed Systems and Data Science Group (DSG), </w:t>
      </w:r>
      <w:r>
        <w:rPr>
          <w:lang w:val="en-GB"/>
        </w:rPr>
        <w:t>L</w:t>
      </w:r>
      <w:r w:rsidRPr="008463F3">
        <w:rPr>
          <w:lang w:val="en-GB"/>
        </w:rPr>
        <w:t>aboratory for Environment and Health Group (EHG) and the Virtual and Augmented Reality Lab.</w:t>
      </w:r>
    </w:p>
    <w:p w14:paraId="0D0D215E" w14:textId="77777777" w:rsidR="007947BF" w:rsidRPr="008463F3" w:rsidRDefault="007947BF" w:rsidP="007947BF">
      <w:pPr>
        <w:pStyle w:val="ListParagraph"/>
        <w:numPr>
          <w:ilvl w:val="0"/>
          <w:numId w:val="35"/>
        </w:numPr>
        <w:pBdr>
          <w:top w:val="nil"/>
          <w:left w:val="nil"/>
          <w:bottom w:val="nil"/>
          <w:right w:val="nil"/>
          <w:between w:val="nil"/>
        </w:pBdr>
        <w:jc w:val="both"/>
        <w:rPr>
          <w:rFonts w:eastAsia="Calibri" w:cs="Calibri"/>
          <w:lang w:val="en-GB"/>
        </w:rPr>
      </w:pPr>
      <w:r w:rsidRPr="008463F3">
        <w:rPr>
          <w:rFonts w:eastAsia="Calibri" w:cs="Calibri"/>
          <w:lang w:val="en-GB"/>
        </w:rPr>
        <w:t xml:space="preserve">DSG is equipped with wireless mesh network testbed for research purposes. The main services provided to research infrastructure users are: Internet </w:t>
      </w:r>
      <w:r>
        <w:rPr>
          <w:rFonts w:eastAsia="Calibri" w:cs="Calibri"/>
          <w:lang w:val="en-GB"/>
        </w:rPr>
        <w:t>a</w:t>
      </w:r>
      <w:r w:rsidRPr="008463F3">
        <w:rPr>
          <w:rFonts w:eastAsia="Calibri" w:cs="Calibri"/>
          <w:lang w:val="en-GB"/>
        </w:rPr>
        <w:t xml:space="preserve">ccess through wireless networks, experimentation in a real production wireless mesh network and prototype testing and deployment. </w:t>
      </w:r>
    </w:p>
    <w:p w14:paraId="4BC5CD98" w14:textId="77777777" w:rsidR="007947BF" w:rsidRPr="008463F3" w:rsidRDefault="007947BF" w:rsidP="007947BF">
      <w:pPr>
        <w:pStyle w:val="ListParagraph"/>
        <w:numPr>
          <w:ilvl w:val="0"/>
          <w:numId w:val="35"/>
        </w:numPr>
        <w:jc w:val="both"/>
        <w:rPr>
          <w:rFonts w:eastAsia="Calibri" w:cs="Calibri"/>
          <w:lang w:val="en-GB"/>
        </w:rPr>
      </w:pPr>
      <w:r w:rsidRPr="008463F3">
        <w:rPr>
          <w:rFonts w:eastAsia="Calibri" w:cs="Calibri"/>
          <w:lang w:val="en-GB"/>
        </w:rPr>
        <w:t xml:space="preserve">EHG is equipped with low emissions sustainable testbed. The actual testbed in production consist of solar photovoltaic plants (100 </w:t>
      </w:r>
      <w:proofErr w:type="spellStart"/>
      <w:r w:rsidRPr="008463F3">
        <w:rPr>
          <w:rFonts w:eastAsia="Calibri" w:cs="Calibri"/>
          <w:lang w:val="en-GB"/>
        </w:rPr>
        <w:t>kWp</w:t>
      </w:r>
      <w:proofErr w:type="spellEnd"/>
      <w:r w:rsidRPr="008463F3">
        <w:rPr>
          <w:rFonts w:eastAsia="Calibri" w:cs="Calibri"/>
          <w:lang w:val="en-GB"/>
        </w:rPr>
        <w:t xml:space="preserve"> and 15 </w:t>
      </w:r>
      <w:proofErr w:type="spellStart"/>
      <w:r w:rsidRPr="008463F3">
        <w:rPr>
          <w:rFonts w:eastAsia="Calibri" w:cs="Calibri"/>
          <w:lang w:val="en-GB"/>
        </w:rPr>
        <w:t>kWp</w:t>
      </w:r>
      <w:proofErr w:type="spellEnd"/>
      <w:r w:rsidRPr="008463F3">
        <w:rPr>
          <w:rFonts w:eastAsia="Calibri" w:cs="Calibri"/>
          <w:lang w:val="en-GB"/>
        </w:rPr>
        <w:t xml:space="preserve">), controlled mechanical ventilation system, geothermal heat pump, solar thermal system and data monitoring system for evaluation of energy performance. </w:t>
      </w:r>
    </w:p>
    <w:p w14:paraId="7E6D0DC4" w14:textId="77777777" w:rsidR="007947BF" w:rsidRPr="008463F3" w:rsidRDefault="007947BF" w:rsidP="007947BF">
      <w:pPr>
        <w:pStyle w:val="ListParagraph"/>
        <w:numPr>
          <w:ilvl w:val="0"/>
          <w:numId w:val="35"/>
        </w:numPr>
        <w:pBdr>
          <w:top w:val="nil"/>
          <w:left w:val="nil"/>
          <w:bottom w:val="nil"/>
          <w:right w:val="nil"/>
          <w:between w:val="nil"/>
        </w:pBdr>
        <w:jc w:val="both"/>
        <w:rPr>
          <w:rFonts w:eastAsia="Calibri" w:cs="Calibri"/>
          <w:color w:val="000000"/>
          <w:lang w:val="en-GB"/>
        </w:rPr>
      </w:pPr>
      <w:r w:rsidRPr="008463F3">
        <w:rPr>
          <w:rFonts w:eastAsia="Calibri" w:cs="Calibri"/>
          <w:lang w:val="en-GB"/>
        </w:rPr>
        <w:t xml:space="preserve">Virtual and Augmented Reality Lab: The </w:t>
      </w:r>
      <w:r>
        <w:rPr>
          <w:rFonts w:eastAsia="Calibri" w:cs="Calibri"/>
          <w:lang w:val="en-GB"/>
        </w:rPr>
        <w:t>L</w:t>
      </w:r>
      <w:r w:rsidRPr="008463F3">
        <w:rPr>
          <w:rFonts w:eastAsia="Calibri" w:cs="Calibri"/>
          <w:lang w:val="en-GB"/>
        </w:rPr>
        <w:t xml:space="preserve">aboratory is used to train and create the necessary staff for institutions and other stakeholders dealing with crisis management. The </w:t>
      </w:r>
      <w:r>
        <w:rPr>
          <w:rFonts w:eastAsia="Calibri" w:cs="Calibri"/>
          <w:lang w:val="en-GB"/>
        </w:rPr>
        <w:t>L</w:t>
      </w:r>
      <w:r w:rsidRPr="008463F3">
        <w:rPr>
          <w:rFonts w:eastAsia="Calibri" w:cs="Calibri"/>
          <w:lang w:val="en-GB"/>
        </w:rPr>
        <w:t>aboratory is also at the service of the SEEU community, which can be used during the teaching and research process.</w:t>
      </w:r>
    </w:p>
    <w:p w14:paraId="38B61855" w14:textId="77777777" w:rsidR="007947BF" w:rsidRPr="008463F3" w:rsidRDefault="007947BF" w:rsidP="007947BF">
      <w:pPr>
        <w:jc w:val="both"/>
        <w:rPr>
          <w:lang w:val="en-GB"/>
        </w:rPr>
      </w:pPr>
      <w:r w:rsidRPr="008463F3">
        <w:rPr>
          <w:lang w:val="en-GB"/>
        </w:rPr>
        <w:t>Research equipment: The Institute does not have capital research equipment worth over 50.000 euros. It is equipped with small research instruments of total value of 18.500 euros. Research instruments are intended for undergraduate, MSc and PhD students. Further, the testbeds from DSG and EHG groups are open to external users, which are enabled through participation in EU/international programmes.</w:t>
      </w:r>
    </w:p>
    <w:p w14:paraId="3CD03FBC" w14:textId="77777777" w:rsidR="007947BF" w:rsidRPr="008463F3" w:rsidRDefault="007947BF" w:rsidP="007947BF">
      <w:pPr>
        <w:pStyle w:val="Heading5"/>
        <w:spacing w:after="240"/>
        <w:rPr>
          <w:lang w:val="en-GB"/>
        </w:rPr>
      </w:pPr>
      <w:r w:rsidRPr="008463F3">
        <w:rPr>
          <w:lang w:val="en-GB"/>
        </w:rPr>
        <w:t xml:space="preserve">Institute for Environment and Health (IEH) </w:t>
      </w:r>
    </w:p>
    <w:p w14:paraId="1C29D462" w14:textId="77777777" w:rsidR="007947BF" w:rsidRPr="008463F3" w:rsidRDefault="007947BF" w:rsidP="007947BF">
      <w:pPr>
        <w:jc w:val="both"/>
        <w:rPr>
          <w:lang w:val="en-GB"/>
        </w:rPr>
      </w:pPr>
      <w:r w:rsidRPr="008463F3">
        <w:rPr>
          <w:lang w:val="en-GB"/>
        </w:rPr>
        <w:t xml:space="preserve">The IEH focuses primarily on matters involving health maintenance and ecological stewardship. The mission of the IEH at SEEU is to develop technical and scientific information related to environmental topics, and </w:t>
      </w:r>
      <w:r>
        <w:rPr>
          <w:lang w:val="en-GB"/>
        </w:rPr>
        <w:t>provide</w:t>
      </w:r>
      <w:r w:rsidRPr="008463F3">
        <w:rPr>
          <w:lang w:val="en-GB"/>
        </w:rPr>
        <w:t xml:space="preserve"> training of human resources in order to inform the society on environmental and health </w:t>
      </w:r>
      <w:r>
        <w:rPr>
          <w:lang w:val="en-GB"/>
        </w:rPr>
        <w:t>matters</w:t>
      </w:r>
      <w:r w:rsidRPr="008463F3">
        <w:rPr>
          <w:lang w:val="en-GB"/>
        </w:rPr>
        <w:t>. In addition, providing support for decision</w:t>
      </w:r>
      <w:r>
        <w:rPr>
          <w:lang w:val="en-GB"/>
        </w:rPr>
        <w:t>-</w:t>
      </w:r>
      <w:r w:rsidRPr="008463F3">
        <w:rPr>
          <w:lang w:val="en-GB"/>
        </w:rPr>
        <w:t>making processes, encouragement of environmental protection, and promotion of sustainability during usages of natural resources are key responsibilities. The IEH leads the environmental efficiency program</w:t>
      </w:r>
      <w:r>
        <w:rPr>
          <w:lang w:val="en-GB"/>
        </w:rPr>
        <w:t>me</w:t>
      </w:r>
      <w:r w:rsidRPr="008463F3">
        <w:rPr>
          <w:lang w:val="en-GB"/>
        </w:rPr>
        <w:t xml:space="preserve"> at SEEU and is </w:t>
      </w:r>
      <w:r>
        <w:rPr>
          <w:lang w:val="en-GB"/>
        </w:rPr>
        <w:t xml:space="preserve">a </w:t>
      </w:r>
      <w:r w:rsidRPr="008463F3">
        <w:rPr>
          <w:lang w:val="en-GB"/>
        </w:rPr>
        <w:t>promoter and operator of the green energy initiative through the Low Emission Sustainable Campus Testbed.</w:t>
      </w:r>
    </w:p>
    <w:p w14:paraId="0BC57937" w14:textId="77777777" w:rsidR="007947BF" w:rsidRPr="008463F3" w:rsidRDefault="007947BF" w:rsidP="007947BF">
      <w:pPr>
        <w:jc w:val="both"/>
        <w:rPr>
          <w:lang w:val="en-GB"/>
        </w:rPr>
      </w:pPr>
      <w:r w:rsidRPr="008463F3">
        <w:rPr>
          <w:lang w:val="en-GB"/>
        </w:rPr>
        <w:t>Service provided: IEH tes</w:t>
      </w:r>
      <w:r>
        <w:rPr>
          <w:lang w:val="en-GB"/>
        </w:rPr>
        <w:t>t</w:t>
      </w:r>
      <w:r w:rsidRPr="008463F3">
        <w:rPr>
          <w:lang w:val="en-GB"/>
        </w:rPr>
        <w:t xml:space="preserve">bed in production is distributed within the university campus (29,000 m2) and consist of solar photovoltaic plants (100 </w:t>
      </w:r>
      <w:proofErr w:type="spellStart"/>
      <w:r w:rsidRPr="008463F3">
        <w:rPr>
          <w:lang w:val="en-GB"/>
        </w:rPr>
        <w:t>kWp</w:t>
      </w:r>
      <w:proofErr w:type="spellEnd"/>
      <w:r w:rsidRPr="008463F3">
        <w:rPr>
          <w:lang w:val="en-GB"/>
        </w:rPr>
        <w:t xml:space="preserve"> and 15 </w:t>
      </w:r>
      <w:proofErr w:type="spellStart"/>
      <w:r w:rsidRPr="008463F3">
        <w:rPr>
          <w:lang w:val="en-GB"/>
        </w:rPr>
        <w:t>kWp</w:t>
      </w:r>
      <w:proofErr w:type="spellEnd"/>
      <w:r w:rsidRPr="008463F3">
        <w:rPr>
          <w:lang w:val="en-GB"/>
        </w:rPr>
        <w:t>), controlled mechanical ventilation system, geothermal heat pumps, solar thermal system and data monitoring system (including 6 smart meters) for the evaluation of energy performance (production and consumption). The main service provided is energy production and energy performance evaluation.</w:t>
      </w:r>
    </w:p>
    <w:p w14:paraId="31C7DCA4" w14:textId="77777777" w:rsidR="007947BF" w:rsidRPr="008463F3" w:rsidRDefault="007947BF" w:rsidP="007947BF">
      <w:pPr>
        <w:jc w:val="both"/>
        <w:rPr>
          <w:lang w:val="en-GB"/>
        </w:rPr>
      </w:pPr>
      <w:r w:rsidRPr="008463F3">
        <w:rPr>
          <w:lang w:val="en-GB"/>
        </w:rPr>
        <w:t>Total purchase value or research equipment: 70.000 Euros</w:t>
      </w:r>
    </w:p>
    <w:p w14:paraId="5B68591E" w14:textId="77777777" w:rsidR="007947BF" w:rsidRPr="008463F3" w:rsidRDefault="007947BF" w:rsidP="007947BF">
      <w:pPr>
        <w:jc w:val="both"/>
        <w:rPr>
          <w:lang w:val="en-GB"/>
        </w:rPr>
      </w:pPr>
    </w:p>
    <w:p w14:paraId="4D2FB00F" w14:textId="77777777" w:rsidR="007947BF" w:rsidRPr="008463F3" w:rsidRDefault="007947BF" w:rsidP="007947BF">
      <w:pPr>
        <w:pStyle w:val="Heading4"/>
        <w:spacing w:after="240"/>
        <w:rPr>
          <w:shd w:val="clear" w:color="auto" w:fill="FFFFFF"/>
          <w:lang w:val="en-GB"/>
        </w:rPr>
      </w:pPr>
      <w:bookmarkStart w:id="28" w:name="_Toc61096331"/>
      <w:r w:rsidRPr="008463F3">
        <w:rPr>
          <w:shd w:val="clear" w:color="auto" w:fill="FFFFFF"/>
          <w:lang w:val="en-GB"/>
        </w:rPr>
        <w:t xml:space="preserve">4.1.7. Macedonian Academy of Sciences and Arts </w:t>
      </w:r>
      <w:r w:rsidRPr="00DC6CD6">
        <w:rPr>
          <w:rFonts w:asciiTheme="minorHAnsi" w:hAnsiTheme="minorHAnsi"/>
          <w:lang w:val="en-GB"/>
        </w:rPr>
        <w:t>(MASA)</w:t>
      </w:r>
    </w:p>
    <w:p w14:paraId="39821953" w14:textId="77777777" w:rsidR="007947BF" w:rsidRPr="00C864CD" w:rsidRDefault="007947BF" w:rsidP="007947BF">
      <w:pPr>
        <w:pStyle w:val="Heading5"/>
        <w:spacing w:after="240"/>
      </w:pPr>
      <w:r w:rsidRPr="00C864CD">
        <w:t xml:space="preserve">Georgi D Efremov Research Centre for Genetic Engineering and Biotechnology </w:t>
      </w:r>
    </w:p>
    <w:p w14:paraId="4F1251E1" w14:textId="77777777" w:rsidR="007947BF" w:rsidRPr="00C864CD" w:rsidRDefault="007947BF" w:rsidP="007947BF">
      <w:pPr>
        <w:jc w:val="both"/>
        <w:rPr>
          <w:shd w:val="clear" w:color="auto" w:fill="FFFFFF"/>
          <w:lang w:val="en-GB"/>
        </w:rPr>
      </w:pPr>
      <w:r w:rsidRPr="00C864CD">
        <w:rPr>
          <w:shd w:val="clear" w:color="auto" w:fill="FFFFFF"/>
          <w:lang w:val="en-GB"/>
        </w:rPr>
        <w:t xml:space="preserve">Georgi D </w:t>
      </w:r>
      <w:proofErr w:type="spellStart"/>
      <w:r w:rsidRPr="00C864CD">
        <w:rPr>
          <w:shd w:val="clear" w:color="auto" w:fill="FFFFFF"/>
          <w:lang w:val="en-GB"/>
        </w:rPr>
        <w:t>Efremov</w:t>
      </w:r>
      <w:proofErr w:type="spellEnd"/>
      <w:r w:rsidRPr="00C864CD">
        <w:rPr>
          <w:shd w:val="clear" w:color="auto" w:fill="FFFFFF"/>
          <w:lang w:val="en-GB"/>
        </w:rPr>
        <w:t xml:space="preserve"> Research Centre for Genetic Engineering and Biotechnology (RCGEB) was founded as a research unit of MASA in 1986 with the main goal of advancing scientific knowledge in the field of protein chemistry, molecular biology, genetic engineering and biotechnology through research and practical training of scientists and postgraduate students. RCGEB - MASA was one of the first institutions in former Yugoslavia to introduce DNA technologies and was for many years at the forefront of the research, application and education in these disciplines in the region. </w:t>
      </w:r>
    </w:p>
    <w:p w14:paraId="0CDBFE95" w14:textId="77777777" w:rsidR="007947BF" w:rsidRPr="00C864CD" w:rsidRDefault="007947BF" w:rsidP="007947BF">
      <w:pPr>
        <w:jc w:val="both"/>
        <w:rPr>
          <w:shd w:val="clear" w:color="auto" w:fill="FFFFFF"/>
          <w:lang w:val="en-GB"/>
        </w:rPr>
      </w:pPr>
      <w:r w:rsidRPr="00C864CD">
        <w:rPr>
          <w:shd w:val="clear" w:color="auto" w:fill="FFFFFF"/>
          <w:lang w:val="en-GB"/>
        </w:rPr>
        <w:t>Very soon after its foundation, RCGEB started using the recombinant DNA technologies in the diagnosis and prevention of inherited, malignant and infectious diseases, and in forensic medicine. Over all these years, RCGEB researchers have been very active in the field of “translational medicine”, and contributed to the introduction and implementation of many molecular methods that are now part of the routine work-up of patients with different genetic diseases. With a continuous support of the Government, as well as the infrastructural grant from the European Commission (REGPOT project, 2009-2012) and numerous international and national grants, RCGEB has managed to consistently upgrade the infrastructure with contemporary equipment.</w:t>
      </w:r>
    </w:p>
    <w:p w14:paraId="6EC2456F" w14:textId="77777777" w:rsidR="007947BF" w:rsidRPr="00C864CD" w:rsidRDefault="007947BF" w:rsidP="007947BF">
      <w:pPr>
        <w:jc w:val="both"/>
        <w:rPr>
          <w:shd w:val="clear" w:color="auto" w:fill="FFFFFF"/>
          <w:lang w:val="en-GB"/>
        </w:rPr>
      </w:pPr>
      <w:r w:rsidRPr="00C864CD">
        <w:rPr>
          <w:shd w:val="clear" w:color="auto" w:fill="FFFFFF"/>
          <w:lang w:val="en-GB"/>
        </w:rPr>
        <w:t>At present, RCGEB is the major research, diagnostic and educational facility in the fields of molecular medicine, molecular diagnostics and “omics” technologies which have acquired national, regional, and international recognition. RCGEB is one of the few institutions from North Macedonia that has met the criteria for the Centre of Excellence due to its esteemed scientific and educational record in life sciences.</w:t>
      </w:r>
    </w:p>
    <w:p w14:paraId="2DEEB314" w14:textId="77777777" w:rsidR="007947BF" w:rsidRPr="00C864CD" w:rsidRDefault="007947BF" w:rsidP="007947BF">
      <w:pPr>
        <w:spacing w:after="0"/>
        <w:jc w:val="both"/>
        <w:rPr>
          <w:shd w:val="clear" w:color="auto" w:fill="FFFFFF"/>
          <w:lang w:val="en-GB"/>
        </w:rPr>
      </w:pPr>
      <w:r w:rsidRPr="00C864CD">
        <w:rPr>
          <w:shd w:val="clear" w:color="auto" w:fill="FFFFFF"/>
          <w:lang w:val="en-GB"/>
        </w:rPr>
        <w:t>Services provided:</w:t>
      </w:r>
      <w:r w:rsidRPr="00C864CD">
        <w:t xml:space="preserve"> </w:t>
      </w:r>
      <w:r w:rsidRPr="00C864CD">
        <w:rPr>
          <w:shd w:val="clear" w:color="auto" w:fill="FFFFFF"/>
          <w:lang w:val="en-GB"/>
        </w:rPr>
        <w:t>The services provided to research infrastructure users include the following:</w:t>
      </w:r>
    </w:p>
    <w:p w14:paraId="3958D491" w14:textId="77777777" w:rsidR="007947BF" w:rsidRPr="00C864CD" w:rsidRDefault="007947BF" w:rsidP="007947BF">
      <w:pPr>
        <w:pStyle w:val="ListParagraph"/>
        <w:numPr>
          <w:ilvl w:val="0"/>
          <w:numId w:val="51"/>
        </w:numPr>
        <w:spacing w:after="0"/>
        <w:ind w:left="714" w:hanging="357"/>
        <w:jc w:val="both"/>
        <w:rPr>
          <w:shd w:val="clear" w:color="auto" w:fill="FFFFFF"/>
          <w:lang w:val="en-GB"/>
        </w:rPr>
      </w:pPr>
      <w:r w:rsidRPr="00C864CD">
        <w:rPr>
          <w:shd w:val="clear" w:color="auto" w:fill="FFFFFF"/>
          <w:lang w:val="en-GB"/>
        </w:rPr>
        <w:t>Research</w:t>
      </w:r>
    </w:p>
    <w:p w14:paraId="1FDF9166" w14:textId="77777777" w:rsidR="007947BF" w:rsidRPr="00C864CD" w:rsidRDefault="007947BF" w:rsidP="007947BF">
      <w:pPr>
        <w:pStyle w:val="ListParagraph"/>
        <w:numPr>
          <w:ilvl w:val="1"/>
          <w:numId w:val="51"/>
        </w:numPr>
        <w:spacing w:after="0"/>
        <w:ind w:left="1077" w:hanging="357"/>
        <w:jc w:val="both"/>
        <w:rPr>
          <w:shd w:val="clear" w:color="auto" w:fill="FFFFFF"/>
          <w:lang w:val="en-GB"/>
        </w:rPr>
      </w:pPr>
      <w:r w:rsidRPr="00C864CD">
        <w:rPr>
          <w:shd w:val="clear" w:color="auto" w:fill="FFFFFF"/>
          <w:lang w:val="en-GB"/>
        </w:rPr>
        <w:t xml:space="preserve">Comprehensive technological platforms for research projects in the field of molecular genetics and genomics, including bioinformatics of data from high throughput NGS analyses </w:t>
      </w:r>
    </w:p>
    <w:p w14:paraId="5ED9BDE9" w14:textId="77777777" w:rsidR="007947BF" w:rsidRPr="00C864CD" w:rsidRDefault="007947BF" w:rsidP="007947BF">
      <w:pPr>
        <w:pStyle w:val="ListParagraph"/>
        <w:numPr>
          <w:ilvl w:val="1"/>
          <w:numId w:val="51"/>
        </w:numPr>
        <w:spacing w:after="0"/>
        <w:ind w:left="1077" w:hanging="357"/>
        <w:jc w:val="both"/>
        <w:rPr>
          <w:shd w:val="clear" w:color="auto" w:fill="FFFFFF"/>
          <w:lang w:val="en-GB"/>
        </w:rPr>
      </w:pPr>
      <w:r w:rsidRPr="00C864CD">
        <w:rPr>
          <w:shd w:val="clear" w:color="auto" w:fill="FFFFFF"/>
          <w:lang w:val="en-GB"/>
        </w:rPr>
        <w:t xml:space="preserve">Technological platform for research projects in the field of protein chemistry and high throughput proteomics (including bioinformatics of data from high throughput proteomics platforms) </w:t>
      </w:r>
    </w:p>
    <w:p w14:paraId="625774E6" w14:textId="77777777" w:rsidR="007947BF" w:rsidRPr="00C864CD" w:rsidRDefault="007947BF" w:rsidP="007947BF">
      <w:pPr>
        <w:pStyle w:val="ListParagraph"/>
        <w:numPr>
          <w:ilvl w:val="1"/>
          <w:numId w:val="51"/>
        </w:numPr>
        <w:spacing w:after="0"/>
        <w:ind w:left="1077" w:hanging="357"/>
        <w:jc w:val="both"/>
        <w:rPr>
          <w:shd w:val="clear" w:color="auto" w:fill="FFFFFF"/>
          <w:lang w:val="en-GB"/>
        </w:rPr>
      </w:pPr>
      <w:r w:rsidRPr="00C864CD">
        <w:rPr>
          <w:shd w:val="clear" w:color="auto" w:fill="FFFFFF"/>
          <w:lang w:val="en-GB"/>
        </w:rPr>
        <w:t>Extensive know-how in the preparation and implementation of research projects in molecular biosciences</w:t>
      </w:r>
    </w:p>
    <w:p w14:paraId="502C92EA" w14:textId="77777777" w:rsidR="007947BF" w:rsidRPr="00C864CD" w:rsidRDefault="007947BF" w:rsidP="007947BF">
      <w:pPr>
        <w:pStyle w:val="ListParagraph"/>
        <w:numPr>
          <w:ilvl w:val="0"/>
          <w:numId w:val="51"/>
        </w:numPr>
        <w:spacing w:after="0"/>
        <w:jc w:val="both"/>
        <w:rPr>
          <w:shd w:val="clear" w:color="auto" w:fill="FFFFFF"/>
          <w:lang w:val="en-GB"/>
        </w:rPr>
      </w:pPr>
      <w:r w:rsidRPr="00C864CD">
        <w:rPr>
          <w:shd w:val="clear" w:color="auto" w:fill="FFFFFF"/>
          <w:lang w:val="en-GB"/>
        </w:rPr>
        <w:t>Diagnostics</w:t>
      </w:r>
    </w:p>
    <w:p w14:paraId="590D0268" w14:textId="77777777" w:rsidR="007947BF" w:rsidRPr="00C864CD" w:rsidRDefault="007947BF" w:rsidP="007947BF">
      <w:pPr>
        <w:pStyle w:val="ListParagraph"/>
        <w:numPr>
          <w:ilvl w:val="1"/>
          <w:numId w:val="51"/>
        </w:numPr>
        <w:spacing w:after="0"/>
        <w:ind w:left="1077" w:hanging="357"/>
        <w:jc w:val="both"/>
        <w:rPr>
          <w:shd w:val="clear" w:color="auto" w:fill="FFFFFF"/>
          <w:lang w:val="en-GB"/>
        </w:rPr>
      </w:pPr>
      <w:r w:rsidRPr="00C864CD">
        <w:rPr>
          <w:shd w:val="clear" w:color="auto" w:fill="FFFFFF"/>
          <w:lang w:val="en-GB"/>
        </w:rPr>
        <w:t>Diagnostic services for molecular genetics (national reference centre for molecular diagnostics of inherited, malignant and infectious diseases)</w:t>
      </w:r>
    </w:p>
    <w:p w14:paraId="63224318" w14:textId="77777777" w:rsidR="007947BF" w:rsidRPr="00C864CD" w:rsidRDefault="007947BF" w:rsidP="007947BF">
      <w:pPr>
        <w:pStyle w:val="ListParagraph"/>
        <w:numPr>
          <w:ilvl w:val="0"/>
          <w:numId w:val="51"/>
        </w:numPr>
        <w:spacing w:after="0"/>
        <w:jc w:val="both"/>
        <w:rPr>
          <w:shd w:val="clear" w:color="auto" w:fill="FFFFFF"/>
          <w:lang w:val="en-GB"/>
        </w:rPr>
      </w:pPr>
      <w:r w:rsidRPr="00C864CD">
        <w:rPr>
          <w:shd w:val="clear" w:color="auto" w:fill="FFFFFF"/>
          <w:lang w:val="en-GB"/>
        </w:rPr>
        <w:t>Education</w:t>
      </w:r>
    </w:p>
    <w:p w14:paraId="3474DE77" w14:textId="77777777" w:rsidR="007947BF" w:rsidRPr="00C864CD" w:rsidRDefault="007947BF" w:rsidP="007947BF">
      <w:pPr>
        <w:pStyle w:val="ListParagraph"/>
        <w:numPr>
          <w:ilvl w:val="1"/>
          <w:numId w:val="51"/>
        </w:numPr>
        <w:spacing w:after="0"/>
        <w:ind w:left="1077" w:hanging="357"/>
        <w:jc w:val="both"/>
        <w:rPr>
          <w:shd w:val="clear" w:color="auto" w:fill="FFFFFF"/>
          <w:lang w:val="en-GB"/>
        </w:rPr>
      </w:pPr>
      <w:r w:rsidRPr="00C864CD">
        <w:rPr>
          <w:shd w:val="clear" w:color="auto" w:fill="FFFFFF"/>
          <w:lang w:val="en-GB"/>
        </w:rPr>
        <w:t>Education in basic and advanced molecular genetics, genomics and proteomics analyses for graduate and postgraduate students and health care professionals from the economy and abroad</w:t>
      </w:r>
    </w:p>
    <w:p w14:paraId="0287408B" w14:textId="77777777" w:rsidR="007947BF" w:rsidRPr="00C864CD" w:rsidRDefault="007947BF" w:rsidP="007947BF">
      <w:pPr>
        <w:pStyle w:val="ListParagraph"/>
        <w:numPr>
          <w:ilvl w:val="0"/>
          <w:numId w:val="51"/>
        </w:numPr>
        <w:spacing w:after="0"/>
        <w:jc w:val="both"/>
        <w:rPr>
          <w:shd w:val="clear" w:color="auto" w:fill="FFFFFF"/>
          <w:lang w:val="en-GB"/>
        </w:rPr>
      </w:pPr>
      <w:r w:rsidRPr="00C864CD">
        <w:rPr>
          <w:shd w:val="clear" w:color="auto" w:fill="FFFFFF"/>
          <w:lang w:val="en-GB"/>
        </w:rPr>
        <w:t>Publishing</w:t>
      </w:r>
    </w:p>
    <w:p w14:paraId="19C3C8A6" w14:textId="77777777" w:rsidR="007947BF" w:rsidRPr="00C864CD" w:rsidRDefault="007947BF" w:rsidP="007947BF">
      <w:pPr>
        <w:pStyle w:val="ListParagraph"/>
        <w:numPr>
          <w:ilvl w:val="1"/>
          <w:numId w:val="51"/>
        </w:numPr>
        <w:spacing w:after="0"/>
        <w:ind w:left="1077" w:hanging="357"/>
        <w:jc w:val="both"/>
        <w:rPr>
          <w:shd w:val="clear" w:color="auto" w:fill="FFFFFF"/>
          <w:lang w:val="en-GB"/>
        </w:rPr>
      </w:pPr>
      <w:r w:rsidRPr="00C864CD">
        <w:rPr>
          <w:shd w:val="clear" w:color="auto" w:fill="FFFFFF"/>
          <w:lang w:val="en-GB"/>
        </w:rPr>
        <w:t>Editorial office and publisher of the Balkan Journal of Medical Genetics, an international journal (with IF) which publishes papers of scientists from the Balkan economises in the field of human genetics</w:t>
      </w:r>
    </w:p>
    <w:p w14:paraId="06F54BF9" w14:textId="77777777" w:rsidR="007947BF" w:rsidRPr="00C864CD" w:rsidRDefault="007947BF" w:rsidP="007947BF">
      <w:pPr>
        <w:jc w:val="both"/>
        <w:rPr>
          <w:shd w:val="clear" w:color="auto" w:fill="FFFFFF"/>
          <w:lang w:val="en-GB"/>
        </w:rPr>
      </w:pPr>
      <w:r w:rsidRPr="00C864CD">
        <w:rPr>
          <w:shd w:val="clear" w:color="auto" w:fill="FFFFFF"/>
          <w:lang w:val="en-GB"/>
        </w:rPr>
        <w:t xml:space="preserve">Research equipment: RCGEB has capital research equipment whose current value was estimated at 411.000 euro (the purchase value was 1.87 mil euros). The laboratories are equipped with a range of modern and sophisticated major equipment, such as a next generation sequencing platform, microarray platform, two genetic analysers, real time PCR, several thermal cyclers, capillary electrophoresis, automated nucleic acid extraction and tissue culture facilities in the genomic part and high definition </w:t>
      </w:r>
      <w:proofErr w:type="spellStart"/>
      <w:r w:rsidRPr="00C864CD">
        <w:rPr>
          <w:shd w:val="clear" w:color="auto" w:fill="FFFFFF"/>
          <w:lang w:val="en-GB"/>
        </w:rPr>
        <w:t>Synapt</w:t>
      </w:r>
      <w:proofErr w:type="spellEnd"/>
      <w:r w:rsidRPr="00C864CD">
        <w:rPr>
          <w:shd w:val="clear" w:color="auto" w:fill="FFFFFF"/>
          <w:lang w:val="en-GB"/>
        </w:rPr>
        <w:t xml:space="preserve"> G2-SI and MALDI-TOF/TOF mass spectrometers, amino acid analyser, HPLC, UPLC and 2D DIGE with high resolution image scanner in the proteomic part. The list of single capital research equipment worth over 50.000 euros is provided in Appendix 1.</w:t>
      </w:r>
    </w:p>
    <w:p w14:paraId="0B703466" w14:textId="77777777" w:rsidR="007947BF" w:rsidRPr="00C864CD" w:rsidRDefault="007947BF" w:rsidP="007947BF">
      <w:pPr>
        <w:jc w:val="both"/>
        <w:rPr>
          <w:shd w:val="clear" w:color="auto" w:fill="FFFFFF"/>
          <w:lang w:val="en-GB"/>
        </w:rPr>
      </w:pPr>
      <w:r w:rsidRPr="00C864CD">
        <w:rPr>
          <w:shd w:val="clear" w:color="auto" w:fill="FFFFFF"/>
          <w:lang w:val="en-GB"/>
        </w:rPr>
        <w:t>The updated equipment and infrastructure of the RCGEB will provide an opportunity for its integration into larger regional and EU research infrastructures</w:t>
      </w:r>
    </w:p>
    <w:p w14:paraId="6A96F595" w14:textId="77777777" w:rsidR="007947BF" w:rsidRPr="008463F3" w:rsidRDefault="007947BF" w:rsidP="007947BF">
      <w:pPr>
        <w:pStyle w:val="Heading5"/>
        <w:spacing w:after="240"/>
        <w:rPr>
          <w:shd w:val="clear" w:color="auto" w:fill="FFFFFF"/>
          <w:lang w:val="en-GB"/>
        </w:rPr>
      </w:pPr>
      <w:r w:rsidRPr="008463F3">
        <w:rPr>
          <w:shd w:val="clear" w:color="auto" w:fill="FFFFFF"/>
          <w:lang w:val="en-GB"/>
        </w:rPr>
        <w:t xml:space="preserve">Research Centre for Computer Science and Information Technologies </w:t>
      </w:r>
    </w:p>
    <w:p w14:paraId="3C584EBD" w14:textId="77777777" w:rsidR="007947BF" w:rsidRPr="008463F3" w:rsidRDefault="007947BF" w:rsidP="007947BF">
      <w:pPr>
        <w:jc w:val="both"/>
        <w:rPr>
          <w:shd w:val="clear" w:color="auto" w:fill="FFFFFF"/>
          <w:lang w:val="en-GB"/>
        </w:rPr>
      </w:pPr>
      <w:r w:rsidRPr="008463F3">
        <w:rPr>
          <w:shd w:val="clear" w:color="auto" w:fill="FFFFFF"/>
          <w:lang w:val="en-GB"/>
        </w:rPr>
        <w:t>Research Centre for Computer Science and Information Technologies at the Macedonian Academy of Sciences and Arts in Skopje has a laboratory with computers in which 10 researchers are working. The Centre maintains an IT cluster for collaborative computational neuroscience research in mental diseases led by New York State Psychiatric Institute at Columbia University. Within this continued research program</w:t>
      </w:r>
      <w:r>
        <w:rPr>
          <w:shd w:val="clear" w:color="auto" w:fill="FFFFFF"/>
          <w:lang w:val="en-GB"/>
        </w:rPr>
        <w:t>me</w:t>
      </w:r>
      <w:r w:rsidRPr="008463F3">
        <w:rPr>
          <w:shd w:val="clear" w:color="auto" w:fill="FFFFFF"/>
          <w:lang w:val="en-GB"/>
        </w:rPr>
        <w:t xml:space="preserve"> several lines of computational science are aim</w:t>
      </w:r>
      <w:r>
        <w:rPr>
          <w:shd w:val="clear" w:color="auto" w:fill="FFFFFF"/>
          <w:lang w:val="en-GB"/>
        </w:rPr>
        <w:t>ed</w:t>
      </w:r>
      <w:r w:rsidRPr="008463F3">
        <w:rPr>
          <w:shd w:val="clear" w:color="auto" w:fill="FFFFFF"/>
          <w:lang w:val="en-GB"/>
        </w:rPr>
        <w:t xml:space="preserve"> at detecting biomarkers of schizophrenia in triplet samples (schizophrenia, major depression, controls) from post-mortem brains. Machine learning and deep learning are used in image pre- and post-processing, structural modelling of white matter, as well as graphical models and other statistical descriptions of molecular expression data (RNA, DNA methylation, proteins) from human white matter. </w:t>
      </w:r>
    </w:p>
    <w:p w14:paraId="22D17AEF" w14:textId="77777777" w:rsidR="007947BF" w:rsidRPr="008463F3" w:rsidRDefault="007947BF" w:rsidP="007947BF">
      <w:pPr>
        <w:spacing w:after="0"/>
        <w:jc w:val="both"/>
        <w:rPr>
          <w:shd w:val="clear" w:color="auto" w:fill="FFFFFF"/>
          <w:lang w:val="en-GB"/>
        </w:rPr>
      </w:pPr>
      <w:r w:rsidRPr="008463F3">
        <w:rPr>
          <w:shd w:val="clear" w:color="auto" w:fill="FFFFFF"/>
          <w:lang w:val="en-GB"/>
        </w:rPr>
        <w:t>Services provided include:</w:t>
      </w:r>
    </w:p>
    <w:p w14:paraId="5965E73C" w14:textId="77777777" w:rsidR="007947BF" w:rsidRPr="008463F3" w:rsidRDefault="007947BF" w:rsidP="007947BF">
      <w:pPr>
        <w:pStyle w:val="ListParagraph"/>
        <w:numPr>
          <w:ilvl w:val="0"/>
          <w:numId w:val="49"/>
        </w:numPr>
        <w:rPr>
          <w:shd w:val="clear" w:color="auto" w:fill="FFFFFF"/>
          <w:lang w:val="en-GB"/>
        </w:rPr>
      </w:pPr>
      <w:r w:rsidRPr="008463F3">
        <w:rPr>
          <w:shd w:val="clear" w:color="auto" w:fill="FFFFFF"/>
          <w:lang w:val="en-GB"/>
        </w:rPr>
        <w:t>GPU-enabled SW development workstations</w:t>
      </w:r>
    </w:p>
    <w:p w14:paraId="3564BC6B" w14:textId="77777777" w:rsidR="007947BF" w:rsidRPr="008463F3" w:rsidRDefault="007947BF" w:rsidP="007947BF">
      <w:pPr>
        <w:pStyle w:val="ListParagraph"/>
        <w:numPr>
          <w:ilvl w:val="0"/>
          <w:numId w:val="49"/>
        </w:numPr>
        <w:rPr>
          <w:shd w:val="clear" w:color="auto" w:fill="FFFFFF"/>
          <w:lang w:val="en-GB"/>
        </w:rPr>
      </w:pPr>
      <w:r w:rsidRPr="008463F3">
        <w:rPr>
          <w:shd w:val="clear" w:color="auto" w:fill="FFFFFF"/>
          <w:lang w:val="en-GB"/>
        </w:rPr>
        <w:t>High-end workstations for image processing</w:t>
      </w:r>
    </w:p>
    <w:p w14:paraId="749D239E" w14:textId="77777777" w:rsidR="007947BF" w:rsidRPr="008463F3" w:rsidRDefault="007947BF" w:rsidP="007947BF">
      <w:pPr>
        <w:pStyle w:val="ListParagraph"/>
        <w:numPr>
          <w:ilvl w:val="0"/>
          <w:numId w:val="49"/>
        </w:numPr>
        <w:rPr>
          <w:shd w:val="clear" w:color="auto" w:fill="FFFFFF"/>
          <w:lang w:val="en-GB"/>
        </w:rPr>
      </w:pPr>
      <w:r w:rsidRPr="008463F3">
        <w:rPr>
          <w:shd w:val="clear" w:color="auto" w:fill="FFFFFF"/>
          <w:lang w:val="en-GB"/>
        </w:rPr>
        <w:t xml:space="preserve">Computational capacity on Intel-based PC servers </w:t>
      </w:r>
    </w:p>
    <w:p w14:paraId="4B6C60EE" w14:textId="77777777" w:rsidR="007947BF" w:rsidRPr="008463F3" w:rsidRDefault="007947BF" w:rsidP="007947BF">
      <w:pPr>
        <w:pStyle w:val="ListParagraph"/>
        <w:numPr>
          <w:ilvl w:val="0"/>
          <w:numId w:val="49"/>
        </w:numPr>
        <w:rPr>
          <w:shd w:val="clear" w:color="auto" w:fill="FFFFFF"/>
          <w:lang w:val="en-GB"/>
        </w:rPr>
      </w:pPr>
      <w:r w:rsidRPr="008463F3">
        <w:rPr>
          <w:shd w:val="clear" w:color="auto" w:fill="FFFFFF"/>
          <w:lang w:val="en-GB"/>
        </w:rPr>
        <w:t>Network storage ( &gt; 100 TB NAS-class storage)</w:t>
      </w:r>
    </w:p>
    <w:p w14:paraId="17CF601B" w14:textId="77777777" w:rsidR="007947BF" w:rsidRPr="008463F3" w:rsidRDefault="007947BF" w:rsidP="007947BF">
      <w:pPr>
        <w:pStyle w:val="ListParagraph"/>
        <w:numPr>
          <w:ilvl w:val="0"/>
          <w:numId w:val="49"/>
        </w:numPr>
        <w:rPr>
          <w:rFonts w:eastAsiaTheme="majorEastAsia" w:cstheme="majorBidi"/>
          <w:b/>
          <w:bCs/>
          <w:sz w:val="26"/>
          <w:szCs w:val="26"/>
          <w:shd w:val="clear" w:color="auto" w:fill="FFFFFF"/>
          <w:lang w:val="en-GB"/>
        </w:rPr>
      </w:pPr>
      <w:r w:rsidRPr="008463F3">
        <w:rPr>
          <w:shd w:val="clear" w:color="auto" w:fill="FFFFFF"/>
          <w:lang w:val="en-GB"/>
        </w:rPr>
        <w:t>VPN maintained remote-access</w:t>
      </w:r>
    </w:p>
    <w:p w14:paraId="09A6B6E4" w14:textId="77777777" w:rsidR="007947BF" w:rsidRPr="008463F3" w:rsidRDefault="007947BF" w:rsidP="007947BF">
      <w:pPr>
        <w:rPr>
          <w:rFonts w:eastAsiaTheme="majorEastAsia" w:cstheme="majorBidi"/>
          <w:b/>
          <w:bCs/>
          <w:sz w:val="26"/>
          <w:szCs w:val="26"/>
          <w:shd w:val="clear" w:color="auto" w:fill="FFFFFF"/>
          <w:lang w:val="en-GB"/>
        </w:rPr>
      </w:pPr>
      <w:r w:rsidRPr="008463F3">
        <w:rPr>
          <w:shd w:val="clear" w:color="auto" w:fill="FFFFFF"/>
          <w:lang w:val="en-GB"/>
        </w:rPr>
        <w:t xml:space="preserve">Research equipment: The </w:t>
      </w:r>
      <w:r>
        <w:rPr>
          <w:shd w:val="clear" w:color="auto" w:fill="FFFFFF"/>
          <w:lang w:val="en-GB"/>
        </w:rPr>
        <w:t>C</w:t>
      </w:r>
      <w:r w:rsidRPr="008463F3">
        <w:rPr>
          <w:shd w:val="clear" w:color="auto" w:fill="FFFFFF"/>
          <w:lang w:val="en-GB"/>
        </w:rPr>
        <w:t>entre does not have capital research equipment of high value. There is a server on which there are 10 processors with 6 cores, and a high number of logical processors. Also, there is a 50 TB memory space available. The total purchase value or research equipment is 22.800 euros.</w:t>
      </w:r>
      <w:r w:rsidRPr="008463F3">
        <w:rPr>
          <w:shd w:val="clear" w:color="auto" w:fill="FFFFFF"/>
          <w:lang w:val="en-GB"/>
        </w:rPr>
        <w:br w:type="page"/>
      </w:r>
    </w:p>
    <w:p w14:paraId="5BC2FC74" w14:textId="77777777" w:rsidR="007947BF" w:rsidRPr="008463F3" w:rsidRDefault="007947BF" w:rsidP="007947BF">
      <w:pPr>
        <w:pStyle w:val="Heading2"/>
        <w:spacing w:after="240"/>
        <w:rPr>
          <w:rFonts w:asciiTheme="minorHAnsi" w:hAnsiTheme="minorHAnsi"/>
          <w:shd w:val="clear" w:color="auto" w:fill="FFFFFF"/>
          <w:lang w:val="en-GB"/>
        </w:rPr>
      </w:pPr>
      <w:bookmarkStart w:id="29" w:name="_Toc77322036"/>
      <w:r w:rsidRPr="008463F3">
        <w:rPr>
          <w:rFonts w:asciiTheme="minorHAnsi" w:hAnsiTheme="minorHAnsi"/>
          <w:shd w:val="clear" w:color="auto" w:fill="FFFFFF"/>
          <w:lang w:val="en-GB"/>
        </w:rPr>
        <w:t>4.2. Access Policy</w:t>
      </w:r>
      <w:bookmarkEnd w:id="28"/>
      <w:bookmarkEnd w:id="29"/>
    </w:p>
    <w:p w14:paraId="625BCDBF" w14:textId="77777777" w:rsidR="007947BF" w:rsidRPr="008463F3" w:rsidRDefault="007947BF" w:rsidP="007947BF">
      <w:pPr>
        <w:jc w:val="both"/>
        <w:rPr>
          <w:lang w:val="en-GB"/>
        </w:rPr>
      </w:pPr>
      <w:r w:rsidRPr="008463F3">
        <w:rPr>
          <w:lang w:val="en-GB"/>
        </w:rPr>
        <w:t>Access refers to the legitimate and authorised physical, remote and virtual admission to, interactions with and use of research infrastructures and to services offered by research infrastructures to users</w:t>
      </w:r>
      <w:r w:rsidRPr="008463F3">
        <w:rPr>
          <w:rStyle w:val="FootnoteReference"/>
          <w:lang w:val="en-GB"/>
        </w:rPr>
        <w:footnoteReference w:id="6"/>
      </w:r>
      <w:r w:rsidRPr="008463F3">
        <w:rPr>
          <w:lang w:val="en-GB"/>
        </w:rPr>
        <w:t>. Access to research infrastructure is an important factor in creating greater synergies between researchers in a particular field of science and connecting business and research sectors in order to promote the development of research and innovation. Defining access policy to research infrastructure by research institutions is an important step towards internationali</w:t>
      </w:r>
      <w:r>
        <w:rPr>
          <w:lang w:val="en-GB"/>
        </w:rPr>
        <w:t>s</w:t>
      </w:r>
      <w:r w:rsidRPr="008463F3">
        <w:rPr>
          <w:lang w:val="en-GB"/>
        </w:rPr>
        <w:t xml:space="preserve">ation and strengthening scientific excellence, both within the institution itself and in the economy. </w:t>
      </w:r>
    </w:p>
    <w:p w14:paraId="76F10FE5" w14:textId="77777777" w:rsidR="007947BF" w:rsidRPr="008463F3" w:rsidRDefault="007947BF" w:rsidP="007947BF">
      <w:pPr>
        <w:jc w:val="both"/>
        <w:rPr>
          <w:lang w:val="en-GB"/>
        </w:rPr>
      </w:pPr>
      <w:r w:rsidRPr="008463F3">
        <w:rPr>
          <w:lang w:val="en-GB"/>
        </w:rPr>
        <w:t xml:space="preserve">Information on the access policy of research institutions/laboratories from North Macedonia obtained on the basis of completed questionnaires </w:t>
      </w:r>
      <w:r>
        <w:rPr>
          <w:lang w:val="en-GB"/>
        </w:rPr>
        <w:t>is</w:t>
      </w:r>
      <w:r w:rsidRPr="008463F3">
        <w:rPr>
          <w:lang w:val="en-GB"/>
        </w:rPr>
        <w:t xml:space="preserve"> presented in Table 3. It is evident that most research institutions/laboratories do not have an official access policy; however, they clearly define the internal procedures for accessing research equipment/facilities. </w:t>
      </w:r>
    </w:p>
    <w:p w14:paraId="18FBB988" w14:textId="77777777" w:rsidR="007947BF" w:rsidRPr="008463F3" w:rsidRDefault="007947BF" w:rsidP="007947BF">
      <w:pPr>
        <w:jc w:val="both"/>
        <w:rPr>
          <w:b/>
          <w:lang w:val="en-GB"/>
        </w:rPr>
      </w:pPr>
      <w:r w:rsidRPr="008463F3">
        <w:rPr>
          <w:lang w:val="en-GB"/>
        </w:rPr>
        <w:t xml:space="preserve">Internal procedures for accessing research equipment within the higher education institutions in North Macedonia do not differ greatly from </w:t>
      </w:r>
      <w:r>
        <w:rPr>
          <w:lang w:val="en-GB"/>
        </w:rPr>
        <w:t>one another</w:t>
      </w:r>
      <w:r w:rsidRPr="008463F3">
        <w:rPr>
          <w:lang w:val="en-GB"/>
        </w:rPr>
        <w:t>. Most institutions have open access for research staff, while external users are required a special permit, which includes: the official submission of requests for access to research infrastructure and formal approval by the management.</w:t>
      </w:r>
    </w:p>
    <w:p w14:paraId="0C095B45" w14:textId="77777777" w:rsidR="007947BF" w:rsidRPr="008463F3" w:rsidRDefault="007947BF" w:rsidP="007947BF">
      <w:pPr>
        <w:jc w:val="both"/>
        <w:rPr>
          <w:b/>
          <w:lang w:val="en-GB"/>
        </w:rPr>
      </w:pPr>
      <w:r w:rsidRPr="008463F3">
        <w:rPr>
          <w:b/>
          <w:lang w:val="en-GB"/>
        </w:rPr>
        <w:t>Table 3</w:t>
      </w:r>
      <w:r w:rsidRPr="008463F3">
        <w:rPr>
          <w:lang w:val="en-GB"/>
        </w:rPr>
        <w:t xml:space="preserve">: Access policy to research infrastructure and internal procedures </w:t>
      </w:r>
    </w:p>
    <w:tbl>
      <w:tblPr>
        <w:tblStyle w:val="LightList-Accent2"/>
        <w:tblW w:w="4884" w:type="pct"/>
        <w:tblInd w:w="108" w:type="dxa"/>
        <w:tblLayout w:type="fixed"/>
        <w:tblLook w:val="04A0" w:firstRow="1" w:lastRow="0" w:firstColumn="1" w:lastColumn="0" w:noHBand="0" w:noVBand="1"/>
      </w:tblPr>
      <w:tblGrid>
        <w:gridCol w:w="2936"/>
        <w:gridCol w:w="967"/>
        <w:gridCol w:w="4939"/>
      </w:tblGrid>
      <w:tr w:rsidR="007947BF" w:rsidRPr="008463F3" w14:paraId="0FA6BBD1" w14:textId="77777777" w:rsidTr="00DA2AFC">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1660" w:type="pct"/>
            <w:noWrap/>
            <w:hideMark/>
          </w:tcPr>
          <w:p w14:paraId="5DFF16C5" w14:textId="77777777" w:rsidR="007947BF" w:rsidRPr="008463F3" w:rsidRDefault="007947BF" w:rsidP="00DA2AFC">
            <w:pPr>
              <w:jc w:val="center"/>
              <w:rPr>
                <w:rFonts w:eastAsia="Times New Roman" w:cs="Arial"/>
                <w:sz w:val="20"/>
                <w:szCs w:val="20"/>
                <w:lang w:val="en-GB" w:eastAsia="sr-Latn-RS"/>
              </w:rPr>
            </w:pPr>
            <w:r w:rsidRPr="008463F3">
              <w:rPr>
                <w:rFonts w:eastAsia="Times New Roman" w:cs="Arial"/>
                <w:sz w:val="20"/>
                <w:szCs w:val="20"/>
                <w:lang w:val="en-GB" w:eastAsia="sr-Latn-RS"/>
              </w:rPr>
              <w:t>Research Institution/Laboratory</w:t>
            </w:r>
          </w:p>
        </w:tc>
        <w:tc>
          <w:tcPr>
            <w:tcW w:w="547" w:type="pct"/>
            <w:noWrap/>
            <w:hideMark/>
          </w:tcPr>
          <w:p w14:paraId="1E195FF5" w14:textId="77777777" w:rsidR="007947BF" w:rsidRPr="008463F3" w:rsidRDefault="007947BF" w:rsidP="00DA2AFC">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val="en-GB" w:eastAsia="sr-Latn-RS"/>
              </w:rPr>
            </w:pPr>
            <w:r w:rsidRPr="008463F3">
              <w:rPr>
                <w:rFonts w:eastAsia="Times New Roman" w:cs="Arial"/>
                <w:sz w:val="20"/>
                <w:szCs w:val="20"/>
                <w:lang w:val="en-GB" w:eastAsia="sr-Latn-RS"/>
              </w:rPr>
              <w:t>Official access policy</w:t>
            </w:r>
          </w:p>
        </w:tc>
        <w:tc>
          <w:tcPr>
            <w:tcW w:w="2793" w:type="pct"/>
            <w:noWrap/>
            <w:hideMark/>
          </w:tcPr>
          <w:p w14:paraId="4E82EC0E" w14:textId="77777777" w:rsidR="007947BF" w:rsidRPr="008463F3" w:rsidRDefault="007947BF" w:rsidP="00DA2AFC">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val="en-GB" w:eastAsia="sr-Latn-RS"/>
              </w:rPr>
            </w:pPr>
            <w:r w:rsidRPr="008463F3">
              <w:rPr>
                <w:rFonts w:eastAsia="Times New Roman" w:cs="Arial"/>
                <w:sz w:val="20"/>
                <w:szCs w:val="20"/>
                <w:lang w:val="en-GB" w:eastAsia="sr-Latn-RS"/>
              </w:rPr>
              <w:t>Internal procedures</w:t>
            </w:r>
          </w:p>
        </w:tc>
      </w:tr>
      <w:tr w:rsidR="007947BF" w:rsidRPr="008463F3" w14:paraId="77FB2CA6" w14:textId="77777777" w:rsidTr="00DA2AFC">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660" w:type="pct"/>
            <w:hideMark/>
          </w:tcPr>
          <w:p w14:paraId="0A7FF587" w14:textId="77777777" w:rsidR="007947BF" w:rsidRPr="008463F3" w:rsidRDefault="007947BF" w:rsidP="00DA2AFC">
            <w:pPr>
              <w:rPr>
                <w:rFonts w:cs="Arial"/>
                <w:sz w:val="20"/>
                <w:szCs w:val="20"/>
                <w:lang w:val="en-GB"/>
              </w:rPr>
            </w:pPr>
            <w:r w:rsidRPr="008463F3">
              <w:rPr>
                <w:rFonts w:cs="Arial"/>
                <w:sz w:val="20"/>
                <w:szCs w:val="20"/>
                <w:lang w:val="en-GB"/>
              </w:rPr>
              <w:t>UKIM, Faculty of Computer Science and Engineering</w:t>
            </w:r>
          </w:p>
        </w:tc>
        <w:tc>
          <w:tcPr>
            <w:tcW w:w="547" w:type="pct"/>
            <w:noWrap/>
            <w:hideMark/>
          </w:tcPr>
          <w:p w14:paraId="69FB0326" w14:textId="77777777" w:rsidR="007947BF" w:rsidRPr="008463F3" w:rsidRDefault="007947BF" w:rsidP="00DA2AFC">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8463F3">
              <w:rPr>
                <w:rFonts w:cs="Arial"/>
                <w:sz w:val="20"/>
                <w:szCs w:val="20"/>
                <w:lang w:val="en-GB"/>
              </w:rPr>
              <w:t>No</w:t>
            </w:r>
          </w:p>
        </w:tc>
        <w:tc>
          <w:tcPr>
            <w:tcW w:w="2793" w:type="pct"/>
            <w:hideMark/>
          </w:tcPr>
          <w:p w14:paraId="5DB4B11A" w14:textId="77777777" w:rsidR="007947BF" w:rsidRPr="008463F3" w:rsidRDefault="007947BF" w:rsidP="00DA2AFC">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8463F3">
              <w:rPr>
                <w:rFonts w:cs="Arial"/>
                <w:sz w:val="20"/>
                <w:szCs w:val="20"/>
                <w:lang w:val="en-GB"/>
              </w:rPr>
              <w:t>External access to research infrastructure can be established upon signing agreement on research cooperation, involvement in joint projects and cooperation contract.</w:t>
            </w:r>
          </w:p>
        </w:tc>
      </w:tr>
      <w:tr w:rsidR="007947BF" w:rsidRPr="008463F3" w14:paraId="27D5D85B" w14:textId="77777777" w:rsidTr="00DA2AFC">
        <w:trPr>
          <w:trHeight w:val="765"/>
        </w:trPr>
        <w:tc>
          <w:tcPr>
            <w:cnfStyle w:val="001000000000" w:firstRow="0" w:lastRow="0" w:firstColumn="1" w:lastColumn="0" w:oddVBand="0" w:evenVBand="0" w:oddHBand="0" w:evenHBand="0" w:firstRowFirstColumn="0" w:firstRowLastColumn="0" w:lastRowFirstColumn="0" w:lastRowLastColumn="0"/>
            <w:tcW w:w="1660" w:type="pct"/>
            <w:hideMark/>
          </w:tcPr>
          <w:p w14:paraId="79ECE652" w14:textId="77777777" w:rsidR="007947BF" w:rsidRPr="008463F3" w:rsidRDefault="007947BF" w:rsidP="00DA2AFC">
            <w:pPr>
              <w:rPr>
                <w:rFonts w:cs="Arial"/>
                <w:color w:val="000000"/>
                <w:sz w:val="20"/>
                <w:szCs w:val="20"/>
                <w:lang w:val="en-GB"/>
              </w:rPr>
            </w:pPr>
            <w:r w:rsidRPr="008463F3">
              <w:rPr>
                <w:rFonts w:cs="Arial"/>
                <w:color w:val="000000"/>
                <w:sz w:val="20"/>
                <w:szCs w:val="20"/>
                <w:lang w:val="en-GB"/>
              </w:rPr>
              <w:t>UKIM, Faculty of Electrical Engineering and Information Technologies, Skopje</w:t>
            </w:r>
          </w:p>
        </w:tc>
        <w:tc>
          <w:tcPr>
            <w:tcW w:w="547" w:type="pct"/>
            <w:noWrap/>
            <w:hideMark/>
          </w:tcPr>
          <w:p w14:paraId="104CC81C" w14:textId="77777777" w:rsidR="007947BF" w:rsidRPr="008463F3" w:rsidRDefault="007947BF" w:rsidP="00DA2AFC">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8463F3">
              <w:rPr>
                <w:rFonts w:cs="Arial"/>
                <w:sz w:val="20"/>
                <w:szCs w:val="20"/>
                <w:lang w:val="en-GB"/>
              </w:rPr>
              <w:t>No</w:t>
            </w:r>
          </w:p>
        </w:tc>
        <w:tc>
          <w:tcPr>
            <w:tcW w:w="2793" w:type="pct"/>
            <w:hideMark/>
          </w:tcPr>
          <w:p w14:paraId="6CA5986F" w14:textId="77777777" w:rsidR="007947BF" w:rsidRPr="008463F3" w:rsidRDefault="007947BF" w:rsidP="00DA2AFC">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8463F3">
              <w:rPr>
                <w:rFonts w:cs="Arial"/>
                <w:sz w:val="20"/>
                <w:szCs w:val="20"/>
                <w:lang w:val="en-GB"/>
              </w:rPr>
              <w:t>Only employed personnel with specific authori</w:t>
            </w:r>
            <w:r>
              <w:rPr>
                <w:rFonts w:cs="Arial"/>
                <w:sz w:val="20"/>
                <w:szCs w:val="20"/>
                <w:lang w:val="en-GB"/>
              </w:rPr>
              <w:t>s</w:t>
            </w:r>
            <w:r w:rsidRPr="008463F3">
              <w:rPr>
                <w:rFonts w:cs="Arial"/>
                <w:sz w:val="20"/>
                <w:szCs w:val="20"/>
                <w:lang w:val="en-GB"/>
              </w:rPr>
              <w:t xml:space="preserve">ations and competencies have access to the equipment and the laboratory facilities. External persons may enter the Laboratory only by signing a confidentiality statement and </w:t>
            </w:r>
            <w:proofErr w:type="spellStart"/>
            <w:r>
              <w:rPr>
                <w:rFonts w:cs="Arial"/>
                <w:sz w:val="20"/>
                <w:szCs w:val="20"/>
                <w:lang w:val="en-GB"/>
              </w:rPr>
              <w:t>uneder</w:t>
            </w:r>
            <w:proofErr w:type="spellEnd"/>
            <w:r w:rsidRPr="008463F3">
              <w:rPr>
                <w:rFonts w:cs="Arial"/>
                <w:sz w:val="20"/>
                <w:szCs w:val="20"/>
                <w:lang w:val="en-GB"/>
              </w:rPr>
              <w:t xml:space="preserve"> supervision of authori</w:t>
            </w:r>
            <w:r>
              <w:rPr>
                <w:rFonts w:cs="Arial"/>
                <w:sz w:val="20"/>
                <w:szCs w:val="20"/>
                <w:lang w:val="en-GB"/>
              </w:rPr>
              <w:t>s</w:t>
            </w:r>
            <w:r w:rsidRPr="008463F3">
              <w:rPr>
                <w:rFonts w:cs="Arial"/>
                <w:sz w:val="20"/>
                <w:szCs w:val="20"/>
                <w:lang w:val="en-GB"/>
              </w:rPr>
              <w:t>ed persons.</w:t>
            </w:r>
          </w:p>
        </w:tc>
      </w:tr>
      <w:tr w:rsidR="007947BF" w:rsidRPr="008463F3" w14:paraId="3398429E" w14:textId="77777777" w:rsidTr="00DA2AFC">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660" w:type="pct"/>
            <w:hideMark/>
          </w:tcPr>
          <w:p w14:paraId="51D9E29D" w14:textId="77777777" w:rsidR="007947BF" w:rsidRPr="008463F3" w:rsidRDefault="007947BF" w:rsidP="00DA2AFC">
            <w:pPr>
              <w:rPr>
                <w:rFonts w:cs="Arial"/>
                <w:color w:val="000000"/>
                <w:sz w:val="20"/>
                <w:szCs w:val="20"/>
                <w:lang w:val="en-GB"/>
              </w:rPr>
            </w:pPr>
            <w:r w:rsidRPr="008463F3">
              <w:rPr>
                <w:rFonts w:cs="Arial"/>
                <w:color w:val="000000"/>
                <w:sz w:val="20"/>
                <w:szCs w:val="20"/>
                <w:lang w:val="en-GB"/>
              </w:rPr>
              <w:t>UKIM, Faculty of Technology and Metallurgy</w:t>
            </w:r>
          </w:p>
        </w:tc>
        <w:tc>
          <w:tcPr>
            <w:tcW w:w="547" w:type="pct"/>
            <w:noWrap/>
            <w:hideMark/>
          </w:tcPr>
          <w:p w14:paraId="2ED78CC9" w14:textId="77777777" w:rsidR="007947BF" w:rsidRPr="008463F3" w:rsidRDefault="007947BF" w:rsidP="00DA2AFC">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8463F3">
              <w:rPr>
                <w:rFonts w:cs="Arial"/>
                <w:sz w:val="20"/>
                <w:szCs w:val="20"/>
                <w:lang w:val="en-GB"/>
              </w:rPr>
              <w:t>No</w:t>
            </w:r>
          </w:p>
        </w:tc>
        <w:tc>
          <w:tcPr>
            <w:tcW w:w="2793" w:type="pct"/>
            <w:hideMark/>
          </w:tcPr>
          <w:p w14:paraId="1E40B624" w14:textId="77777777" w:rsidR="007947BF" w:rsidRPr="008463F3" w:rsidRDefault="007947BF" w:rsidP="00DA2AFC">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8463F3">
              <w:rPr>
                <w:rFonts w:cs="Arial"/>
                <w:sz w:val="20"/>
                <w:szCs w:val="20"/>
                <w:lang w:val="en-GB"/>
              </w:rPr>
              <w:t>External access to research infrastructure can be established upon signing agreement on research cooperation, involvement in joint projects and cooperation contract.</w:t>
            </w:r>
          </w:p>
        </w:tc>
      </w:tr>
      <w:tr w:rsidR="007947BF" w:rsidRPr="008463F3" w14:paraId="11792CC8" w14:textId="77777777" w:rsidTr="00DA2AFC">
        <w:trPr>
          <w:trHeight w:val="745"/>
        </w:trPr>
        <w:tc>
          <w:tcPr>
            <w:cnfStyle w:val="001000000000" w:firstRow="0" w:lastRow="0" w:firstColumn="1" w:lastColumn="0" w:oddVBand="0" w:evenVBand="0" w:oddHBand="0" w:evenHBand="0" w:firstRowFirstColumn="0" w:firstRowLastColumn="0" w:lastRowFirstColumn="0" w:lastRowLastColumn="0"/>
            <w:tcW w:w="1660" w:type="pct"/>
            <w:hideMark/>
          </w:tcPr>
          <w:p w14:paraId="7340826F" w14:textId="77777777" w:rsidR="007947BF" w:rsidRPr="008463F3" w:rsidRDefault="007947BF" w:rsidP="00DA2AFC">
            <w:pPr>
              <w:rPr>
                <w:rFonts w:cs="Arial"/>
                <w:color w:val="000000"/>
                <w:sz w:val="20"/>
                <w:szCs w:val="20"/>
                <w:lang w:val="en-GB"/>
              </w:rPr>
            </w:pPr>
            <w:r w:rsidRPr="008463F3">
              <w:rPr>
                <w:rFonts w:cs="Arial"/>
                <w:color w:val="000000"/>
                <w:sz w:val="20"/>
                <w:szCs w:val="20"/>
                <w:lang w:val="en-GB"/>
              </w:rPr>
              <w:t>UKIM, Faculty of Natural Sciences and Mathematics, Institute of Chemistry</w:t>
            </w:r>
          </w:p>
        </w:tc>
        <w:tc>
          <w:tcPr>
            <w:tcW w:w="547" w:type="pct"/>
            <w:noWrap/>
            <w:hideMark/>
          </w:tcPr>
          <w:p w14:paraId="0CD8D0C4" w14:textId="77777777" w:rsidR="007947BF" w:rsidRPr="008463F3" w:rsidRDefault="007947BF" w:rsidP="00DA2AFC">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8463F3">
              <w:rPr>
                <w:rFonts w:cs="Arial"/>
                <w:sz w:val="20"/>
                <w:szCs w:val="20"/>
                <w:lang w:val="en-GB"/>
              </w:rPr>
              <w:t>No</w:t>
            </w:r>
          </w:p>
        </w:tc>
        <w:tc>
          <w:tcPr>
            <w:tcW w:w="2793" w:type="pct"/>
            <w:hideMark/>
          </w:tcPr>
          <w:p w14:paraId="74CDAD2A" w14:textId="77777777" w:rsidR="007947BF" w:rsidRPr="008463F3" w:rsidRDefault="007947BF" w:rsidP="00DA2AFC">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8463F3">
              <w:rPr>
                <w:rFonts w:cs="Arial"/>
                <w:sz w:val="20"/>
                <w:szCs w:val="20"/>
                <w:lang w:val="en-GB"/>
              </w:rPr>
              <w:t>The research equipment is mainly used by employees and researchers. It has not been used by external personnel so far.</w:t>
            </w:r>
          </w:p>
        </w:tc>
      </w:tr>
      <w:tr w:rsidR="007947BF" w:rsidRPr="008463F3" w14:paraId="62024F23" w14:textId="77777777" w:rsidTr="00DA2AFC">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1660" w:type="pct"/>
            <w:hideMark/>
          </w:tcPr>
          <w:p w14:paraId="70B7A655" w14:textId="77777777" w:rsidR="007947BF" w:rsidRPr="008463F3" w:rsidRDefault="007947BF" w:rsidP="00DA2AFC">
            <w:pPr>
              <w:rPr>
                <w:rFonts w:cs="Arial"/>
                <w:color w:val="000000"/>
                <w:sz w:val="20"/>
                <w:szCs w:val="20"/>
                <w:lang w:val="en-GB"/>
              </w:rPr>
            </w:pPr>
            <w:r w:rsidRPr="008463F3">
              <w:rPr>
                <w:rFonts w:cs="Arial"/>
                <w:color w:val="000000"/>
                <w:sz w:val="20"/>
                <w:szCs w:val="20"/>
                <w:lang w:val="en-GB"/>
              </w:rPr>
              <w:t>UKIM, Faculty of Medicine, Institute for Immunobiology and Human Genetics</w:t>
            </w:r>
          </w:p>
        </w:tc>
        <w:tc>
          <w:tcPr>
            <w:tcW w:w="547" w:type="pct"/>
            <w:hideMark/>
          </w:tcPr>
          <w:p w14:paraId="5074F520" w14:textId="77777777" w:rsidR="007947BF" w:rsidRPr="008463F3" w:rsidRDefault="007947BF" w:rsidP="00DA2AFC">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8463F3">
              <w:rPr>
                <w:rFonts w:cs="Arial"/>
                <w:sz w:val="20"/>
                <w:szCs w:val="20"/>
                <w:lang w:val="en-GB"/>
              </w:rPr>
              <w:t>No</w:t>
            </w:r>
          </w:p>
        </w:tc>
        <w:tc>
          <w:tcPr>
            <w:tcW w:w="2793" w:type="pct"/>
            <w:hideMark/>
          </w:tcPr>
          <w:p w14:paraId="31ECBC58" w14:textId="77777777" w:rsidR="007947BF" w:rsidRPr="008463F3" w:rsidRDefault="007947BF" w:rsidP="00DA2AFC">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8463F3">
              <w:rPr>
                <w:rFonts w:cs="Arial"/>
                <w:sz w:val="20"/>
                <w:szCs w:val="20"/>
                <w:lang w:val="en-GB"/>
              </w:rPr>
              <w:t>Access is allowed to employed personnel. External access to research infrastructure can be established upon signing an agreement on research cooperation, involvement in joint projects and cooperation contract.</w:t>
            </w:r>
          </w:p>
        </w:tc>
      </w:tr>
      <w:tr w:rsidR="007947BF" w:rsidRPr="008463F3" w14:paraId="5037C5DA" w14:textId="77777777" w:rsidTr="00DA2AFC">
        <w:trPr>
          <w:trHeight w:val="510"/>
        </w:trPr>
        <w:tc>
          <w:tcPr>
            <w:cnfStyle w:val="001000000000" w:firstRow="0" w:lastRow="0" w:firstColumn="1" w:lastColumn="0" w:oddVBand="0" w:evenVBand="0" w:oddHBand="0" w:evenHBand="0" w:firstRowFirstColumn="0" w:firstRowLastColumn="0" w:lastRowFirstColumn="0" w:lastRowLastColumn="0"/>
            <w:tcW w:w="1660" w:type="pct"/>
            <w:hideMark/>
          </w:tcPr>
          <w:p w14:paraId="0DA2E362" w14:textId="77777777" w:rsidR="007947BF" w:rsidRPr="008463F3" w:rsidRDefault="007947BF" w:rsidP="00DA2AFC">
            <w:pPr>
              <w:rPr>
                <w:rFonts w:cs="Arial"/>
                <w:color w:val="000000"/>
                <w:sz w:val="20"/>
                <w:szCs w:val="20"/>
                <w:lang w:val="en-GB"/>
              </w:rPr>
            </w:pPr>
            <w:r w:rsidRPr="008463F3">
              <w:rPr>
                <w:rFonts w:cs="Arial"/>
                <w:color w:val="000000"/>
                <w:sz w:val="20"/>
                <w:szCs w:val="20"/>
                <w:lang w:val="en-GB"/>
              </w:rPr>
              <w:t>UKIM, Faculty of Medicine, Institute of Institute of Microbiology and Parasitology</w:t>
            </w:r>
          </w:p>
        </w:tc>
        <w:tc>
          <w:tcPr>
            <w:tcW w:w="547" w:type="pct"/>
            <w:noWrap/>
            <w:hideMark/>
          </w:tcPr>
          <w:p w14:paraId="3CF9EF22" w14:textId="77777777" w:rsidR="007947BF" w:rsidRPr="008463F3" w:rsidRDefault="007947BF" w:rsidP="00DA2AFC">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8463F3">
              <w:rPr>
                <w:rFonts w:cs="Arial"/>
                <w:sz w:val="20"/>
                <w:szCs w:val="20"/>
                <w:lang w:val="en-GB"/>
              </w:rPr>
              <w:t>No</w:t>
            </w:r>
          </w:p>
        </w:tc>
        <w:tc>
          <w:tcPr>
            <w:tcW w:w="2793" w:type="pct"/>
            <w:hideMark/>
          </w:tcPr>
          <w:p w14:paraId="5B57BE98" w14:textId="77777777" w:rsidR="007947BF" w:rsidRPr="008463F3" w:rsidRDefault="007947BF" w:rsidP="00DA2AFC">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M</w:t>
            </w:r>
            <w:r w:rsidRPr="008463F3">
              <w:rPr>
                <w:rFonts w:cs="Arial"/>
                <w:sz w:val="20"/>
                <w:szCs w:val="20"/>
                <w:lang w:val="en-GB"/>
              </w:rPr>
              <w:t>embers of the Expert Board decide on allowing external users to access research equipment. If there is consent, an external user must agree in writing on the confidentiality of the data from the institution.</w:t>
            </w:r>
          </w:p>
        </w:tc>
      </w:tr>
      <w:tr w:rsidR="007947BF" w:rsidRPr="008463F3" w14:paraId="77947F99" w14:textId="77777777" w:rsidTr="00DA2AFC">
        <w:trPr>
          <w:cnfStyle w:val="000000100000" w:firstRow="0" w:lastRow="0" w:firstColumn="0" w:lastColumn="0" w:oddVBand="0" w:evenVBand="0" w:oddHBand="1" w:evenHBand="0" w:firstRowFirstColumn="0" w:firstRowLastColumn="0" w:lastRowFirstColumn="0" w:lastRowLastColumn="0"/>
          <w:trHeight w:val="1530"/>
        </w:trPr>
        <w:tc>
          <w:tcPr>
            <w:cnfStyle w:val="001000000000" w:firstRow="0" w:lastRow="0" w:firstColumn="1" w:lastColumn="0" w:oddVBand="0" w:evenVBand="0" w:oddHBand="0" w:evenHBand="0" w:firstRowFirstColumn="0" w:firstRowLastColumn="0" w:lastRowFirstColumn="0" w:lastRowLastColumn="0"/>
            <w:tcW w:w="1660" w:type="pct"/>
            <w:hideMark/>
          </w:tcPr>
          <w:p w14:paraId="06AE26F9" w14:textId="77777777" w:rsidR="007947BF" w:rsidRPr="008463F3" w:rsidRDefault="007947BF" w:rsidP="00DA2AFC">
            <w:pPr>
              <w:rPr>
                <w:rFonts w:cs="Arial"/>
                <w:color w:val="000000"/>
                <w:sz w:val="20"/>
                <w:szCs w:val="20"/>
                <w:lang w:val="en-GB"/>
              </w:rPr>
            </w:pPr>
            <w:r w:rsidRPr="008463F3">
              <w:rPr>
                <w:rFonts w:cs="Arial"/>
                <w:color w:val="000000"/>
                <w:sz w:val="20"/>
                <w:szCs w:val="20"/>
                <w:lang w:val="en-GB"/>
              </w:rPr>
              <w:t>UKIM, Faculty of Medicine, Institute of Pathology</w:t>
            </w:r>
          </w:p>
        </w:tc>
        <w:tc>
          <w:tcPr>
            <w:tcW w:w="547" w:type="pct"/>
            <w:noWrap/>
            <w:hideMark/>
          </w:tcPr>
          <w:p w14:paraId="6219CBB6" w14:textId="77777777" w:rsidR="007947BF" w:rsidRPr="008463F3" w:rsidRDefault="007947BF" w:rsidP="00DA2AFC">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8463F3">
              <w:rPr>
                <w:rFonts w:cs="Arial"/>
                <w:sz w:val="20"/>
                <w:szCs w:val="20"/>
                <w:lang w:val="en-GB"/>
              </w:rPr>
              <w:t>No</w:t>
            </w:r>
          </w:p>
        </w:tc>
        <w:tc>
          <w:tcPr>
            <w:tcW w:w="2793" w:type="pct"/>
            <w:hideMark/>
          </w:tcPr>
          <w:p w14:paraId="12A8FA3C" w14:textId="77777777" w:rsidR="007947BF" w:rsidRPr="008463F3" w:rsidRDefault="007947BF" w:rsidP="00DA2AFC">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8463F3">
              <w:rPr>
                <w:rFonts w:cs="Arial"/>
                <w:sz w:val="20"/>
                <w:szCs w:val="20"/>
                <w:lang w:val="en-GB"/>
              </w:rPr>
              <w:t xml:space="preserve">Access policy and procedures for the users of the research infrastructure of the Institute of Pathology are based on presenting the research objectives and other details to the staff members and getting written consent from the Head of the Institute for doing research in any of the laboratories and departments. Considering the sensitivity of the medical information of the patients, every user needs to sign a confidentiality </w:t>
            </w:r>
            <w:r>
              <w:rPr>
                <w:rFonts w:cs="Arial"/>
                <w:sz w:val="20"/>
                <w:szCs w:val="20"/>
                <w:lang w:val="en-GB"/>
              </w:rPr>
              <w:t xml:space="preserve">document </w:t>
            </w:r>
            <w:r w:rsidRPr="008463F3">
              <w:rPr>
                <w:rFonts w:cs="Arial"/>
                <w:sz w:val="20"/>
                <w:szCs w:val="20"/>
                <w:lang w:val="en-GB"/>
              </w:rPr>
              <w:t>before starting any research work.</w:t>
            </w:r>
          </w:p>
        </w:tc>
      </w:tr>
      <w:tr w:rsidR="007947BF" w:rsidRPr="008463F3" w14:paraId="46A1D5A8" w14:textId="77777777" w:rsidTr="00DA2AFC">
        <w:trPr>
          <w:trHeight w:val="777"/>
        </w:trPr>
        <w:tc>
          <w:tcPr>
            <w:cnfStyle w:val="001000000000" w:firstRow="0" w:lastRow="0" w:firstColumn="1" w:lastColumn="0" w:oddVBand="0" w:evenVBand="0" w:oddHBand="0" w:evenHBand="0" w:firstRowFirstColumn="0" w:firstRowLastColumn="0" w:lastRowFirstColumn="0" w:lastRowLastColumn="0"/>
            <w:tcW w:w="1660" w:type="pct"/>
            <w:hideMark/>
          </w:tcPr>
          <w:p w14:paraId="16F00C71" w14:textId="77777777" w:rsidR="007947BF" w:rsidRPr="008463F3" w:rsidRDefault="007947BF" w:rsidP="00DA2AFC">
            <w:pPr>
              <w:rPr>
                <w:rFonts w:cs="Arial"/>
                <w:color w:val="000000"/>
                <w:sz w:val="20"/>
                <w:szCs w:val="20"/>
                <w:lang w:val="en-GB"/>
              </w:rPr>
            </w:pPr>
            <w:r w:rsidRPr="008463F3">
              <w:rPr>
                <w:rFonts w:cs="Arial"/>
                <w:color w:val="000000"/>
                <w:sz w:val="20"/>
                <w:szCs w:val="20"/>
                <w:lang w:val="en-GB"/>
              </w:rPr>
              <w:t>UKIM, Faculty of Medicine, Institute of Pathophysiology and Nuclear Medicine, Skopje</w:t>
            </w:r>
          </w:p>
        </w:tc>
        <w:tc>
          <w:tcPr>
            <w:tcW w:w="547" w:type="pct"/>
            <w:noWrap/>
            <w:hideMark/>
          </w:tcPr>
          <w:p w14:paraId="121A0845" w14:textId="77777777" w:rsidR="007947BF" w:rsidRPr="008463F3" w:rsidRDefault="007947BF" w:rsidP="00DA2AFC">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8463F3">
              <w:rPr>
                <w:rFonts w:cs="Arial"/>
                <w:sz w:val="20"/>
                <w:szCs w:val="20"/>
                <w:lang w:val="en-GB"/>
              </w:rPr>
              <w:t>No</w:t>
            </w:r>
          </w:p>
        </w:tc>
        <w:tc>
          <w:tcPr>
            <w:tcW w:w="2793" w:type="pct"/>
            <w:hideMark/>
          </w:tcPr>
          <w:p w14:paraId="0BBC01E8" w14:textId="77777777" w:rsidR="007947BF" w:rsidRPr="008463F3" w:rsidRDefault="007947BF" w:rsidP="00DA2AFC">
            <w:pPr>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en-GB"/>
              </w:rPr>
            </w:pPr>
            <w:r w:rsidRPr="008463F3">
              <w:rPr>
                <w:rFonts w:cs="Arial"/>
                <w:color w:val="000000"/>
                <w:sz w:val="20"/>
                <w:szCs w:val="20"/>
                <w:lang w:val="en-GB"/>
              </w:rPr>
              <w:t>Accessible for Institute staff only</w:t>
            </w:r>
          </w:p>
        </w:tc>
      </w:tr>
      <w:tr w:rsidR="007947BF" w:rsidRPr="008463F3" w14:paraId="5FD72782" w14:textId="77777777" w:rsidTr="00DA2AFC">
        <w:trPr>
          <w:cnfStyle w:val="000000100000" w:firstRow="0" w:lastRow="0" w:firstColumn="0" w:lastColumn="0" w:oddVBand="0" w:evenVBand="0" w:oddHBand="1" w:evenHBand="0"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1660" w:type="pct"/>
          </w:tcPr>
          <w:p w14:paraId="498E6699" w14:textId="77777777" w:rsidR="007947BF" w:rsidRPr="008463F3" w:rsidRDefault="007947BF" w:rsidP="00DA2AFC">
            <w:pPr>
              <w:rPr>
                <w:rFonts w:cs="Arial"/>
                <w:color w:val="000000"/>
                <w:sz w:val="20"/>
                <w:szCs w:val="20"/>
                <w:lang w:val="en-GB"/>
              </w:rPr>
            </w:pPr>
            <w:r w:rsidRPr="008463F3">
              <w:rPr>
                <w:rFonts w:cs="Arial"/>
                <w:color w:val="000000"/>
                <w:sz w:val="20"/>
                <w:szCs w:val="20"/>
                <w:lang w:val="en-GB"/>
              </w:rPr>
              <w:t>UKIM, Faculty of Pharmacy</w:t>
            </w:r>
          </w:p>
        </w:tc>
        <w:tc>
          <w:tcPr>
            <w:tcW w:w="547" w:type="pct"/>
            <w:noWrap/>
          </w:tcPr>
          <w:p w14:paraId="7702C9E1" w14:textId="77777777" w:rsidR="007947BF" w:rsidRPr="008463F3" w:rsidRDefault="007947BF" w:rsidP="00DA2AFC">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8463F3">
              <w:rPr>
                <w:rFonts w:cs="Arial"/>
                <w:sz w:val="20"/>
                <w:szCs w:val="20"/>
                <w:lang w:val="en-GB"/>
              </w:rPr>
              <w:t>No</w:t>
            </w:r>
          </w:p>
        </w:tc>
        <w:tc>
          <w:tcPr>
            <w:tcW w:w="2793" w:type="pct"/>
          </w:tcPr>
          <w:p w14:paraId="4107B5D3" w14:textId="77777777" w:rsidR="007947BF" w:rsidRPr="008463F3" w:rsidRDefault="007947BF" w:rsidP="00DA2AFC">
            <w:pPr>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en-GB"/>
              </w:rPr>
            </w:pPr>
            <w:r w:rsidRPr="008463F3">
              <w:rPr>
                <w:rFonts w:cs="Arial"/>
                <w:color w:val="000000"/>
                <w:sz w:val="20"/>
                <w:szCs w:val="20"/>
                <w:lang w:val="en-GB"/>
              </w:rPr>
              <w:t>External users are obligated to sign collaboration agreement for research and consulting activities as well as confidentiality statement. They also need to provide information on research activities concerning the use of a particular instrument of the research infrastructure.</w:t>
            </w:r>
          </w:p>
        </w:tc>
      </w:tr>
      <w:tr w:rsidR="007947BF" w:rsidRPr="008463F3" w14:paraId="7F220801" w14:textId="77777777" w:rsidTr="00DA2AFC">
        <w:trPr>
          <w:trHeight w:val="831"/>
        </w:trPr>
        <w:tc>
          <w:tcPr>
            <w:cnfStyle w:val="001000000000" w:firstRow="0" w:lastRow="0" w:firstColumn="1" w:lastColumn="0" w:oddVBand="0" w:evenVBand="0" w:oddHBand="0" w:evenHBand="0" w:firstRowFirstColumn="0" w:firstRowLastColumn="0" w:lastRowFirstColumn="0" w:lastRowLastColumn="0"/>
            <w:tcW w:w="1660" w:type="pct"/>
            <w:hideMark/>
          </w:tcPr>
          <w:p w14:paraId="5C13877B" w14:textId="77777777" w:rsidR="007947BF" w:rsidRPr="008463F3" w:rsidRDefault="007947BF" w:rsidP="00DA2AFC">
            <w:pPr>
              <w:rPr>
                <w:rFonts w:cs="Arial"/>
                <w:color w:val="000000"/>
                <w:sz w:val="20"/>
                <w:szCs w:val="20"/>
                <w:lang w:val="en-GB"/>
              </w:rPr>
            </w:pPr>
            <w:r w:rsidRPr="008463F3">
              <w:rPr>
                <w:rFonts w:cs="Arial"/>
                <w:color w:val="000000"/>
                <w:sz w:val="20"/>
                <w:szCs w:val="20"/>
                <w:lang w:val="en-GB"/>
              </w:rPr>
              <w:t>UKIM, Institute of Animal Science</w:t>
            </w:r>
          </w:p>
        </w:tc>
        <w:tc>
          <w:tcPr>
            <w:tcW w:w="547" w:type="pct"/>
            <w:hideMark/>
          </w:tcPr>
          <w:p w14:paraId="7441710B" w14:textId="77777777" w:rsidR="007947BF" w:rsidRPr="008463F3" w:rsidRDefault="007947BF" w:rsidP="00DA2AFC">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8463F3">
              <w:rPr>
                <w:rFonts w:cs="Arial"/>
                <w:sz w:val="20"/>
                <w:szCs w:val="20"/>
                <w:lang w:val="en-GB"/>
              </w:rPr>
              <w:t>No</w:t>
            </w:r>
          </w:p>
        </w:tc>
        <w:tc>
          <w:tcPr>
            <w:tcW w:w="2793" w:type="pct"/>
            <w:hideMark/>
          </w:tcPr>
          <w:p w14:paraId="0D9A9A67" w14:textId="77777777" w:rsidR="007947BF" w:rsidRPr="008463F3" w:rsidRDefault="007947BF" w:rsidP="00DA2AFC">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8463F3">
              <w:rPr>
                <w:rFonts w:cs="Arial"/>
                <w:sz w:val="20"/>
                <w:szCs w:val="20"/>
                <w:lang w:val="en-GB"/>
              </w:rPr>
              <w:t xml:space="preserve">Access is allowed to employed personnel. External access to research infrastructure is also allowed but written request is </w:t>
            </w:r>
            <w:r>
              <w:rPr>
                <w:rFonts w:cs="Arial"/>
                <w:sz w:val="20"/>
                <w:szCs w:val="20"/>
                <w:lang w:val="en-GB"/>
              </w:rPr>
              <w:t>needed</w:t>
            </w:r>
            <w:r w:rsidRPr="008463F3">
              <w:rPr>
                <w:rFonts w:cs="Arial"/>
                <w:sz w:val="20"/>
                <w:szCs w:val="20"/>
                <w:lang w:val="en-GB"/>
              </w:rPr>
              <w:t>.</w:t>
            </w:r>
          </w:p>
        </w:tc>
      </w:tr>
      <w:tr w:rsidR="007947BF" w:rsidRPr="008463F3" w14:paraId="112BA0F9" w14:textId="77777777" w:rsidTr="00DA2AFC">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660" w:type="pct"/>
            <w:hideMark/>
          </w:tcPr>
          <w:p w14:paraId="5799FD1B" w14:textId="77777777" w:rsidR="007947BF" w:rsidRPr="008463F3" w:rsidRDefault="007947BF" w:rsidP="00DA2AFC">
            <w:pPr>
              <w:rPr>
                <w:rFonts w:cs="Arial"/>
                <w:color w:val="000000"/>
                <w:sz w:val="20"/>
                <w:szCs w:val="20"/>
                <w:lang w:val="en-GB"/>
              </w:rPr>
            </w:pPr>
            <w:r w:rsidRPr="008463F3">
              <w:rPr>
                <w:rFonts w:cs="Arial"/>
                <w:color w:val="000000"/>
                <w:sz w:val="20"/>
                <w:szCs w:val="20"/>
                <w:lang w:val="en-GB"/>
              </w:rPr>
              <w:t xml:space="preserve">UKIM, Institute of Macedonian Literature, Skopje, Academic Library, </w:t>
            </w:r>
          </w:p>
        </w:tc>
        <w:tc>
          <w:tcPr>
            <w:tcW w:w="547" w:type="pct"/>
            <w:noWrap/>
            <w:hideMark/>
          </w:tcPr>
          <w:p w14:paraId="498FE0A1" w14:textId="77777777" w:rsidR="007947BF" w:rsidRPr="008463F3" w:rsidRDefault="007947BF" w:rsidP="00DA2AFC">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8463F3">
              <w:rPr>
                <w:rFonts w:cs="Arial"/>
                <w:sz w:val="20"/>
                <w:szCs w:val="20"/>
                <w:lang w:val="en-GB"/>
              </w:rPr>
              <w:t>No</w:t>
            </w:r>
          </w:p>
        </w:tc>
        <w:tc>
          <w:tcPr>
            <w:tcW w:w="2793" w:type="pct"/>
            <w:hideMark/>
          </w:tcPr>
          <w:p w14:paraId="2FA968F1" w14:textId="77777777" w:rsidR="007947BF" w:rsidRPr="008463F3" w:rsidRDefault="007947BF" w:rsidP="00DA2AFC">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8463F3">
              <w:rPr>
                <w:rFonts w:cs="Arial"/>
                <w:sz w:val="20"/>
                <w:szCs w:val="20"/>
                <w:lang w:val="en-GB"/>
              </w:rPr>
              <w:t xml:space="preserve">Access to the publications is allowed </w:t>
            </w:r>
            <w:r>
              <w:rPr>
                <w:rFonts w:cs="Arial"/>
                <w:sz w:val="20"/>
                <w:szCs w:val="20"/>
                <w:lang w:val="en-GB"/>
              </w:rPr>
              <w:t>through</w:t>
            </w:r>
            <w:r w:rsidRPr="008463F3">
              <w:rPr>
                <w:rFonts w:cs="Arial"/>
                <w:sz w:val="20"/>
                <w:szCs w:val="20"/>
                <w:lang w:val="en-GB"/>
              </w:rPr>
              <w:t xml:space="preserve"> a written request provided by external users.</w:t>
            </w:r>
          </w:p>
        </w:tc>
      </w:tr>
      <w:tr w:rsidR="007947BF" w:rsidRPr="008463F3" w14:paraId="3A773BAD" w14:textId="77777777" w:rsidTr="00DA2AFC">
        <w:trPr>
          <w:trHeight w:val="752"/>
        </w:trPr>
        <w:tc>
          <w:tcPr>
            <w:cnfStyle w:val="001000000000" w:firstRow="0" w:lastRow="0" w:firstColumn="1" w:lastColumn="0" w:oddVBand="0" w:evenVBand="0" w:oddHBand="0" w:evenHBand="0" w:firstRowFirstColumn="0" w:firstRowLastColumn="0" w:lastRowFirstColumn="0" w:lastRowLastColumn="0"/>
            <w:tcW w:w="1660" w:type="pct"/>
            <w:hideMark/>
          </w:tcPr>
          <w:p w14:paraId="51CB2581" w14:textId="77777777" w:rsidR="007947BF" w:rsidRPr="008463F3" w:rsidRDefault="007947BF" w:rsidP="00DA2AFC">
            <w:pPr>
              <w:rPr>
                <w:rFonts w:cs="Arial"/>
                <w:color w:val="000000"/>
                <w:sz w:val="20"/>
                <w:szCs w:val="20"/>
                <w:lang w:val="en-GB"/>
              </w:rPr>
            </w:pPr>
            <w:r w:rsidRPr="008463F3">
              <w:rPr>
                <w:rFonts w:cs="Arial"/>
                <w:color w:val="000000"/>
                <w:sz w:val="20"/>
                <w:szCs w:val="20"/>
                <w:lang w:val="en-GB"/>
              </w:rPr>
              <w:t>UKIM, Institute of Earthqu</w:t>
            </w:r>
            <w:r>
              <w:rPr>
                <w:rFonts w:cs="Arial"/>
                <w:color w:val="000000"/>
                <w:sz w:val="20"/>
                <w:szCs w:val="20"/>
                <w:lang w:val="en-GB"/>
              </w:rPr>
              <w:t>a</w:t>
            </w:r>
            <w:r w:rsidRPr="008463F3">
              <w:rPr>
                <w:rFonts w:cs="Arial"/>
                <w:color w:val="000000"/>
                <w:sz w:val="20"/>
                <w:szCs w:val="20"/>
                <w:lang w:val="en-GB"/>
              </w:rPr>
              <w:t>ke Engineeri</w:t>
            </w:r>
            <w:r>
              <w:rPr>
                <w:rFonts w:cs="Arial"/>
                <w:color w:val="000000"/>
                <w:sz w:val="20"/>
                <w:szCs w:val="20"/>
                <w:lang w:val="en-GB"/>
              </w:rPr>
              <w:t>ng</w:t>
            </w:r>
            <w:r w:rsidRPr="008463F3">
              <w:rPr>
                <w:rFonts w:cs="Arial"/>
                <w:color w:val="000000"/>
                <w:sz w:val="20"/>
                <w:szCs w:val="20"/>
                <w:lang w:val="en-GB"/>
              </w:rPr>
              <w:t xml:space="preserve"> and Engineering Seismology</w:t>
            </w:r>
          </w:p>
        </w:tc>
        <w:tc>
          <w:tcPr>
            <w:tcW w:w="547" w:type="pct"/>
            <w:noWrap/>
            <w:hideMark/>
          </w:tcPr>
          <w:p w14:paraId="796AB6C7" w14:textId="77777777" w:rsidR="007947BF" w:rsidRPr="008463F3" w:rsidRDefault="007947BF" w:rsidP="00DA2AFC">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8463F3">
              <w:rPr>
                <w:rFonts w:cs="Arial"/>
                <w:sz w:val="20"/>
                <w:szCs w:val="20"/>
                <w:lang w:val="en-GB"/>
              </w:rPr>
              <w:t>No</w:t>
            </w:r>
          </w:p>
        </w:tc>
        <w:tc>
          <w:tcPr>
            <w:tcW w:w="2793" w:type="pct"/>
            <w:hideMark/>
          </w:tcPr>
          <w:p w14:paraId="0DF2E63C" w14:textId="77777777" w:rsidR="007947BF" w:rsidRPr="008463F3" w:rsidRDefault="007947BF" w:rsidP="00DA2AFC">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8463F3">
              <w:rPr>
                <w:rFonts w:cs="Arial"/>
                <w:sz w:val="20"/>
                <w:szCs w:val="20"/>
                <w:lang w:val="en-GB"/>
              </w:rPr>
              <w:t xml:space="preserve">Upon receiving a request for a service, the internal expert team makes a quotation </w:t>
            </w:r>
            <w:r>
              <w:rPr>
                <w:rFonts w:cs="Arial"/>
                <w:sz w:val="20"/>
                <w:szCs w:val="20"/>
                <w:lang w:val="en-GB"/>
              </w:rPr>
              <w:t xml:space="preserve">for </w:t>
            </w:r>
            <w:r w:rsidRPr="008463F3">
              <w:rPr>
                <w:rFonts w:cs="Arial"/>
                <w:sz w:val="20"/>
                <w:szCs w:val="20"/>
                <w:lang w:val="en-GB"/>
              </w:rPr>
              <w:t>using research infrastructure.</w:t>
            </w:r>
          </w:p>
        </w:tc>
      </w:tr>
      <w:tr w:rsidR="007947BF" w:rsidRPr="008463F3" w14:paraId="33BBBF23" w14:textId="77777777" w:rsidTr="00DA2AFC">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1660" w:type="pct"/>
            <w:hideMark/>
          </w:tcPr>
          <w:p w14:paraId="0B393850" w14:textId="77777777" w:rsidR="007947BF" w:rsidRPr="008463F3" w:rsidRDefault="007947BF" w:rsidP="00DA2AFC">
            <w:pPr>
              <w:rPr>
                <w:rFonts w:cs="Arial"/>
                <w:sz w:val="20"/>
                <w:szCs w:val="20"/>
                <w:lang w:val="en-GB"/>
              </w:rPr>
            </w:pPr>
            <w:r w:rsidRPr="008463F3">
              <w:rPr>
                <w:rFonts w:cs="Arial"/>
                <w:sz w:val="20"/>
                <w:szCs w:val="20"/>
                <w:lang w:val="en-GB"/>
              </w:rPr>
              <w:t xml:space="preserve">St </w:t>
            </w:r>
            <w:proofErr w:type="spellStart"/>
            <w:r w:rsidRPr="008463F3">
              <w:rPr>
                <w:rFonts w:cs="Arial"/>
                <w:sz w:val="20"/>
                <w:szCs w:val="20"/>
                <w:lang w:val="en-GB"/>
              </w:rPr>
              <w:t>Kliment</w:t>
            </w:r>
            <w:proofErr w:type="spellEnd"/>
            <w:r w:rsidRPr="008463F3">
              <w:rPr>
                <w:rFonts w:cs="Arial"/>
                <w:sz w:val="20"/>
                <w:szCs w:val="20"/>
                <w:lang w:val="en-GB"/>
              </w:rPr>
              <w:t xml:space="preserve"> </w:t>
            </w:r>
            <w:proofErr w:type="spellStart"/>
            <w:r w:rsidRPr="008463F3">
              <w:rPr>
                <w:rFonts w:cs="Arial"/>
                <w:sz w:val="20"/>
                <w:szCs w:val="20"/>
                <w:lang w:val="en-GB"/>
              </w:rPr>
              <w:t>Ohridski</w:t>
            </w:r>
            <w:proofErr w:type="spellEnd"/>
            <w:r w:rsidRPr="008463F3">
              <w:rPr>
                <w:rFonts w:cs="Arial"/>
                <w:sz w:val="20"/>
                <w:szCs w:val="20"/>
                <w:lang w:val="en-GB"/>
              </w:rPr>
              <w:t xml:space="preserve"> University, PSI Hydrobiological Institute </w:t>
            </w:r>
            <w:proofErr w:type="spellStart"/>
            <w:r w:rsidRPr="008463F3">
              <w:rPr>
                <w:rFonts w:cs="Arial"/>
                <w:sz w:val="20"/>
                <w:szCs w:val="20"/>
                <w:lang w:val="en-GB"/>
              </w:rPr>
              <w:t>Ohrid</w:t>
            </w:r>
            <w:proofErr w:type="spellEnd"/>
          </w:p>
        </w:tc>
        <w:tc>
          <w:tcPr>
            <w:tcW w:w="547" w:type="pct"/>
            <w:noWrap/>
            <w:hideMark/>
          </w:tcPr>
          <w:p w14:paraId="2D320E16" w14:textId="77777777" w:rsidR="007947BF" w:rsidRPr="008463F3" w:rsidRDefault="007947BF" w:rsidP="00DA2AFC">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8463F3">
              <w:rPr>
                <w:rFonts w:cs="Arial"/>
                <w:sz w:val="20"/>
                <w:szCs w:val="20"/>
                <w:lang w:val="en-GB"/>
              </w:rPr>
              <w:t>No</w:t>
            </w:r>
          </w:p>
        </w:tc>
        <w:tc>
          <w:tcPr>
            <w:tcW w:w="2793" w:type="pct"/>
            <w:hideMark/>
          </w:tcPr>
          <w:p w14:paraId="74531E3B" w14:textId="77777777" w:rsidR="007947BF" w:rsidRPr="008463F3" w:rsidRDefault="007947BF" w:rsidP="00DA2AFC">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8463F3">
              <w:rPr>
                <w:rFonts w:cs="Arial"/>
                <w:sz w:val="20"/>
                <w:szCs w:val="20"/>
                <w:lang w:val="en-GB"/>
              </w:rPr>
              <w:t>An open-door access policy for all interested users. Access is usually provided by sending a letter of interest</w:t>
            </w:r>
            <w:r>
              <w:rPr>
                <w:rFonts w:cs="Arial"/>
                <w:sz w:val="20"/>
                <w:szCs w:val="20"/>
                <w:lang w:val="en-GB"/>
              </w:rPr>
              <w:t>.</w:t>
            </w:r>
          </w:p>
        </w:tc>
      </w:tr>
      <w:tr w:rsidR="007947BF" w:rsidRPr="00A21742" w14:paraId="3BA3D95B" w14:textId="77777777" w:rsidTr="00DA2AFC">
        <w:trPr>
          <w:trHeight w:val="1275"/>
        </w:trPr>
        <w:tc>
          <w:tcPr>
            <w:cnfStyle w:val="001000000000" w:firstRow="0" w:lastRow="0" w:firstColumn="1" w:lastColumn="0" w:oddVBand="0" w:evenVBand="0" w:oddHBand="0" w:evenHBand="0" w:firstRowFirstColumn="0" w:firstRowLastColumn="0" w:lastRowFirstColumn="0" w:lastRowLastColumn="0"/>
            <w:tcW w:w="1660" w:type="pct"/>
            <w:hideMark/>
          </w:tcPr>
          <w:p w14:paraId="44A06560" w14:textId="77777777" w:rsidR="007947BF" w:rsidRPr="00A21742" w:rsidRDefault="007947BF" w:rsidP="00DA2AFC">
            <w:pPr>
              <w:rPr>
                <w:rFonts w:cs="Arial"/>
                <w:sz w:val="20"/>
                <w:szCs w:val="20"/>
                <w:lang w:val="en-GB"/>
              </w:rPr>
            </w:pPr>
            <w:proofErr w:type="spellStart"/>
            <w:r w:rsidRPr="00535735">
              <w:rPr>
                <w:rFonts w:cs="Arial"/>
                <w:sz w:val="20"/>
                <w:szCs w:val="20"/>
                <w:lang w:val="en-GB"/>
              </w:rPr>
              <w:t>Goce</w:t>
            </w:r>
            <w:proofErr w:type="spellEnd"/>
            <w:r w:rsidRPr="00535735">
              <w:rPr>
                <w:rFonts w:cs="Arial"/>
                <w:sz w:val="20"/>
                <w:szCs w:val="20"/>
                <w:lang w:val="en-GB"/>
              </w:rPr>
              <w:t xml:space="preserve"> </w:t>
            </w:r>
            <w:proofErr w:type="spellStart"/>
            <w:r w:rsidRPr="00535735">
              <w:rPr>
                <w:rFonts w:cs="Arial"/>
                <w:sz w:val="20"/>
                <w:szCs w:val="20"/>
                <w:lang w:val="en-GB"/>
              </w:rPr>
              <w:t>Delchev</w:t>
            </w:r>
            <w:proofErr w:type="spellEnd"/>
            <w:r w:rsidRPr="00535735">
              <w:rPr>
                <w:rFonts w:cs="Arial"/>
                <w:sz w:val="20"/>
                <w:szCs w:val="20"/>
                <w:lang w:val="en-GB"/>
              </w:rPr>
              <w:t xml:space="preserve"> University, AMBICON research group</w:t>
            </w:r>
            <w:r w:rsidRPr="00535735">
              <w:rPr>
                <w:rFonts w:cs="Arial"/>
                <w:sz w:val="20"/>
                <w:szCs w:val="20"/>
                <w:lang w:val="en-GB"/>
              </w:rPr>
              <w:br/>
              <w:t>Faculty of Natural and Technical Sciences</w:t>
            </w:r>
          </w:p>
        </w:tc>
        <w:tc>
          <w:tcPr>
            <w:tcW w:w="547" w:type="pct"/>
            <w:noWrap/>
            <w:hideMark/>
          </w:tcPr>
          <w:p w14:paraId="585DEE89" w14:textId="77777777" w:rsidR="007947BF" w:rsidRPr="00A21742" w:rsidRDefault="007947BF" w:rsidP="00DA2AFC">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A21742">
              <w:rPr>
                <w:rFonts w:cs="Arial"/>
                <w:sz w:val="20"/>
                <w:szCs w:val="20"/>
                <w:lang w:val="en-GB"/>
              </w:rPr>
              <w:t>No</w:t>
            </w:r>
          </w:p>
        </w:tc>
        <w:tc>
          <w:tcPr>
            <w:tcW w:w="2793" w:type="pct"/>
            <w:hideMark/>
          </w:tcPr>
          <w:p w14:paraId="2694F5BB" w14:textId="77777777" w:rsidR="007947BF" w:rsidRPr="00A21742" w:rsidRDefault="007947BF" w:rsidP="00DA2AFC">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A21742">
              <w:rPr>
                <w:rFonts w:cs="Arial"/>
                <w:sz w:val="20"/>
                <w:szCs w:val="20"/>
                <w:lang w:val="en-GB"/>
              </w:rPr>
              <w:t xml:space="preserve">In general, all equipment used for educational and scientific purposes is free of charge or charged based on material costs (AMBICON group has a free of charge policy while UNILAB charges material costs or applies a discount on standard pricing). </w:t>
            </w:r>
          </w:p>
        </w:tc>
      </w:tr>
      <w:tr w:rsidR="007947BF" w:rsidRPr="00A21742" w14:paraId="3C1B30D1" w14:textId="77777777" w:rsidTr="00DA2AFC">
        <w:trPr>
          <w:cnfStyle w:val="000000100000" w:firstRow="0" w:lastRow="0" w:firstColumn="0" w:lastColumn="0" w:oddVBand="0" w:evenVBand="0" w:oddHBand="1" w:evenHBand="0" w:firstRowFirstColumn="0" w:firstRowLastColumn="0" w:lastRowFirstColumn="0" w:lastRowLastColumn="0"/>
          <w:trHeight w:val="1336"/>
        </w:trPr>
        <w:tc>
          <w:tcPr>
            <w:cnfStyle w:val="001000000000" w:firstRow="0" w:lastRow="0" w:firstColumn="1" w:lastColumn="0" w:oddVBand="0" w:evenVBand="0" w:oddHBand="0" w:evenHBand="0" w:firstRowFirstColumn="0" w:firstRowLastColumn="0" w:lastRowFirstColumn="0" w:lastRowLastColumn="0"/>
            <w:tcW w:w="1660" w:type="pct"/>
            <w:hideMark/>
          </w:tcPr>
          <w:p w14:paraId="17D64A68" w14:textId="77777777" w:rsidR="007947BF" w:rsidRPr="00A21742" w:rsidRDefault="007947BF" w:rsidP="00DA2AFC">
            <w:pPr>
              <w:rPr>
                <w:rFonts w:cs="Arial"/>
                <w:sz w:val="20"/>
                <w:szCs w:val="20"/>
                <w:lang w:val="en-GB"/>
              </w:rPr>
            </w:pPr>
            <w:r w:rsidRPr="00A21742">
              <w:rPr>
                <w:rFonts w:cs="Arial"/>
                <w:sz w:val="20"/>
                <w:szCs w:val="20"/>
                <w:lang w:val="en-GB"/>
              </w:rPr>
              <w:t xml:space="preserve">University of </w:t>
            </w:r>
            <w:proofErr w:type="spellStart"/>
            <w:r w:rsidRPr="00A21742">
              <w:rPr>
                <w:rFonts w:cs="Arial"/>
                <w:sz w:val="20"/>
                <w:szCs w:val="20"/>
                <w:lang w:val="en-GB"/>
              </w:rPr>
              <w:t>Tetova</w:t>
            </w:r>
            <w:proofErr w:type="spellEnd"/>
          </w:p>
        </w:tc>
        <w:tc>
          <w:tcPr>
            <w:tcW w:w="547" w:type="pct"/>
            <w:noWrap/>
            <w:hideMark/>
          </w:tcPr>
          <w:p w14:paraId="12F1432A" w14:textId="77777777" w:rsidR="007947BF" w:rsidRPr="00A21742" w:rsidRDefault="007947BF" w:rsidP="00DA2AFC">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A21742">
              <w:rPr>
                <w:rFonts w:cs="Arial"/>
                <w:sz w:val="20"/>
                <w:szCs w:val="20"/>
                <w:lang w:val="en-GB"/>
              </w:rPr>
              <w:t>No</w:t>
            </w:r>
          </w:p>
        </w:tc>
        <w:tc>
          <w:tcPr>
            <w:tcW w:w="2793" w:type="pct"/>
            <w:hideMark/>
          </w:tcPr>
          <w:p w14:paraId="4CAA4B65" w14:textId="77777777" w:rsidR="007947BF" w:rsidRPr="00A21742" w:rsidRDefault="007947BF" w:rsidP="00DA2AFC">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A21742">
              <w:rPr>
                <w:rFonts w:cs="Arial"/>
                <w:sz w:val="20"/>
                <w:szCs w:val="20"/>
                <w:lang w:val="en-GB"/>
              </w:rPr>
              <w:t>Access policy is regulated following the Lakehead University Emergency Procedures document posted in each laboratory. Internal procedures for access to research infrastructure are mostly defined for students.</w:t>
            </w:r>
          </w:p>
        </w:tc>
      </w:tr>
      <w:tr w:rsidR="007947BF" w:rsidRPr="00A21742" w14:paraId="68B112B4" w14:textId="77777777" w:rsidTr="00DA2AFC">
        <w:trPr>
          <w:trHeight w:val="510"/>
        </w:trPr>
        <w:tc>
          <w:tcPr>
            <w:cnfStyle w:val="001000000000" w:firstRow="0" w:lastRow="0" w:firstColumn="1" w:lastColumn="0" w:oddVBand="0" w:evenVBand="0" w:oddHBand="0" w:evenHBand="0" w:firstRowFirstColumn="0" w:firstRowLastColumn="0" w:lastRowFirstColumn="0" w:lastRowLastColumn="0"/>
            <w:tcW w:w="1660" w:type="pct"/>
            <w:hideMark/>
          </w:tcPr>
          <w:p w14:paraId="7A2C9492" w14:textId="77777777" w:rsidR="007947BF" w:rsidRPr="00A21742" w:rsidRDefault="007947BF" w:rsidP="00DA2AFC">
            <w:pPr>
              <w:rPr>
                <w:rFonts w:cs="Arial"/>
                <w:sz w:val="20"/>
                <w:szCs w:val="20"/>
                <w:lang w:val="en-GB"/>
              </w:rPr>
            </w:pPr>
            <w:r w:rsidRPr="00A21742">
              <w:rPr>
                <w:rFonts w:cs="Arial"/>
                <w:sz w:val="20"/>
                <w:szCs w:val="20"/>
                <w:lang w:val="en-GB"/>
              </w:rPr>
              <w:t>Mother Teresa University, Skopje</w:t>
            </w:r>
          </w:p>
        </w:tc>
        <w:tc>
          <w:tcPr>
            <w:tcW w:w="547" w:type="pct"/>
            <w:noWrap/>
            <w:hideMark/>
          </w:tcPr>
          <w:p w14:paraId="1B4C8C4B" w14:textId="77777777" w:rsidR="007947BF" w:rsidRPr="00A21742" w:rsidRDefault="007947BF" w:rsidP="00DA2AFC">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A21742">
              <w:rPr>
                <w:rFonts w:cs="Arial"/>
                <w:sz w:val="20"/>
                <w:szCs w:val="20"/>
                <w:lang w:val="en-GB"/>
              </w:rPr>
              <w:t>No</w:t>
            </w:r>
          </w:p>
        </w:tc>
        <w:tc>
          <w:tcPr>
            <w:tcW w:w="2793" w:type="pct"/>
            <w:hideMark/>
          </w:tcPr>
          <w:p w14:paraId="62AED869" w14:textId="77777777" w:rsidR="007947BF" w:rsidRPr="00A21742" w:rsidRDefault="007947BF" w:rsidP="00DA2AFC">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A21742">
              <w:rPr>
                <w:rFonts w:cs="Arial"/>
                <w:sz w:val="20"/>
                <w:szCs w:val="20"/>
                <w:lang w:val="en-GB"/>
              </w:rPr>
              <w:t>There is no access policy. Research equipment is available to education and research staff and students.</w:t>
            </w:r>
          </w:p>
        </w:tc>
      </w:tr>
      <w:tr w:rsidR="007947BF" w:rsidRPr="00A21742" w14:paraId="54961DAE" w14:textId="77777777" w:rsidTr="00DA2AFC">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1660" w:type="pct"/>
            <w:hideMark/>
          </w:tcPr>
          <w:p w14:paraId="6C276612" w14:textId="77777777" w:rsidR="007947BF" w:rsidRPr="00A21742" w:rsidRDefault="007947BF" w:rsidP="00DA2AFC">
            <w:pPr>
              <w:rPr>
                <w:rFonts w:cs="Arial"/>
                <w:sz w:val="20"/>
                <w:szCs w:val="20"/>
                <w:lang w:val="en-GB"/>
              </w:rPr>
            </w:pPr>
            <w:r w:rsidRPr="00A21742">
              <w:rPr>
                <w:rFonts w:cs="Arial"/>
                <w:sz w:val="20"/>
                <w:szCs w:val="20"/>
                <w:lang w:val="en-GB"/>
              </w:rPr>
              <w:t xml:space="preserve">Institute for Advanced Composites and Robotics </w:t>
            </w:r>
            <w:proofErr w:type="spellStart"/>
            <w:r w:rsidRPr="00A21742">
              <w:rPr>
                <w:rFonts w:cs="Arial"/>
                <w:sz w:val="20"/>
                <w:szCs w:val="20"/>
                <w:lang w:val="en-GB"/>
              </w:rPr>
              <w:t>Prilep</w:t>
            </w:r>
            <w:proofErr w:type="spellEnd"/>
          </w:p>
        </w:tc>
        <w:tc>
          <w:tcPr>
            <w:tcW w:w="547" w:type="pct"/>
            <w:noWrap/>
            <w:hideMark/>
          </w:tcPr>
          <w:p w14:paraId="3E83A2D8" w14:textId="77777777" w:rsidR="007947BF" w:rsidRPr="00A21742" w:rsidRDefault="007947BF" w:rsidP="00DA2AFC">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A21742">
              <w:rPr>
                <w:rFonts w:cs="Arial"/>
                <w:sz w:val="20"/>
                <w:szCs w:val="20"/>
                <w:lang w:val="en-GB"/>
              </w:rPr>
              <w:t>No</w:t>
            </w:r>
          </w:p>
        </w:tc>
        <w:tc>
          <w:tcPr>
            <w:tcW w:w="2793" w:type="pct"/>
            <w:hideMark/>
          </w:tcPr>
          <w:p w14:paraId="5B0B1E4C" w14:textId="77777777" w:rsidR="007947BF" w:rsidRPr="00A21742" w:rsidRDefault="007947BF" w:rsidP="00DA2AFC">
            <w:pPr>
              <w:cnfStyle w:val="000000100000" w:firstRow="0" w:lastRow="0" w:firstColumn="0" w:lastColumn="0" w:oddVBand="0" w:evenVBand="0" w:oddHBand="1" w:evenHBand="0" w:firstRowFirstColumn="0" w:firstRowLastColumn="0" w:lastRowFirstColumn="0" w:lastRowLastColumn="0"/>
              <w:rPr>
                <w:rFonts w:cs="Arial"/>
                <w:sz w:val="20"/>
                <w:szCs w:val="20"/>
                <w:lang w:val="en-GB"/>
              </w:rPr>
            </w:pPr>
            <w:r w:rsidRPr="00A21742">
              <w:rPr>
                <w:rFonts w:cs="Arial"/>
                <w:sz w:val="20"/>
                <w:szCs w:val="20"/>
                <w:lang w:val="en-GB"/>
              </w:rPr>
              <w:t>Upon receiving a request for a service, the internal expert team makes a quotation for using research infrastructure.</w:t>
            </w:r>
          </w:p>
        </w:tc>
      </w:tr>
      <w:tr w:rsidR="007947BF" w:rsidRPr="00535735" w14:paraId="2FFA8FC3" w14:textId="77777777" w:rsidTr="00DA2AFC">
        <w:trPr>
          <w:trHeight w:val="829"/>
        </w:trPr>
        <w:tc>
          <w:tcPr>
            <w:cnfStyle w:val="001000000000" w:firstRow="0" w:lastRow="0" w:firstColumn="1" w:lastColumn="0" w:oddVBand="0" w:evenVBand="0" w:oddHBand="0" w:evenHBand="0" w:firstRowFirstColumn="0" w:firstRowLastColumn="0" w:lastRowFirstColumn="0" w:lastRowLastColumn="0"/>
            <w:tcW w:w="1660" w:type="pct"/>
          </w:tcPr>
          <w:p w14:paraId="1DFD6E69" w14:textId="77777777" w:rsidR="007947BF" w:rsidRPr="00535735" w:rsidRDefault="007947BF" w:rsidP="00DA2AFC">
            <w:pPr>
              <w:rPr>
                <w:rFonts w:cs="Arial"/>
                <w:sz w:val="20"/>
                <w:szCs w:val="20"/>
                <w:lang w:val="en-GB"/>
              </w:rPr>
            </w:pPr>
            <w:r w:rsidRPr="00535735">
              <w:rPr>
                <w:rFonts w:cs="Arial"/>
                <w:sz w:val="20"/>
                <w:szCs w:val="20"/>
                <w:lang w:val="en-GB"/>
              </w:rPr>
              <w:t xml:space="preserve">MASA, Georgi D </w:t>
            </w:r>
            <w:proofErr w:type="spellStart"/>
            <w:r w:rsidRPr="00535735">
              <w:rPr>
                <w:rFonts w:cs="Arial"/>
                <w:sz w:val="20"/>
                <w:szCs w:val="20"/>
                <w:lang w:val="en-GB"/>
              </w:rPr>
              <w:t>Efremov</w:t>
            </w:r>
            <w:proofErr w:type="spellEnd"/>
            <w:r w:rsidRPr="00535735">
              <w:rPr>
                <w:rFonts w:cs="Arial"/>
                <w:sz w:val="20"/>
                <w:szCs w:val="20"/>
                <w:lang w:val="en-GB"/>
              </w:rPr>
              <w:t xml:space="preserve"> Research Centre for Genetic Engineering and Biotechnology </w:t>
            </w:r>
          </w:p>
        </w:tc>
        <w:tc>
          <w:tcPr>
            <w:tcW w:w="547" w:type="pct"/>
            <w:noWrap/>
          </w:tcPr>
          <w:p w14:paraId="1E816F97" w14:textId="77777777" w:rsidR="007947BF" w:rsidRPr="00535735" w:rsidRDefault="007947BF" w:rsidP="00DA2AFC">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35735">
              <w:rPr>
                <w:rFonts w:cs="Arial"/>
                <w:sz w:val="20"/>
                <w:szCs w:val="20"/>
                <w:lang w:val="en-GB"/>
              </w:rPr>
              <w:t>No</w:t>
            </w:r>
          </w:p>
        </w:tc>
        <w:tc>
          <w:tcPr>
            <w:tcW w:w="2793" w:type="pct"/>
          </w:tcPr>
          <w:p w14:paraId="66A2A53B" w14:textId="77777777" w:rsidR="007947BF" w:rsidRPr="00535735" w:rsidRDefault="007947BF" w:rsidP="00DA2AFC">
            <w:p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35735">
              <w:rPr>
                <w:rFonts w:cs="Arial"/>
                <w:sz w:val="20"/>
                <w:szCs w:val="20"/>
                <w:lang w:val="en-GB"/>
              </w:rPr>
              <w:t>The RCGEB has an open access policy for the use of its expertise and facilities for scientists from the economy and abroad. The major principles for giving the access to the user(s) are based on the following:</w:t>
            </w:r>
          </w:p>
          <w:p w14:paraId="08A9BD2D" w14:textId="77777777" w:rsidR="007947BF" w:rsidRPr="00535735" w:rsidRDefault="007947BF" w:rsidP="007947BF">
            <w:pPr>
              <w:pStyle w:val="ListParagraph"/>
              <w:numPr>
                <w:ilvl w:val="0"/>
                <w:numId w:val="52"/>
              </w:num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35735">
              <w:rPr>
                <w:rFonts w:cs="Arial"/>
                <w:sz w:val="20"/>
                <w:szCs w:val="20"/>
                <w:lang w:val="en-GB"/>
              </w:rPr>
              <w:t>Collaborative research projects in the field(s) of the ongoing research activities of the RCGEB-MASA</w:t>
            </w:r>
          </w:p>
          <w:p w14:paraId="72CB1AAC" w14:textId="77777777" w:rsidR="007947BF" w:rsidRPr="00535735" w:rsidRDefault="007947BF" w:rsidP="007947BF">
            <w:pPr>
              <w:pStyle w:val="ListParagraph"/>
              <w:numPr>
                <w:ilvl w:val="0"/>
                <w:numId w:val="52"/>
              </w:num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35735">
              <w:rPr>
                <w:rFonts w:cs="Arial"/>
                <w:sz w:val="20"/>
                <w:szCs w:val="20"/>
                <w:lang w:val="en-GB"/>
              </w:rPr>
              <w:t>Free access with consumables covered by the users; the results should be jointly published</w:t>
            </w:r>
          </w:p>
          <w:p w14:paraId="74CB2294" w14:textId="77777777" w:rsidR="007947BF" w:rsidRPr="00535735" w:rsidRDefault="007947BF" w:rsidP="007947BF">
            <w:pPr>
              <w:pStyle w:val="ListParagraph"/>
              <w:numPr>
                <w:ilvl w:val="0"/>
                <w:numId w:val="52"/>
              </w:numPr>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sidRPr="00535735">
              <w:rPr>
                <w:rFonts w:cs="Arial"/>
                <w:sz w:val="20"/>
                <w:szCs w:val="20"/>
                <w:lang w:val="en-GB"/>
              </w:rPr>
              <w:t>Paid services</w:t>
            </w:r>
          </w:p>
        </w:tc>
      </w:tr>
    </w:tbl>
    <w:p w14:paraId="3A69F964" w14:textId="77777777" w:rsidR="007947BF" w:rsidRPr="008463F3" w:rsidRDefault="007947BF" w:rsidP="007947BF">
      <w:pPr>
        <w:jc w:val="both"/>
        <w:rPr>
          <w:sz w:val="20"/>
          <w:shd w:val="clear" w:color="auto" w:fill="FFFFFF"/>
          <w:lang w:val="en-GB"/>
        </w:rPr>
      </w:pPr>
      <w:r w:rsidRPr="008463F3">
        <w:rPr>
          <w:sz w:val="20"/>
          <w:shd w:val="clear" w:color="auto" w:fill="FFFFFF"/>
          <w:lang w:val="en-GB"/>
        </w:rPr>
        <w:t xml:space="preserve">Source: </w:t>
      </w:r>
      <w:proofErr w:type="spellStart"/>
      <w:r w:rsidRPr="008463F3">
        <w:rPr>
          <w:sz w:val="20"/>
          <w:shd w:val="clear" w:color="auto" w:fill="FFFFFF"/>
          <w:lang w:val="en-GB"/>
        </w:rPr>
        <w:t>ToE</w:t>
      </w:r>
      <w:proofErr w:type="spellEnd"/>
      <w:r w:rsidRPr="008463F3">
        <w:rPr>
          <w:sz w:val="20"/>
          <w:shd w:val="clear" w:color="auto" w:fill="FFFFFF"/>
          <w:lang w:val="en-GB"/>
        </w:rPr>
        <w:t xml:space="preserve"> – Team of Experts, analysis of collected questionnaires </w:t>
      </w:r>
    </w:p>
    <w:p w14:paraId="0E914B18" w14:textId="77777777" w:rsidR="007947BF" w:rsidRPr="008463F3" w:rsidRDefault="007947BF" w:rsidP="007947BF">
      <w:pPr>
        <w:jc w:val="both"/>
        <w:rPr>
          <w:lang w:val="en-GB"/>
        </w:rPr>
      </w:pPr>
      <w:r w:rsidRPr="008463F3">
        <w:rPr>
          <w:lang w:val="en-GB"/>
        </w:rPr>
        <w:t xml:space="preserve">RCC Secretariat has implemented Open Access Research Infrastructure in the Western Balkans Support Programme in the period </w:t>
      </w:r>
      <w:r>
        <w:rPr>
          <w:lang w:val="en-GB"/>
        </w:rPr>
        <w:t>from</w:t>
      </w:r>
      <w:r w:rsidRPr="008463F3">
        <w:rPr>
          <w:lang w:val="en-GB"/>
        </w:rPr>
        <w:t xml:space="preserve"> May </w:t>
      </w:r>
      <w:r>
        <w:rPr>
          <w:lang w:val="en-GB"/>
        </w:rPr>
        <w:t>to</w:t>
      </w:r>
      <w:r w:rsidRPr="008463F3">
        <w:rPr>
          <w:lang w:val="en-GB"/>
        </w:rPr>
        <w:t xml:space="preserve"> December 2020 to guide the preparation of the Open Access policies for selected Research Infrastructures in the Western Balkans, and to train management, administrative and research staff to introduce principles of Open Access to research infrastructures. </w:t>
      </w:r>
    </w:p>
    <w:p w14:paraId="76FAA26B" w14:textId="77777777" w:rsidR="007947BF" w:rsidRPr="008463F3" w:rsidRDefault="007947BF" w:rsidP="007947BF">
      <w:pPr>
        <w:spacing w:after="0"/>
        <w:jc w:val="both"/>
        <w:rPr>
          <w:lang w:val="en-GB"/>
        </w:rPr>
      </w:pPr>
      <w:r w:rsidRPr="008463F3">
        <w:rPr>
          <w:lang w:val="en-GB"/>
        </w:rPr>
        <w:t>The following research institutions from North Macedonia participated in this programme:</w:t>
      </w:r>
    </w:p>
    <w:p w14:paraId="0835E6C0" w14:textId="77777777" w:rsidR="007947BF" w:rsidRPr="008463F3" w:rsidRDefault="007947BF" w:rsidP="007947BF">
      <w:pPr>
        <w:pStyle w:val="ListParagraph"/>
        <w:numPr>
          <w:ilvl w:val="0"/>
          <w:numId w:val="16"/>
        </w:numPr>
        <w:jc w:val="both"/>
        <w:rPr>
          <w:lang w:val="en-GB"/>
        </w:rPr>
      </w:pPr>
      <w:r w:rsidRPr="008463F3">
        <w:rPr>
          <w:lang w:val="en-GB"/>
        </w:rPr>
        <w:t>The Institute for Social, Political and Juridical Research, Ss. Cyril and Methodius University in Skopje</w:t>
      </w:r>
    </w:p>
    <w:p w14:paraId="16E1FB3D" w14:textId="77777777" w:rsidR="007947BF" w:rsidRPr="008463F3" w:rsidRDefault="007947BF" w:rsidP="007947BF">
      <w:pPr>
        <w:pStyle w:val="ListParagraph"/>
        <w:numPr>
          <w:ilvl w:val="0"/>
          <w:numId w:val="16"/>
        </w:numPr>
        <w:jc w:val="both"/>
        <w:rPr>
          <w:lang w:val="en-GB"/>
        </w:rPr>
      </w:pPr>
      <w:r w:rsidRPr="008463F3">
        <w:rPr>
          <w:lang w:val="en-GB"/>
        </w:rPr>
        <w:t>Institute of Economics, Ss. Cyril and Methodius University in Skopje</w:t>
      </w:r>
    </w:p>
    <w:p w14:paraId="7670226E" w14:textId="77777777" w:rsidR="007947BF" w:rsidRPr="008463F3" w:rsidRDefault="007947BF" w:rsidP="007947BF">
      <w:pPr>
        <w:pStyle w:val="ListParagraph"/>
        <w:numPr>
          <w:ilvl w:val="0"/>
          <w:numId w:val="16"/>
        </w:numPr>
        <w:jc w:val="both"/>
        <w:rPr>
          <w:lang w:val="en-GB"/>
        </w:rPr>
      </w:pPr>
      <w:r w:rsidRPr="008463F3">
        <w:rPr>
          <w:lang w:val="en-GB"/>
        </w:rPr>
        <w:t>Faculty of Computer Science and Engineering, Ss. Cyril and Methodius University in Skopje</w:t>
      </w:r>
    </w:p>
    <w:p w14:paraId="46E5DCE8" w14:textId="77777777" w:rsidR="007947BF" w:rsidRPr="008463F3" w:rsidRDefault="007947BF" w:rsidP="007947BF">
      <w:pPr>
        <w:pStyle w:val="ListParagraph"/>
        <w:numPr>
          <w:ilvl w:val="0"/>
          <w:numId w:val="16"/>
        </w:numPr>
        <w:jc w:val="both"/>
        <w:rPr>
          <w:lang w:val="en-GB"/>
        </w:rPr>
      </w:pPr>
      <w:r w:rsidRPr="008463F3">
        <w:rPr>
          <w:lang w:val="en-GB"/>
        </w:rPr>
        <w:t xml:space="preserve">Rectorate of the Ss. Cyril and Methodius University in Skopje </w:t>
      </w:r>
    </w:p>
    <w:p w14:paraId="7B588F5D" w14:textId="77777777" w:rsidR="007947BF" w:rsidRPr="008463F3" w:rsidRDefault="007947BF" w:rsidP="007947BF">
      <w:pPr>
        <w:jc w:val="both"/>
        <w:rPr>
          <w:lang w:val="en-GB"/>
        </w:rPr>
      </w:pPr>
      <w:r w:rsidRPr="008463F3">
        <w:rPr>
          <w:lang w:val="en-GB"/>
        </w:rPr>
        <w:t>As a result of the programme, all beneficiary institutions have developed Access Policies to research infrastructures.</w:t>
      </w:r>
    </w:p>
    <w:p w14:paraId="0F80CFE2" w14:textId="77777777" w:rsidR="007947BF" w:rsidRPr="008463F3" w:rsidRDefault="007947BF" w:rsidP="007947BF">
      <w:pPr>
        <w:jc w:val="both"/>
        <w:rPr>
          <w:lang w:val="en-GB"/>
        </w:rPr>
      </w:pPr>
      <w:r w:rsidRPr="008463F3">
        <w:rPr>
          <w:lang w:val="en-GB"/>
        </w:rPr>
        <w:t xml:space="preserve">It should be also noted that with the support of the NI4OS-Europe project, the initial activities for the establishment of the National Open Science Cloud Initiative (NOSCI) in North Macedonia have already begun. The </w:t>
      </w:r>
      <w:hyperlink r:id="rId10" w:history="1">
        <w:r w:rsidRPr="008463F3">
          <w:rPr>
            <w:rStyle w:val="Hyperlink"/>
            <w:color w:val="auto"/>
          </w:rPr>
          <w:t>https://nosci.mk/</w:t>
        </w:r>
      </w:hyperlink>
      <w:r w:rsidRPr="008463F3">
        <w:rPr>
          <w:lang w:val="en-GB"/>
        </w:rPr>
        <w:t xml:space="preserve"> web site is already published, containing useful information on all open science related principles, in Macedonian, Albanian and English. The draft version of the Declaration of the NOSCI.mk is currently being developed and will be open for all individuals and institutions interested to support the NOSCI.mk. </w:t>
      </w:r>
    </w:p>
    <w:p w14:paraId="5BB3D68F" w14:textId="77777777" w:rsidR="007947BF" w:rsidRPr="008463F3" w:rsidRDefault="007947BF" w:rsidP="007947BF">
      <w:pPr>
        <w:rPr>
          <w:shd w:val="clear" w:color="auto" w:fill="FFFFFF"/>
          <w:lang w:val="en-GB"/>
        </w:rPr>
      </w:pPr>
    </w:p>
    <w:p w14:paraId="1D3B1467" w14:textId="77777777" w:rsidR="007947BF" w:rsidRPr="008463F3" w:rsidRDefault="007947BF" w:rsidP="007947BF">
      <w:pPr>
        <w:rPr>
          <w:rFonts w:eastAsiaTheme="majorEastAsia" w:cstheme="majorBidi"/>
          <w:b/>
          <w:bCs/>
          <w:color w:val="4F81BD" w:themeColor="accent1"/>
          <w:sz w:val="26"/>
          <w:szCs w:val="26"/>
          <w:lang w:val="en-GB"/>
        </w:rPr>
      </w:pPr>
      <w:bookmarkStart w:id="30" w:name="_Toc61096333"/>
      <w:r w:rsidRPr="008463F3">
        <w:rPr>
          <w:lang w:val="en-GB"/>
        </w:rPr>
        <w:br w:type="page"/>
      </w:r>
    </w:p>
    <w:p w14:paraId="7E8A6ED5" w14:textId="77777777" w:rsidR="007947BF" w:rsidRPr="008463F3" w:rsidRDefault="007947BF" w:rsidP="007947BF">
      <w:pPr>
        <w:pStyle w:val="Heading2"/>
        <w:spacing w:after="240"/>
        <w:rPr>
          <w:rFonts w:asciiTheme="minorHAnsi" w:hAnsiTheme="minorHAnsi"/>
          <w:lang w:val="en-GB"/>
        </w:rPr>
      </w:pPr>
      <w:bookmarkStart w:id="31" w:name="_Toc77322037"/>
      <w:r w:rsidRPr="008463F3">
        <w:rPr>
          <w:rFonts w:asciiTheme="minorHAnsi" w:hAnsiTheme="minorHAnsi"/>
          <w:lang w:val="en-GB"/>
        </w:rPr>
        <w:t>4.3. Research e-Infrastructures</w:t>
      </w:r>
      <w:bookmarkEnd w:id="30"/>
      <w:bookmarkEnd w:id="31"/>
    </w:p>
    <w:p w14:paraId="1FCAE328" w14:textId="77777777" w:rsidR="007947BF" w:rsidRPr="008463F3" w:rsidRDefault="007947BF" w:rsidP="007947BF">
      <w:pPr>
        <w:jc w:val="both"/>
        <w:rPr>
          <w:lang w:val="en-GB"/>
        </w:rPr>
      </w:pPr>
      <w:r w:rsidRPr="008463F3">
        <w:rPr>
          <w:lang w:val="en-GB"/>
        </w:rPr>
        <w:t>Modern education and modern research today are inconceivable without relying on e-infrastructure and without using the opportunities that different components of e-infrastructure bring to laboratories, classrooms and everyday collaboration. Growing needs for e-infrastructures are driven by new technologies and infrastructures that generate considerable data amounts within all research areas.</w:t>
      </w:r>
    </w:p>
    <w:p w14:paraId="45794016" w14:textId="77777777" w:rsidR="007947BF" w:rsidRPr="008463F3" w:rsidRDefault="007947BF" w:rsidP="007947BF">
      <w:pPr>
        <w:jc w:val="both"/>
        <w:rPr>
          <w:lang w:val="en-GB"/>
        </w:rPr>
      </w:pPr>
      <w:r w:rsidRPr="008463F3">
        <w:rPr>
          <w:lang w:val="en-GB"/>
        </w:rPr>
        <w:t>E-infrastructure is a complex integrated environment based on information and communication technology in which researchers, teachers, students and other members of the academic and research community collaborate and jointly gain access to distributed or unique components of research and educational infrastructures, regardless of the type and geographical location of this equipment. It consists of a series of interconnected layers: advanced communication networks, computer and storage resources located in data centr</w:t>
      </w:r>
      <w:r>
        <w:rPr>
          <w:lang w:val="en-GB"/>
        </w:rPr>
        <w:t>e</w:t>
      </w:r>
      <w:r w:rsidRPr="008463F3">
        <w:rPr>
          <w:lang w:val="en-GB"/>
        </w:rPr>
        <w:t>s, an intermediate layer, data layer</w:t>
      </w:r>
      <w:r>
        <w:rPr>
          <w:lang w:val="en-GB"/>
        </w:rPr>
        <w:t>,</w:t>
      </w:r>
      <w:r w:rsidRPr="008463F3">
        <w:rPr>
          <w:lang w:val="en-GB"/>
        </w:rPr>
        <w:t xml:space="preserve"> and information layer in which information systems operate and information services are provided to users. In the international context, research e-infrastructures include federation, storage, curation of large data sets (the Global Biodiversity Information Facility - GBIF, the International </w:t>
      </w:r>
      <w:proofErr w:type="spellStart"/>
      <w:r w:rsidRPr="008463F3">
        <w:rPr>
          <w:lang w:val="en-GB"/>
        </w:rPr>
        <w:t>Neuroinformatics</w:t>
      </w:r>
      <w:proofErr w:type="spellEnd"/>
      <w:r w:rsidRPr="008463F3">
        <w:rPr>
          <w:lang w:val="en-GB"/>
        </w:rPr>
        <w:t xml:space="preserve"> Coordinating Facility - INCF, the Consortium of European Social Science Data Archives - CESSDA, European Infrastructure Consortium – </w:t>
      </w:r>
      <w:proofErr w:type="spellStart"/>
      <w:r w:rsidRPr="008463F3">
        <w:rPr>
          <w:lang w:val="en-GB"/>
        </w:rPr>
        <w:t>LifeWatch</w:t>
      </w:r>
      <w:proofErr w:type="spellEnd"/>
      <w:r w:rsidRPr="008463F3">
        <w:rPr>
          <w:lang w:val="en-GB"/>
        </w:rPr>
        <w:t xml:space="preserve"> ERIC) and high performance computing and networking (GÉANT, PRACE).</w:t>
      </w:r>
    </w:p>
    <w:p w14:paraId="579C5B91" w14:textId="77777777" w:rsidR="007947BF" w:rsidRPr="008463F3" w:rsidRDefault="007947BF" w:rsidP="007947BF">
      <w:pPr>
        <w:jc w:val="both"/>
        <w:rPr>
          <w:lang w:val="en-GB"/>
        </w:rPr>
      </w:pPr>
      <w:r w:rsidRPr="008463F3">
        <w:rPr>
          <w:lang w:val="en-GB"/>
        </w:rPr>
        <w:t xml:space="preserve">North Macedonia contributes to the development of European e-infrastructure by participating in international projects, international associations and institutions, thus contributing to the greater integration of North Macedonia into the ERA. </w:t>
      </w:r>
    </w:p>
    <w:p w14:paraId="24719FC5" w14:textId="77777777" w:rsidR="007947BF" w:rsidRPr="008463F3" w:rsidRDefault="007947BF" w:rsidP="007947BF">
      <w:pPr>
        <w:jc w:val="both"/>
        <w:rPr>
          <w:lang w:val="en-GB"/>
        </w:rPr>
      </w:pPr>
      <w:r>
        <w:rPr>
          <w:lang w:val="en-GB"/>
        </w:rPr>
        <w:t>T</w:t>
      </w:r>
      <w:r w:rsidRPr="008463F3">
        <w:rPr>
          <w:lang w:val="en-GB"/>
        </w:rPr>
        <w:t xml:space="preserve">he e-infrastructure </w:t>
      </w:r>
      <w:r>
        <w:rPr>
          <w:lang w:val="en-GB"/>
        </w:rPr>
        <w:t>in place</w:t>
      </w:r>
      <w:r w:rsidRPr="008463F3">
        <w:rPr>
          <w:lang w:val="en-GB"/>
        </w:rPr>
        <w:t xml:space="preserve"> in North Macedonia </w:t>
      </w:r>
      <w:r>
        <w:rPr>
          <w:lang w:val="en-GB"/>
        </w:rPr>
        <w:t>is</w:t>
      </w:r>
      <w:r w:rsidRPr="008463F3">
        <w:rPr>
          <w:lang w:val="en-GB"/>
        </w:rPr>
        <w:t xml:space="preserve"> presented</w:t>
      </w:r>
      <w:r>
        <w:rPr>
          <w:lang w:val="en-GB"/>
        </w:rPr>
        <w:t xml:space="preserve"> below</w:t>
      </w:r>
      <w:r w:rsidRPr="008463F3">
        <w:rPr>
          <w:lang w:val="en-GB"/>
        </w:rPr>
        <w:t>. Section 4.4 highlights international research infrastructure projects in which institutions from North Macedonia have been participating.</w:t>
      </w:r>
    </w:p>
    <w:p w14:paraId="360B1718" w14:textId="77777777" w:rsidR="007947BF" w:rsidRPr="008463F3" w:rsidRDefault="007947BF" w:rsidP="007947BF">
      <w:pPr>
        <w:jc w:val="both"/>
        <w:rPr>
          <w:lang w:val="en-GB"/>
        </w:rPr>
      </w:pPr>
    </w:p>
    <w:p w14:paraId="6281B4FB" w14:textId="77777777" w:rsidR="007947BF" w:rsidRPr="008463F3" w:rsidRDefault="007947BF" w:rsidP="007947BF">
      <w:pPr>
        <w:pStyle w:val="Heading3"/>
        <w:spacing w:after="240"/>
        <w:rPr>
          <w:lang w:val="en-GB"/>
        </w:rPr>
      </w:pPr>
      <w:bookmarkStart w:id="32" w:name="_Toc77322038"/>
      <w:r w:rsidRPr="008463F3">
        <w:rPr>
          <w:lang w:val="en-GB"/>
        </w:rPr>
        <w:t>4.3.1. Faculty of Computer Sciences and Engineering, Ss. Cyril and Methodius University in Skopje</w:t>
      </w:r>
      <w:bookmarkEnd w:id="32"/>
    </w:p>
    <w:p w14:paraId="2508E30B" w14:textId="77777777" w:rsidR="007947BF" w:rsidRPr="008463F3" w:rsidRDefault="007947BF" w:rsidP="007947BF">
      <w:pPr>
        <w:jc w:val="both"/>
        <w:rPr>
          <w:lang w:val="en-GB"/>
        </w:rPr>
      </w:pPr>
      <w:r w:rsidRPr="008463F3">
        <w:rPr>
          <w:lang w:val="en-GB"/>
        </w:rPr>
        <w:t xml:space="preserve">The FCSE, UKIM is the most important institution in the economy with regards to e-infrastructure. </w:t>
      </w:r>
      <w:r>
        <w:rPr>
          <w:lang w:val="en-GB"/>
        </w:rPr>
        <w:t>It</w:t>
      </w:r>
      <w:r w:rsidRPr="008463F3">
        <w:rPr>
          <w:lang w:val="en-GB"/>
        </w:rPr>
        <w:t xml:space="preserve"> provide</w:t>
      </w:r>
      <w:r>
        <w:rPr>
          <w:lang w:val="en-GB"/>
        </w:rPr>
        <w:t>s</w:t>
      </w:r>
      <w:r w:rsidRPr="008463F3">
        <w:rPr>
          <w:lang w:val="en-GB"/>
        </w:rPr>
        <w:t xml:space="preserve"> e-infrastructure support to the academic and research communities, ministries, public sector, and the industry. FCSE is a national centr</w:t>
      </w:r>
      <w:r>
        <w:rPr>
          <w:lang w:val="en-GB"/>
        </w:rPr>
        <w:t>e</w:t>
      </w:r>
      <w:r w:rsidRPr="008463F3">
        <w:rPr>
          <w:lang w:val="en-GB"/>
        </w:rPr>
        <w:t xml:space="preserve"> for high performance computing and cloud. More information on services FCSE provides can be found in chapter 4.1.1.</w:t>
      </w:r>
    </w:p>
    <w:p w14:paraId="60FAD903" w14:textId="77777777" w:rsidR="007947BF" w:rsidRPr="008463F3" w:rsidRDefault="007947BF" w:rsidP="007947BF">
      <w:pPr>
        <w:jc w:val="both"/>
        <w:rPr>
          <w:lang w:val="en-GB"/>
        </w:rPr>
      </w:pPr>
      <w:r w:rsidRPr="008463F3">
        <w:rPr>
          <w:lang w:val="en-GB"/>
        </w:rPr>
        <w:t>The FCSE, UKIM participated in numerous e-Infrastructure projects in the framework of Horizon 2020 and FP7 programme and is also a member of the large pan-European research infrastructures. More information on projects and Large RIs is provided in chapters 4.4. and 4.5.</w:t>
      </w:r>
    </w:p>
    <w:p w14:paraId="126434E4" w14:textId="77777777" w:rsidR="007947BF" w:rsidRPr="008463F3" w:rsidRDefault="007947BF" w:rsidP="007947BF">
      <w:pPr>
        <w:jc w:val="both"/>
        <w:rPr>
          <w:lang w:val="en-GB"/>
        </w:rPr>
      </w:pPr>
    </w:p>
    <w:p w14:paraId="294DB86A" w14:textId="77777777" w:rsidR="007947BF" w:rsidRPr="008463F3" w:rsidRDefault="007947BF" w:rsidP="007947BF">
      <w:pPr>
        <w:jc w:val="both"/>
        <w:rPr>
          <w:lang w:val="en-GB"/>
        </w:rPr>
      </w:pPr>
    </w:p>
    <w:p w14:paraId="25A88D15" w14:textId="77777777" w:rsidR="007947BF" w:rsidRPr="008463F3" w:rsidRDefault="007947BF" w:rsidP="007947BF">
      <w:pPr>
        <w:pStyle w:val="Heading3"/>
        <w:spacing w:after="240"/>
        <w:rPr>
          <w:rStyle w:val="Heading3Char"/>
          <w:rFonts w:asciiTheme="minorHAnsi" w:hAnsiTheme="minorHAnsi"/>
          <w:b/>
          <w:bCs/>
          <w:lang w:val="en-GB"/>
        </w:rPr>
      </w:pPr>
      <w:bookmarkStart w:id="33" w:name="_Toc77322039"/>
      <w:r w:rsidRPr="008463F3">
        <w:rPr>
          <w:rFonts w:asciiTheme="minorHAnsi" w:hAnsiTheme="minorHAnsi"/>
          <w:lang w:val="en-GB"/>
        </w:rPr>
        <w:t>4</w:t>
      </w:r>
      <w:r w:rsidRPr="008463F3">
        <w:rPr>
          <w:rStyle w:val="Heading3Char"/>
          <w:rFonts w:asciiTheme="minorHAnsi" w:hAnsiTheme="minorHAnsi"/>
          <w:lang w:val="en-GB"/>
        </w:rPr>
        <w:t xml:space="preserve">.3.2. National Research and Academic Network of North Macedonia – </w:t>
      </w:r>
      <w:proofErr w:type="spellStart"/>
      <w:r w:rsidRPr="008463F3">
        <w:rPr>
          <w:rStyle w:val="Heading3Char"/>
          <w:rFonts w:asciiTheme="minorHAnsi" w:hAnsiTheme="minorHAnsi"/>
          <w:lang w:val="en-GB"/>
        </w:rPr>
        <w:t>MARNet</w:t>
      </w:r>
      <w:bookmarkEnd w:id="33"/>
      <w:proofErr w:type="spellEnd"/>
    </w:p>
    <w:p w14:paraId="4E39188C" w14:textId="77777777" w:rsidR="007947BF" w:rsidRPr="008463F3" w:rsidRDefault="007947BF" w:rsidP="007947BF">
      <w:pPr>
        <w:jc w:val="both"/>
        <w:rPr>
          <w:lang w:val="en-GB"/>
        </w:rPr>
      </w:pPr>
      <w:r w:rsidRPr="008463F3">
        <w:rPr>
          <w:lang w:val="en-GB"/>
        </w:rPr>
        <w:t>Macedonian Research and Academic Network (</w:t>
      </w:r>
      <w:proofErr w:type="spellStart"/>
      <w:r w:rsidRPr="008463F3">
        <w:rPr>
          <w:lang w:val="en-GB"/>
        </w:rPr>
        <w:t>MARNet</w:t>
      </w:r>
      <w:proofErr w:type="spellEnd"/>
      <w:r w:rsidRPr="008463F3">
        <w:rPr>
          <w:lang w:val="en-GB"/>
        </w:rPr>
        <w:t>) is a public institution established by the Law o</w:t>
      </w:r>
      <w:r>
        <w:rPr>
          <w:lang w:val="en-GB"/>
        </w:rPr>
        <w:t>n</w:t>
      </w:r>
      <w:r w:rsidRPr="008463F3">
        <w:rPr>
          <w:lang w:val="en-GB"/>
        </w:rPr>
        <w:t xml:space="preserve"> establishing the Macedonian </w:t>
      </w:r>
      <w:r>
        <w:rPr>
          <w:lang w:val="en-GB"/>
        </w:rPr>
        <w:t>A</w:t>
      </w:r>
      <w:r w:rsidRPr="008463F3">
        <w:rPr>
          <w:lang w:val="en-GB"/>
        </w:rPr>
        <w:t xml:space="preserve">cademic </w:t>
      </w:r>
      <w:r>
        <w:rPr>
          <w:lang w:val="en-GB"/>
        </w:rPr>
        <w:t>R</w:t>
      </w:r>
      <w:r w:rsidRPr="008463F3">
        <w:rPr>
          <w:lang w:val="en-GB"/>
        </w:rPr>
        <w:t xml:space="preserve">esearch </w:t>
      </w:r>
      <w:r>
        <w:rPr>
          <w:lang w:val="en-GB"/>
        </w:rPr>
        <w:t>N</w:t>
      </w:r>
      <w:r w:rsidRPr="008463F3">
        <w:rPr>
          <w:lang w:val="en-GB"/>
        </w:rPr>
        <w:t xml:space="preserve">etwork </w:t>
      </w:r>
      <w:r>
        <w:rPr>
          <w:lang w:val="en-GB"/>
        </w:rPr>
        <w:t>enacted</w:t>
      </w:r>
      <w:r w:rsidRPr="008463F3">
        <w:rPr>
          <w:lang w:val="en-GB"/>
        </w:rPr>
        <w:t xml:space="preserve"> in September 2010. The </w:t>
      </w:r>
      <w:proofErr w:type="spellStart"/>
      <w:r w:rsidRPr="008463F3">
        <w:rPr>
          <w:lang w:val="en-GB"/>
        </w:rPr>
        <w:t>MARnet</w:t>
      </w:r>
      <w:proofErr w:type="spellEnd"/>
      <w:r w:rsidRPr="008463F3">
        <w:rPr>
          <w:lang w:val="en-GB"/>
        </w:rPr>
        <w:t xml:space="preserve"> provides services </w:t>
      </w:r>
      <w:r>
        <w:rPr>
          <w:lang w:val="en-GB"/>
        </w:rPr>
        <w:t>for</w:t>
      </w:r>
      <w:r w:rsidRPr="008463F3">
        <w:rPr>
          <w:lang w:val="en-GB"/>
        </w:rPr>
        <w:t xml:space="preserve"> national and international connectivity of academic research network and educational community of North Macedonia and support</w:t>
      </w:r>
      <w:r>
        <w:rPr>
          <w:lang w:val="en-GB"/>
        </w:rPr>
        <w:t>s</w:t>
      </w:r>
      <w:r w:rsidRPr="008463F3">
        <w:rPr>
          <w:lang w:val="en-GB"/>
        </w:rPr>
        <w:t xml:space="preserve"> their research and educational activities. Furthermore, </w:t>
      </w:r>
      <w:proofErr w:type="spellStart"/>
      <w:r w:rsidRPr="008463F3">
        <w:rPr>
          <w:lang w:val="en-GB"/>
        </w:rPr>
        <w:t>MARNet</w:t>
      </w:r>
      <w:proofErr w:type="spellEnd"/>
      <w:r w:rsidRPr="008463F3">
        <w:rPr>
          <w:lang w:val="en-GB"/>
        </w:rPr>
        <w:t xml:space="preserve"> is engaged in promoting the use of and disseminating information and communication technologies particularly in the academic and research sector; maintenance and management of the national domain system, international representation and membership; </w:t>
      </w:r>
      <w:r>
        <w:rPr>
          <w:lang w:val="en-GB"/>
        </w:rPr>
        <w:t xml:space="preserve">and </w:t>
      </w:r>
      <w:r w:rsidRPr="008463F3">
        <w:rPr>
          <w:lang w:val="en-GB"/>
        </w:rPr>
        <w:t>development of the national academic network.</w:t>
      </w:r>
    </w:p>
    <w:p w14:paraId="7F6F9C5B" w14:textId="77777777" w:rsidR="007947BF" w:rsidRPr="008463F3" w:rsidRDefault="007947BF" w:rsidP="007947BF">
      <w:pPr>
        <w:jc w:val="both"/>
        <w:rPr>
          <w:lang w:val="en-GB"/>
        </w:rPr>
      </w:pPr>
      <w:r w:rsidRPr="008463F3">
        <w:rPr>
          <w:lang w:val="en-GB"/>
        </w:rPr>
        <w:t xml:space="preserve">The </w:t>
      </w:r>
      <w:proofErr w:type="spellStart"/>
      <w:r w:rsidRPr="008463F3">
        <w:rPr>
          <w:lang w:val="en-GB"/>
        </w:rPr>
        <w:t>MARNet</w:t>
      </w:r>
      <w:proofErr w:type="spellEnd"/>
      <w:r w:rsidRPr="008463F3">
        <w:rPr>
          <w:lang w:val="en-GB"/>
        </w:rPr>
        <w:t xml:space="preserve"> e-infrastructure includes all devices owned or leased by the </w:t>
      </w:r>
      <w:proofErr w:type="spellStart"/>
      <w:r w:rsidRPr="008463F3">
        <w:rPr>
          <w:lang w:val="en-GB"/>
        </w:rPr>
        <w:t>MARnet</w:t>
      </w:r>
      <w:proofErr w:type="spellEnd"/>
      <w:r w:rsidRPr="008463F3">
        <w:rPr>
          <w:lang w:val="en-GB"/>
        </w:rPr>
        <w:t xml:space="preserve"> and all telecommunications links owned by the </w:t>
      </w:r>
      <w:proofErr w:type="spellStart"/>
      <w:r w:rsidRPr="008463F3">
        <w:rPr>
          <w:lang w:val="en-GB"/>
        </w:rPr>
        <w:t>MARNet</w:t>
      </w:r>
      <w:proofErr w:type="spellEnd"/>
      <w:r w:rsidRPr="008463F3">
        <w:rPr>
          <w:lang w:val="en-GB"/>
        </w:rPr>
        <w:t xml:space="preserve"> or leased from telecommunications providers. It is very important for the information society of North Macedonia since </w:t>
      </w:r>
      <w:r>
        <w:rPr>
          <w:lang w:val="en-GB"/>
        </w:rPr>
        <w:t>it</w:t>
      </w:r>
      <w:r w:rsidRPr="008463F3">
        <w:rPr>
          <w:lang w:val="en-GB"/>
        </w:rPr>
        <w:t xml:space="preserve"> provide</w:t>
      </w:r>
      <w:r>
        <w:rPr>
          <w:lang w:val="en-GB"/>
        </w:rPr>
        <w:t>s</w:t>
      </w:r>
      <w:r w:rsidRPr="008463F3">
        <w:rPr>
          <w:lang w:val="en-GB"/>
        </w:rPr>
        <w:t xml:space="preserve"> services that aim to meet the requirements in the field of education and research.</w:t>
      </w:r>
    </w:p>
    <w:p w14:paraId="77CE45AB" w14:textId="77777777" w:rsidR="007947BF" w:rsidRPr="008463F3" w:rsidRDefault="007947BF" w:rsidP="007947BF">
      <w:pPr>
        <w:jc w:val="both"/>
        <w:rPr>
          <w:lang w:val="en-GB"/>
        </w:rPr>
      </w:pPr>
      <w:proofErr w:type="spellStart"/>
      <w:r w:rsidRPr="008463F3">
        <w:rPr>
          <w:lang w:val="en-GB"/>
        </w:rPr>
        <w:t>MARnet</w:t>
      </w:r>
      <w:proofErr w:type="spellEnd"/>
      <w:r w:rsidRPr="008463F3">
        <w:rPr>
          <w:lang w:val="en-GB"/>
        </w:rPr>
        <w:t xml:space="preserve"> is the member of GÉANT, the high bandwidth pan-European research and education backbone that interconnects Europe's National Research and Education Networks (NRENs). Through extensive links with networks around the world, GÉANT connect</w:t>
      </w:r>
      <w:r>
        <w:rPr>
          <w:lang w:val="en-GB"/>
        </w:rPr>
        <w:t>s</w:t>
      </w:r>
      <w:r w:rsidRPr="008463F3">
        <w:rPr>
          <w:lang w:val="en-GB"/>
        </w:rPr>
        <w:t xml:space="preserve"> over 50 million users at 10,000 institutions across Europe and also reaches 65 countries beyond Europe.</w:t>
      </w:r>
    </w:p>
    <w:p w14:paraId="3F539FA4" w14:textId="77777777" w:rsidR="007947BF" w:rsidRPr="008463F3" w:rsidRDefault="007947BF" w:rsidP="007947BF">
      <w:pPr>
        <w:spacing w:after="0"/>
        <w:rPr>
          <w:lang w:val="en-GB"/>
        </w:rPr>
      </w:pPr>
      <w:r w:rsidRPr="008463F3">
        <w:rPr>
          <w:lang w:val="en-GB"/>
        </w:rPr>
        <w:t xml:space="preserve">Trying to take advantage of connections with international academic networks, </w:t>
      </w:r>
      <w:proofErr w:type="spellStart"/>
      <w:r w:rsidRPr="008463F3">
        <w:rPr>
          <w:lang w:val="en-GB"/>
        </w:rPr>
        <w:t>MARnet</w:t>
      </w:r>
      <w:proofErr w:type="spellEnd"/>
      <w:r w:rsidRPr="008463F3">
        <w:rPr>
          <w:lang w:val="en-GB"/>
        </w:rPr>
        <w:t xml:space="preserve"> aims to </w:t>
      </w:r>
      <w:r>
        <w:rPr>
          <w:lang w:val="en-GB"/>
        </w:rPr>
        <w:t>achieve</w:t>
      </w:r>
      <w:r w:rsidRPr="008463F3">
        <w:rPr>
          <w:lang w:val="en-GB"/>
        </w:rPr>
        <w:t>:</w:t>
      </w:r>
    </w:p>
    <w:p w14:paraId="06202D6D" w14:textId="77777777" w:rsidR="007947BF" w:rsidRPr="008463F3" w:rsidRDefault="007947BF" w:rsidP="007947BF">
      <w:pPr>
        <w:pStyle w:val="ListParagraph"/>
        <w:numPr>
          <w:ilvl w:val="0"/>
          <w:numId w:val="17"/>
        </w:numPr>
        <w:rPr>
          <w:lang w:val="en-GB"/>
        </w:rPr>
      </w:pPr>
      <w:r w:rsidRPr="008463F3">
        <w:rPr>
          <w:lang w:val="en-GB"/>
        </w:rPr>
        <w:t>interconnection of all research, higher education and other educational institutions in North Macedonia and international connectivity with fast Internet access;</w:t>
      </w:r>
    </w:p>
    <w:p w14:paraId="1B7B4FB8" w14:textId="77777777" w:rsidR="007947BF" w:rsidRPr="008463F3" w:rsidRDefault="007947BF" w:rsidP="007947BF">
      <w:pPr>
        <w:pStyle w:val="ListParagraph"/>
        <w:numPr>
          <w:ilvl w:val="0"/>
          <w:numId w:val="17"/>
        </w:numPr>
        <w:rPr>
          <w:lang w:val="en-GB"/>
        </w:rPr>
      </w:pPr>
      <w:r w:rsidRPr="008463F3">
        <w:rPr>
          <w:lang w:val="en-GB"/>
        </w:rPr>
        <w:t>implementation, evaluation and analysis of new services and the latest networking technologies and their implementation;</w:t>
      </w:r>
    </w:p>
    <w:p w14:paraId="64AE0442" w14:textId="77777777" w:rsidR="007947BF" w:rsidRPr="008463F3" w:rsidRDefault="007947BF" w:rsidP="007947BF">
      <w:pPr>
        <w:pStyle w:val="ListParagraph"/>
        <w:numPr>
          <w:ilvl w:val="0"/>
          <w:numId w:val="17"/>
        </w:numPr>
        <w:rPr>
          <w:lang w:val="en-GB"/>
        </w:rPr>
      </w:pPr>
      <w:r w:rsidRPr="008463F3">
        <w:rPr>
          <w:lang w:val="en-GB"/>
        </w:rPr>
        <w:t>participation in relevant international organi</w:t>
      </w:r>
      <w:r>
        <w:rPr>
          <w:lang w:val="en-GB"/>
        </w:rPr>
        <w:t>s</w:t>
      </w:r>
      <w:r w:rsidRPr="008463F3">
        <w:rPr>
          <w:lang w:val="en-GB"/>
        </w:rPr>
        <w:t>ations and projects;</w:t>
      </w:r>
    </w:p>
    <w:p w14:paraId="02E63D95" w14:textId="77777777" w:rsidR="007947BF" w:rsidRPr="008463F3" w:rsidRDefault="007947BF" w:rsidP="007947BF">
      <w:pPr>
        <w:pStyle w:val="ListParagraph"/>
        <w:numPr>
          <w:ilvl w:val="0"/>
          <w:numId w:val="17"/>
        </w:numPr>
        <w:rPr>
          <w:lang w:val="en-GB"/>
        </w:rPr>
      </w:pPr>
      <w:r w:rsidRPr="008463F3">
        <w:rPr>
          <w:lang w:val="en-GB"/>
        </w:rPr>
        <w:t>knowledge generation and transferring;</w:t>
      </w:r>
    </w:p>
    <w:p w14:paraId="55D53C4B" w14:textId="77777777" w:rsidR="007947BF" w:rsidRPr="008463F3" w:rsidRDefault="007947BF" w:rsidP="007947BF">
      <w:pPr>
        <w:pStyle w:val="ListParagraph"/>
        <w:numPr>
          <w:ilvl w:val="0"/>
          <w:numId w:val="17"/>
        </w:numPr>
        <w:rPr>
          <w:lang w:val="en-GB"/>
        </w:rPr>
      </w:pPr>
      <w:r w:rsidRPr="008463F3">
        <w:rPr>
          <w:lang w:val="en-GB"/>
        </w:rPr>
        <w:t xml:space="preserve">participation and partnership in </w:t>
      </w:r>
      <w:r>
        <w:rPr>
          <w:lang w:val="en-GB"/>
        </w:rPr>
        <w:t>drafting</w:t>
      </w:r>
      <w:r w:rsidRPr="008463F3">
        <w:rPr>
          <w:lang w:val="en-GB"/>
        </w:rPr>
        <w:t xml:space="preserve"> strategies for development of information society in the economy.</w:t>
      </w:r>
    </w:p>
    <w:p w14:paraId="7076E7CE" w14:textId="77777777" w:rsidR="007947BF" w:rsidRPr="008463F3" w:rsidRDefault="007947BF" w:rsidP="007947BF">
      <w:pPr>
        <w:jc w:val="both"/>
        <w:rPr>
          <w:lang w:val="en-GB"/>
        </w:rPr>
      </w:pPr>
      <w:r w:rsidRPr="008463F3">
        <w:rPr>
          <w:lang w:val="en-GB"/>
        </w:rPr>
        <w:t>The main challenges that MARNET is facing is the lack of IT st</w:t>
      </w:r>
      <w:r>
        <w:rPr>
          <w:lang w:val="en-GB"/>
        </w:rPr>
        <w:t>a</w:t>
      </w:r>
      <w:r w:rsidRPr="008463F3">
        <w:rPr>
          <w:lang w:val="en-GB"/>
        </w:rPr>
        <w:t xml:space="preserve">ff and high turnover of </w:t>
      </w:r>
      <w:r>
        <w:rPr>
          <w:lang w:val="en-GB"/>
        </w:rPr>
        <w:t>its</w:t>
      </w:r>
      <w:r w:rsidRPr="008463F3">
        <w:rPr>
          <w:lang w:val="en-GB"/>
        </w:rPr>
        <w:t xml:space="preserve"> employees. Thus, the key technical and expert support of MARNET is provided by the Faculty of Computer Science and Engineering, UKIM regarding networking, IT and DNS infrastructure and other services.</w:t>
      </w:r>
    </w:p>
    <w:p w14:paraId="1CA7C386" w14:textId="77777777" w:rsidR="007947BF" w:rsidRPr="008463F3" w:rsidRDefault="007947BF" w:rsidP="007947BF">
      <w:pPr>
        <w:jc w:val="both"/>
        <w:rPr>
          <w:color w:val="FF0000"/>
          <w:lang w:val="en-GB"/>
        </w:rPr>
      </w:pPr>
    </w:p>
    <w:p w14:paraId="6B049E8E" w14:textId="77777777" w:rsidR="007947BF" w:rsidRPr="008463F3" w:rsidRDefault="007947BF" w:rsidP="007947BF">
      <w:pPr>
        <w:pStyle w:val="Heading3"/>
        <w:spacing w:after="240"/>
        <w:rPr>
          <w:rFonts w:asciiTheme="minorHAnsi" w:hAnsiTheme="minorHAnsi"/>
          <w:lang w:val="en-GB"/>
        </w:rPr>
      </w:pPr>
      <w:bookmarkStart w:id="34" w:name="_Toc77322040"/>
      <w:r w:rsidRPr="008463F3">
        <w:rPr>
          <w:rFonts w:asciiTheme="minorHAnsi" w:hAnsiTheme="minorHAnsi"/>
          <w:lang w:val="en-GB"/>
        </w:rPr>
        <w:t>4.3.3. COBISS.MK network</w:t>
      </w:r>
      <w:bookmarkEnd w:id="34"/>
    </w:p>
    <w:p w14:paraId="2B43943D" w14:textId="77777777" w:rsidR="007947BF" w:rsidRPr="008463F3" w:rsidRDefault="007947BF" w:rsidP="007947BF">
      <w:pPr>
        <w:jc w:val="both"/>
        <w:rPr>
          <w:lang w:val="en-GB"/>
        </w:rPr>
      </w:pPr>
      <w:r w:rsidRPr="008463F3">
        <w:rPr>
          <w:lang w:val="en-GB"/>
        </w:rPr>
        <w:t xml:space="preserve">The Agreement on the establishment of the COBISS.net network and the free exchange of bibliographic records, created in autonomous library information systems of Bosnia and Herzegovina, Montenegro, North Macedonia, Slovenia and Serbia was signed in 2003. In 2006, the aforementioned Agreement was also signed </w:t>
      </w:r>
      <w:r>
        <w:rPr>
          <w:lang w:val="en-GB"/>
        </w:rPr>
        <w:t>on behalf</w:t>
      </w:r>
      <w:r w:rsidRPr="008463F3">
        <w:rPr>
          <w:lang w:val="en-GB"/>
        </w:rPr>
        <w:t xml:space="preserve"> of Bulgarian libraries by the Bulgarian National Library. By signing special statements in 2013, the provisions of the Agreement were also indirectly accepted by a group of libraries from Albania. </w:t>
      </w:r>
    </w:p>
    <w:p w14:paraId="5A9ABC4E" w14:textId="77777777" w:rsidR="007947BF" w:rsidRPr="008463F3" w:rsidRDefault="007947BF" w:rsidP="007947BF">
      <w:pPr>
        <w:jc w:val="both"/>
        <w:rPr>
          <w:lang w:val="en-GB"/>
        </w:rPr>
      </w:pPr>
      <w:r w:rsidRPr="008463F3">
        <w:rPr>
          <w:lang w:val="en-GB"/>
        </w:rPr>
        <w:t xml:space="preserve">The web application E-CRIS (Current Research Information Systems) was developed at the Institute of Information Science in Maribor (IZUM), which offered it to North Macedonia and other users of COBISS applications within the COBISS.Net network free of charge. The final aim of developing E-CRIS application in member economies was to establish the register of research and development providers. This register is essential for research monitoring and evaluation. E-CRIS system of North Macedonia is linked to COBISS library information systems, thus allowing direct access to the bibliographies of researchers and institutions. It includes interconnected databases comprising data on research organisations, researchers and research projects. </w:t>
      </w:r>
    </w:p>
    <w:p w14:paraId="7D36D57F" w14:textId="77777777" w:rsidR="007947BF" w:rsidRPr="008463F3" w:rsidRDefault="007947BF" w:rsidP="007947BF">
      <w:pPr>
        <w:jc w:val="both"/>
        <w:rPr>
          <w:lang w:val="en-GB"/>
        </w:rPr>
      </w:pPr>
      <w:r w:rsidRPr="008463F3">
        <w:rPr>
          <w:lang w:val="en-GB"/>
        </w:rPr>
        <w:t xml:space="preserve">The information system for research activities in </w:t>
      </w:r>
      <w:r>
        <w:rPr>
          <w:lang w:val="en-GB"/>
        </w:rPr>
        <w:t xml:space="preserve">North </w:t>
      </w:r>
      <w:r w:rsidRPr="008463F3">
        <w:rPr>
          <w:lang w:val="en-GB"/>
        </w:rPr>
        <w:t xml:space="preserve">Macedonia is managed by St. </w:t>
      </w:r>
      <w:proofErr w:type="spellStart"/>
      <w:r w:rsidRPr="008463F3">
        <w:rPr>
          <w:lang w:val="en-GB"/>
        </w:rPr>
        <w:t>Kliment</w:t>
      </w:r>
      <w:proofErr w:type="spellEnd"/>
      <w:r w:rsidRPr="008463F3">
        <w:rPr>
          <w:lang w:val="en-GB"/>
        </w:rPr>
        <w:t xml:space="preserve"> </w:t>
      </w:r>
      <w:proofErr w:type="spellStart"/>
      <w:r w:rsidRPr="008463F3">
        <w:rPr>
          <w:lang w:val="en-GB"/>
        </w:rPr>
        <w:t>Ohridsk</w:t>
      </w:r>
      <w:proofErr w:type="spellEnd"/>
      <w:r w:rsidRPr="008463F3">
        <w:rPr>
          <w:lang w:val="en-GB"/>
        </w:rPr>
        <w:t xml:space="preserve"> National Library, which also functions as the national E-CRIS centr</w:t>
      </w:r>
      <w:r>
        <w:rPr>
          <w:lang w:val="en-GB"/>
        </w:rPr>
        <w:t>e</w:t>
      </w:r>
      <w:r w:rsidRPr="008463F3">
        <w:rPr>
          <w:lang w:val="en-GB"/>
        </w:rPr>
        <w:t>. Within E-CRIS information System of North Macedonia, there are currently 3658 researchers and 192 research organi</w:t>
      </w:r>
      <w:r>
        <w:rPr>
          <w:lang w:val="en-GB"/>
        </w:rPr>
        <w:t>s</w:t>
      </w:r>
      <w:r w:rsidRPr="008463F3">
        <w:rPr>
          <w:lang w:val="en-GB"/>
        </w:rPr>
        <w:t>ations.</w:t>
      </w:r>
    </w:p>
    <w:p w14:paraId="3BA96F2F" w14:textId="77777777" w:rsidR="007947BF" w:rsidRPr="008463F3" w:rsidRDefault="007947BF" w:rsidP="007947BF">
      <w:pPr>
        <w:rPr>
          <w:rFonts w:eastAsiaTheme="majorEastAsia" w:cstheme="majorBidi"/>
          <w:b/>
          <w:bCs/>
          <w:color w:val="4F81BD" w:themeColor="accent1"/>
          <w:sz w:val="26"/>
          <w:szCs w:val="26"/>
          <w:lang w:val="en-GB"/>
        </w:rPr>
      </w:pPr>
      <w:bookmarkStart w:id="35" w:name="_Toc61096332"/>
      <w:r w:rsidRPr="008463F3">
        <w:rPr>
          <w:lang w:val="en-GB"/>
        </w:rPr>
        <w:br w:type="page"/>
      </w:r>
    </w:p>
    <w:p w14:paraId="6E1B3643" w14:textId="77777777" w:rsidR="007947BF" w:rsidRPr="008463F3" w:rsidRDefault="007947BF" w:rsidP="007947BF">
      <w:pPr>
        <w:pStyle w:val="Heading2"/>
        <w:spacing w:after="240"/>
        <w:rPr>
          <w:rFonts w:asciiTheme="minorHAnsi" w:hAnsiTheme="minorHAnsi"/>
          <w:lang w:val="en-GB"/>
        </w:rPr>
      </w:pPr>
      <w:bookmarkStart w:id="36" w:name="_Toc77322041"/>
      <w:r w:rsidRPr="008463F3">
        <w:rPr>
          <w:rFonts w:asciiTheme="minorHAnsi" w:hAnsiTheme="minorHAnsi"/>
          <w:lang w:val="en-GB"/>
        </w:rPr>
        <w:t>4.4. Participation of institutions from North Macedonia in RI projects</w:t>
      </w:r>
      <w:bookmarkEnd w:id="35"/>
      <w:bookmarkEnd w:id="36"/>
    </w:p>
    <w:p w14:paraId="24FDA087" w14:textId="77777777" w:rsidR="007947BF" w:rsidRPr="008463F3" w:rsidRDefault="007947BF" w:rsidP="007947BF">
      <w:pPr>
        <w:spacing w:after="0"/>
        <w:jc w:val="both"/>
        <w:rPr>
          <w:lang w:val="en-GB"/>
        </w:rPr>
      </w:pPr>
      <w:r w:rsidRPr="008463F3">
        <w:rPr>
          <w:lang w:val="en-GB"/>
        </w:rPr>
        <w:t xml:space="preserve">Institutions from North Macedonia have participated in 18 international projects </w:t>
      </w:r>
      <w:r w:rsidRPr="008463F3">
        <w:rPr>
          <w:lang w:val="en-GB"/>
        </w:rPr>
        <w:br/>
        <w:t>(11 projects within H2020 and 7 projects within FP7) related to the development of research infrastructures. Thirteen projects have been implemented and 4 are ongoing. National institutions that have participated in these projects and thus contributed to the development of international and domestic research infrastructures are:</w:t>
      </w:r>
    </w:p>
    <w:p w14:paraId="31041C02" w14:textId="77777777" w:rsidR="007947BF" w:rsidRPr="008463F3" w:rsidRDefault="007947BF" w:rsidP="007947BF">
      <w:pPr>
        <w:pStyle w:val="ListParagraph"/>
        <w:numPr>
          <w:ilvl w:val="0"/>
          <w:numId w:val="18"/>
        </w:numPr>
        <w:jc w:val="both"/>
        <w:rPr>
          <w:lang w:val="en-GB"/>
        </w:rPr>
      </w:pPr>
      <w:r w:rsidRPr="008463F3">
        <w:rPr>
          <w:lang w:val="en-GB"/>
        </w:rPr>
        <w:t>Macedonian Academic and Research Network,</w:t>
      </w:r>
    </w:p>
    <w:p w14:paraId="05B33EB7" w14:textId="77777777" w:rsidR="007947BF" w:rsidRPr="008463F3" w:rsidRDefault="007947BF" w:rsidP="007947BF">
      <w:pPr>
        <w:pStyle w:val="ListParagraph"/>
        <w:numPr>
          <w:ilvl w:val="0"/>
          <w:numId w:val="18"/>
        </w:numPr>
        <w:jc w:val="both"/>
        <w:rPr>
          <w:lang w:val="en-GB"/>
        </w:rPr>
      </w:pPr>
      <w:r w:rsidRPr="008463F3">
        <w:rPr>
          <w:lang w:val="en-GB"/>
        </w:rPr>
        <w:t>Ss. Cyril and Methodius University in Skopje, Faculty of Computer Sciences and Engineering</w:t>
      </w:r>
      <w:r>
        <w:rPr>
          <w:lang w:val="en-GB"/>
        </w:rPr>
        <w:t>,</w:t>
      </w:r>
    </w:p>
    <w:p w14:paraId="4879989E" w14:textId="77777777" w:rsidR="007947BF" w:rsidRPr="008463F3" w:rsidRDefault="007947BF" w:rsidP="007947BF">
      <w:pPr>
        <w:pStyle w:val="ListParagraph"/>
        <w:numPr>
          <w:ilvl w:val="0"/>
          <w:numId w:val="18"/>
        </w:numPr>
        <w:jc w:val="both"/>
        <w:rPr>
          <w:lang w:val="en-GB"/>
        </w:rPr>
      </w:pPr>
      <w:r w:rsidRPr="008463F3">
        <w:rPr>
          <w:lang w:val="en-GB"/>
        </w:rPr>
        <w:t>Ss Cyril and Methodius University Skopje, Institute of Earthquake Engineering and Engineering Seismology,</w:t>
      </w:r>
    </w:p>
    <w:p w14:paraId="7BE0D0B1" w14:textId="77777777" w:rsidR="007947BF" w:rsidRPr="008463F3" w:rsidRDefault="007947BF" w:rsidP="007947BF">
      <w:pPr>
        <w:pStyle w:val="ListParagraph"/>
        <w:numPr>
          <w:ilvl w:val="0"/>
          <w:numId w:val="18"/>
        </w:numPr>
        <w:jc w:val="both"/>
        <w:rPr>
          <w:lang w:val="en-GB"/>
        </w:rPr>
      </w:pPr>
      <w:r w:rsidRPr="008463F3">
        <w:rPr>
          <w:lang w:val="en-GB"/>
        </w:rPr>
        <w:t>Institute of Public Health of the Republic of North Macedonia, Skopje</w:t>
      </w:r>
    </w:p>
    <w:p w14:paraId="7AB31AB2" w14:textId="77777777" w:rsidR="007947BF" w:rsidRPr="008463F3" w:rsidRDefault="007947BF" w:rsidP="007947BF">
      <w:pPr>
        <w:pStyle w:val="ListParagraph"/>
        <w:numPr>
          <w:ilvl w:val="0"/>
          <w:numId w:val="18"/>
        </w:numPr>
        <w:jc w:val="both"/>
        <w:rPr>
          <w:lang w:val="en-GB"/>
        </w:rPr>
      </w:pPr>
      <w:r w:rsidRPr="008463F3">
        <w:rPr>
          <w:lang w:val="en-GB"/>
        </w:rPr>
        <w:t>Ministry of Information Society</w:t>
      </w:r>
    </w:p>
    <w:p w14:paraId="44141D5E" w14:textId="77777777" w:rsidR="007947BF" w:rsidRPr="008463F3" w:rsidRDefault="007947BF" w:rsidP="007947BF">
      <w:pPr>
        <w:jc w:val="both"/>
        <w:rPr>
          <w:lang w:val="en-GB"/>
        </w:rPr>
      </w:pPr>
      <w:r w:rsidRPr="008463F3">
        <w:rPr>
          <w:lang w:val="en-GB"/>
        </w:rPr>
        <w:t>The total budget of North Macedonia institutions for the implementation of projects within H2020 exceeds 2</w:t>
      </w:r>
      <w:r>
        <w:rPr>
          <w:lang w:val="en-GB"/>
        </w:rPr>
        <w:t>.</w:t>
      </w:r>
      <w:r w:rsidRPr="008463F3">
        <w:rPr>
          <w:lang w:val="en-GB"/>
        </w:rPr>
        <w:t xml:space="preserve">4 million EUR (EC contribution). 9 out of 11 H2020 and 6 of 7 FP7 projects are related to the development of e-infrastructures. </w:t>
      </w:r>
    </w:p>
    <w:p w14:paraId="52B77EFB" w14:textId="77777777" w:rsidR="007947BF" w:rsidRPr="008463F3" w:rsidRDefault="007947BF" w:rsidP="007947BF">
      <w:pPr>
        <w:spacing w:after="0"/>
        <w:jc w:val="both"/>
        <w:rPr>
          <w:sz w:val="24"/>
          <w:szCs w:val="24"/>
          <w:lang w:val="en-GB"/>
        </w:rPr>
      </w:pPr>
      <w:r w:rsidRPr="008463F3">
        <w:rPr>
          <w:lang w:val="en-GB"/>
        </w:rPr>
        <w:t>The sub-sections below present the key information on the RI projects.</w:t>
      </w:r>
    </w:p>
    <w:p w14:paraId="648F493C" w14:textId="77777777" w:rsidR="007947BF" w:rsidRPr="008463F3" w:rsidRDefault="007947BF" w:rsidP="007947BF">
      <w:pPr>
        <w:pStyle w:val="Heading4"/>
        <w:ind w:firstLine="357"/>
        <w:rPr>
          <w:rFonts w:asciiTheme="minorHAnsi" w:hAnsiTheme="minorHAnsi"/>
          <w:lang w:val="en-GB"/>
        </w:rPr>
      </w:pPr>
      <w:r w:rsidRPr="008463F3">
        <w:rPr>
          <w:rFonts w:asciiTheme="minorHAnsi" w:hAnsiTheme="minorHAnsi"/>
          <w:lang w:val="en-GB"/>
        </w:rPr>
        <w:t>1. GN4-1: Research and Education Networking - GÉANT</w:t>
      </w:r>
    </w:p>
    <w:p w14:paraId="67F96BC5" w14:textId="77777777" w:rsidR="007947BF" w:rsidRPr="008463F3" w:rsidRDefault="007947BF" w:rsidP="007947BF">
      <w:pPr>
        <w:pStyle w:val="ListParagraph"/>
        <w:numPr>
          <w:ilvl w:val="0"/>
          <w:numId w:val="2"/>
        </w:numPr>
        <w:rPr>
          <w:lang w:val="en-GB"/>
        </w:rPr>
      </w:pPr>
      <w:r w:rsidRPr="008463F3">
        <w:rPr>
          <w:b/>
          <w:lang w:val="en-GB"/>
        </w:rPr>
        <w:t>Funding Programmes:</w:t>
      </w:r>
      <w:r w:rsidRPr="008463F3">
        <w:rPr>
          <w:lang w:val="en-GB"/>
        </w:rPr>
        <w:t xml:space="preserve"> H2020</w:t>
      </w:r>
    </w:p>
    <w:p w14:paraId="66A850C3" w14:textId="77777777" w:rsidR="007947BF" w:rsidRPr="008463F3" w:rsidRDefault="007947BF" w:rsidP="007947BF">
      <w:pPr>
        <w:pStyle w:val="ListParagraph"/>
        <w:numPr>
          <w:ilvl w:val="0"/>
          <w:numId w:val="2"/>
        </w:numPr>
        <w:rPr>
          <w:lang w:val="en-GB"/>
        </w:rPr>
      </w:pPr>
      <w:r w:rsidRPr="008463F3">
        <w:rPr>
          <w:b/>
          <w:lang w:val="en-GB"/>
        </w:rPr>
        <w:t>Project partners from North Macedonia</w:t>
      </w:r>
      <w:r w:rsidRPr="008463F3">
        <w:rPr>
          <w:lang w:val="en-GB"/>
        </w:rPr>
        <w:t>: Macedonian Academic and Research Network, Skopje, supported by FCSE, UKIM (€ 43.005)</w:t>
      </w:r>
    </w:p>
    <w:p w14:paraId="622F2DC4" w14:textId="77777777" w:rsidR="007947BF" w:rsidRPr="008463F3" w:rsidRDefault="007947BF" w:rsidP="007947BF">
      <w:pPr>
        <w:pStyle w:val="ListParagraph"/>
        <w:numPr>
          <w:ilvl w:val="0"/>
          <w:numId w:val="2"/>
        </w:numPr>
        <w:rPr>
          <w:lang w:val="en-GB"/>
        </w:rPr>
      </w:pPr>
      <w:r w:rsidRPr="008463F3">
        <w:rPr>
          <w:b/>
          <w:lang w:val="en-GB"/>
        </w:rPr>
        <w:t>Total number of partner organi</w:t>
      </w:r>
      <w:r>
        <w:rPr>
          <w:b/>
          <w:lang w:val="en-GB"/>
        </w:rPr>
        <w:t>s</w:t>
      </w:r>
      <w:r w:rsidRPr="008463F3">
        <w:rPr>
          <w:b/>
          <w:lang w:val="en-GB"/>
        </w:rPr>
        <w:t>ations</w:t>
      </w:r>
      <w:r w:rsidRPr="008463F3">
        <w:rPr>
          <w:lang w:val="en-GB"/>
        </w:rPr>
        <w:t>: 40</w:t>
      </w:r>
    </w:p>
    <w:p w14:paraId="46FBABBE" w14:textId="77777777" w:rsidR="007947BF" w:rsidRPr="008463F3" w:rsidRDefault="007947BF" w:rsidP="007947BF">
      <w:pPr>
        <w:pStyle w:val="ListParagraph"/>
        <w:numPr>
          <w:ilvl w:val="0"/>
          <w:numId w:val="2"/>
        </w:numPr>
        <w:rPr>
          <w:lang w:val="en-GB"/>
        </w:rPr>
      </w:pPr>
      <w:r w:rsidRPr="008463F3">
        <w:rPr>
          <w:b/>
          <w:lang w:val="en-GB"/>
        </w:rPr>
        <w:t>Project implementation period</w:t>
      </w:r>
      <w:r w:rsidRPr="008463F3">
        <w:rPr>
          <w:lang w:val="en-GB"/>
        </w:rPr>
        <w:t>: 01/05/2015 – 31/08/2016</w:t>
      </w:r>
    </w:p>
    <w:p w14:paraId="3FF8754F" w14:textId="77777777" w:rsidR="007947BF" w:rsidRPr="008463F3" w:rsidRDefault="007947BF" w:rsidP="007947BF">
      <w:pPr>
        <w:pStyle w:val="ListParagraph"/>
        <w:numPr>
          <w:ilvl w:val="0"/>
          <w:numId w:val="2"/>
        </w:numPr>
        <w:rPr>
          <w:lang w:val="en-GB"/>
        </w:rPr>
      </w:pPr>
      <w:r w:rsidRPr="008463F3">
        <w:rPr>
          <w:b/>
          <w:lang w:val="en-GB"/>
        </w:rPr>
        <w:t>Scientific domain</w:t>
      </w:r>
      <w:r w:rsidRPr="008463F3">
        <w:rPr>
          <w:lang w:val="en-GB"/>
        </w:rPr>
        <w:t>: e-Infrastructures</w:t>
      </w:r>
    </w:p>
    <w:p w14:paraId="39B93702" w14:textId="77777777" w:rsidR="007947BF" w:rsidRPr="008463F3" w:rsidRDefault="007947BF" w:rsidP="007947BF">
      <w:pPr>
        <w:jc w:val="both"/>
        <w:rPr>
          <w:lang w:val="en-GB"/>
        </w:rPr>
      </w:pPr>
      <w:r w:rsidRPr="008463F3">
        <w:rPr>
          <w:lang w:val="en-GB"/>
        </w:rPr>
        <w:t>The overall objective of the project was to provide a stable environment for the implementation of GÉANT as the European Communications Commons for the European Research Area, which would provide the best possible digital infrastructure to ensure that Europe remains in the forefront of research. GÉANT’s extensive and long-standing contacts with large data disciplines such as biology, radio astronomy and high-energy physics help shape the evolution of the networking facilities required. This is complemented by partner contacts with research domains that are new users of high-performance networks and services, such as: digital preservation, real-time art and humanities.</w:t>
      </w:r>
    </w:p>
    <w:p w14:paraId="1180235E" w14:textId="77777777" w:rsidR="007947BF" w:rsidRPr="008463F3" w:rsidRDefault="007947BF" w:rsidP="007947BF">
      <w:pPr>
        <w:jc w:val="both"/>
        <w:rPr>
          <w:lang w:val="en-GB"/>
        </w:rPr>
      </w:pPr>
      <w:r w:rsidRPr="008463F3">
        <w:rPr>
          <w:lang w:val="en-GB"/>
        </w:rPr>
        <w:t>The vision was to position the GÉANT partnership optimally while ensuring the continuity and improvement of the services successfully offered under the GN3plus FP7 project.</w:t>
      </w:r>
    </w:p>
    <w:p w14:paraId="7BD9863E" w14:textId="77777777" w:rsidR="007947BF" w:rsidRPr="008463F3" w:rsidRDefault="007947BF" w:rsidP="007947BF">
      <w:pPr>
        <w:keepNext/>
        <w:keepLines/>
        <w:spacing w:before="200" w:after="0"/>
        <w:ind w:firstLine="357"/>
        <w:outlineLvl w:val="3"/>
        <w:rPr>
          <w:szCs w:val="24"/>
          <w:lang w:val="en-GB"/>
        </w:rPr>
      </w:pPr>
      <w:r w:rsidRPr="008463F3">
        <w:rPr>
          <w:rFonts w:eastAsiaTheme="majorEastAsia" w:cstheme="majorBidi"/>
          <w:b/>
          <w:bCs/>
          <w:i/>
          <w:iCs/>
          <w:color w:val="4F81BD" w:themeColor="accent1"/>
          <w:lang w:val="en-GB"/>
        </w:rPr>
        <w:t>2. GN4-2: Research and Education Networking - GÉANT</w:t>
      </w:r>
    </w:p>
    <w:p w14:paraId="62FFE218" w14:textId="77777777" w:rsidR="007947BF" w:rsidRPr="008463F3" w:rsidRDefault="007947BF" w:rsidP="007947BF">
      <w:pPr>
        <w:pStyle w:val="ListParagraph"/>
        <w:numPr>
          <w:ilvl w:val="0"/>
          <w:numId w:val="2"/>
        </w:numPr>
        <w:rPr>
          <w:lang w:val="en-GB"/>
        </w:rPr>
      </w:pPr>
      <w:r w:rsidRPr="008463F3">
        <w:rPr>
          <w:b/>
          <w:lang w:val="en-GB"/>
        </w:rPr>
        <w:t>Funding Programmes:</w:t>
      </w:r>
      <w:r w:rsidRPr="008463F3">
        <w:rPr>
          <w:lang w:val="en-GB"/>
        </w:rPr>
        <w:t xml:space="preserve"> H2020</w:t>
      </w:r>
    </w:p>
    <w:p w14:paraId="0D91B060" w14:textId="77777777" w:rsidR="007947BF" w:rsidRPr="008463F3" w:rsidRDefault="007947BF" w:rsidP="007947BF">
      <w:pPr>
        <w:pStyle w:val="ListParagraph"/>
        <w:numPr>
          <w:ilvl w:val="0"/>
          <w:numId w:val="2"/>
        </w:numPr>
        <w:rPr>
          <w:lang w:val="en-GB"/>
        </w:rPr>
      </w:pPr>
      <w:r w:rsidRPr="008463F3">
        <w:rPr>
          <w:b/>
          <w:lang w:val="en-GB"/>
        </w:rPr>
        <w:t>Project partners from North Macedonia</w:t>
      </w:r>
      <w:r w:rsidRPr="008463F3">
        <w:rPr>
          <w:lang w:val="en-GB"/>
        </w:rPr>
        <w:t>: Macedonian Academic and Research Network, Skopje, third party FCSE, UKIM (€ 264 792)</w:t>
      </w:r>
    </w:p>
    <w:p w14:paraId="29281DCE" w14:textId="77777777" w:rsidR="007947BF" w:rsidRPr="008463F3" w:rsidRDefault="007947BF" w:rsidP="007947BF">
      <w:pPr>
        <w:pStyle w:val="ListParagraph"/>
        <w:numPr>
          <w:ilvl w:val="0"/>
          <w:numId w:val="2"/>
        </w:numPr>
        <w:rPr>
          <w:lang w:val="en-GB"/>
        </w:rPr>
      </w:pPr>
      <w:r w:rsidRPr="008463F3">
        <w:rPr>
          <w:b/>
          <w:lang w:val="en-GB"/>
        </w:rPr>
        <w:t>Total number of partner organi</w:t>
      </w:r>
      <w:r>
        <w:rPr>
          <w:b/>
          <w:lang w:val="en-GB"/>
        </w:rPr>
        <w:t>s</w:t>
      </w:r>
      <w:r w:rsidRPr="008463F3">
        <w:rPr>
          <w:b/>
          <w:lang w:val="en-GB"/>
        </w:rPr>
        <w:t>ations</w:t>
      </w:r>
      <w:r w:rsidRPr="008463F3">
        <w:rPr>
          <w:lang w:val="en-GB"/>
        </w:rPr>
        <w:t>: 39</w:t>
      </w:r>
    </w:p>
    <w:p w14:paraId="030C33E4" w14:textId="77777777" w:rsidR="007947BF" w:rsidRPr="008463F3" w:rsidRDefault="007947BF" w:rsidP="007947BF">
      <w:pPr>
        <w:pStyle w:val="ListParagraph"/>
        <w:numPr>
          <w:ilvl w:val="0"/>
          <w:numId w:val="2"/>
        </w:numPr>
        <w:rPr>
          <w:lang w:val="en-GB"/>
        </w:rPr>
      </w:pPr>
      <w:r w:rsidRPr="008463F3">
        <w:rPr>
          <w:b/>
          <w:lang w:val="en-GB"/>
        </w:rPr>
        <w:t>Project implementation period</w:t>
      </w:r>
      <w:r w:rsidRPr="008463F3">
        <w:rPr>
          <w:lang w:val="en-GB"/>
        </w:rPr>
        <w:t>: 01/05/2016 – 31/01/2020</w:t>
      </w:r>
    </w:p>
    <w:p w14:paraId="062F7352" w14:textId="77777777" w:rsidR="007947BF" w:rsidRPr="008463F3" w:rsidRDefault="007947BF" w:rsidP="007947BF">
      <w:pPr>
        <w:pStyle w:val="ListParagraph"/>
        <w:numPr>
          <w:ilvl w:val="0"/>
          <w:numId w:val="2"/>
        </w:numPr>
        <w:rPr>
          <w:lang w:val="en-GB"/>
        </w:rPr>
      </w:pPr>
      <w:r w:rsidRPr="008463F3">
        <w:rPr>
          <w:b/>
          <w:lang w:val="en-GB"/>
        </w:rPr>
        <w:t>Scientific domain</w:t>
      </w:r>
      <w:r w:rsidRPr="008463F3">
        <w:rPr>
          <w:lang w:val="en-GB"/>
        </w:rPr>
        <w:t>: e-Infrastructures</w:t>
      </w:r>
    </w:p>
    <w:p w14:paraId="6567BAD3" w14:textId="77777777" w:rsidR="007947BF" w:rsidRPr="008463F3" w:rsidRDefault="007947BF" w:rsidP="007947BF">
      <w:pPr>
        <w:jc w:val="both"/>
        <w:rPr>
          <w:lang w:val="en-GB"/>
        </w:rPr>
      </w:pPr>
      <w:r w:rsidRPr="008463F3">
        <w:rPr>
          <w:lang w:val="en-GB"/>
        </w:rPr>
        <w:t>GN4-2 was the project proposed for the second Specific Grant Agreement under the 68-month Framework Partnership Agreement (FPA) established between the GÉANT Consortium and the European Commission in April 2015.This second phase of implementing the FPA was aimed to raise European research to the next level by promoting scientific excellence, access and re-use of research data. It drove European-wide cost efficiencies in scientific infrastructure by promoting interoperability with other e-infrastructures on an unprecedented scale.</w:t>
      </w:r>
    </w:p>
    <w:p w14:paraId="57771DAA" w14:textId="77777777" w:rsidR="007947BF" w:rsidRPr="008463F3" w:rsidRDefault="007947BF" w:rsidP="007947BF">
      <w:pPr>
        <w:jc w:val="both"/>
        <w:rPr>
          <w:szCs w:val="24"/>
          <w:lang w:val="en-GB"/>
        </w:rPr>
      </w:pPr>
      <w:r w:rsidRPr="008463F3">
        <w:rPr>
          <w:lang w:val="en-GB"/>
        </w:rPr>
        <w:t>GN4-2 developments were guided by the vision of a future where a set of coherent and integrated European e-infrastructure services offer convenient, seamless access for end-users through a common service catalogue, and facilitating the adoption of services offered by new e-infrastructure developments, such as the European Open Science Cloud.</w:t>
      </w:r>
    </w:p>
    <w:p w14:paraId="0FB9D854" w14:textId="77777777" w:rsidR="007947BF" w:rsidRPr="008463F3" w:rsidRDefault="007947BF" w:rsidP="007947BF">
      <w:pPr>
        <w:pStyle w:val="Heading4"/>
        <w:ind w:firstLine="357"/>
        <w:rPr>
          <w:rFonts w:asciiTheme="minorHAnsi" w:hAnsiTheme="minorHAnsi"/>
          <w:lang w:val="en-GB"/>
        </w:rPr>
      </w:pPr>
      <w:r w:rsidRPr="008463F3">
        <w:rPr>
          <w:rFonts w:asciiTheme="minorHAnsi" w:hAnsiTheme="minorHAnsi"/>
          <w:lang w:val="en-GB"/>
        </w:rPr>
        <w:t>3. GN4-3: H2020-SGA-INFRA-GEANT-2018 (Topic [a] Research and Education Networking)</w:t>
      </w:r>
    </w:p>
    <w:p w14:paraId="67ACD2A0" w14:textId="77777777" w:rsidR="007947BF" w:rsidRPr="008463F3" w:rsidRDefault="007947BF" w:rsidP="007947BF">
      <w:pPr>
        <w:pStyle w:val="ListParagraph"/>
        <w:numPr>
          <w:ilvl w:val="0"/>
          <w:numId w:val="6"/>
        </w:numPr>
        <w:rPr>
          <w:lang w:val="en-GB"/>
        </w:rPr>
      </w:pPr>
      <w:r w:rsidRPr="008463F3">
        <w:rPr>
          <w:b/>
          <w:lang w:val="en-GB"/>
        </w:rPr>
        <w:t>Funding Programmes:</w:t>
      </w:r>
      <w:r w:rsidRPr="008463F3">
        <w:rPr>
          <w:lang w:val="en-GB"/>
        </w:rPr>
        <w:t xml:space="preserve"> H2020</w:t>
      </w:r>
    </w:p>
    <w:p w14:paraId="6C19223C" w14:textId="77777777" w:rsidR="007947BF" w:rsidRPr="008463F3" w:rsidRDefault="007947BF" w:rsidP="007947BF">
      <w:pPr>
        <w:pStyle w:val="ListParagraph"/>
        <w:numPr>
          <w:ilvl w:val="0"/>
          <w:numId w:val="6"/>
        </w:numPr>
        <w:rPr>
          <w:lang w:val="en-GB"/>
        </w:rPr>
      </w:pPr>
      <w:r w:rsidRPr="008463F3">
        <w:rPr>
          <w:b/>
          <w:lang w:val="en-GB"/>
        </w:rPr>
        <w:t>Project partners from North Macedonia</w:t>
      </w:r>
      <w:r w:rsidRPr="008463F3">
        <w:rPr>
          <w:lang w:val="en-GB"/>
        </w:rPr>
        <w:t xml:space="preserve">: Macedonian Academic </w:t>
      </w:r>
      <w:r>
        <w:rPr>
          <w:lang w:val="en-GB"/>
        </w:rPr>
        <w:t>a</w:t>
      </w:r>
      <w:r w:rsidRPr="008463F3">
        <w:rPr>
          <w:lang w:val="en-GB"/>
        </w:rPr>
        <w:t>nd Research Network, Skopje, third party FCSE, UKIM (€ 511 300)</w:t>
      </w:r>
    </w:p>
    <w:p w14:paraId="1B433709" w14:textId="77777777" w:rsidR="007947BF" w:rsidRPr="008463F3" w:rsidRDefault="007947BF" w:rsidP="007947BF">
      <w:pPr>
        <w:pStyle w:val="ListParagraph"/>
        <w:numPr>
          <w:ilvl w:val="0"/>
          <w:numId w:val="6"/>
        </w:numPr>
        <w:rPr>
          <w:lang w:val="en-GB"/>
        </w:rPr>
      </w:pPr>
      <w:r w:rsidRPr="008463F3">
        <w:rPr>
          <w:b/>
          <w:lang w:val="en-GB"/>
        </w:rPr>
        <w:t>Total number of partner organi</w:t>
      </w:r>
      <w:r>
        <w:rPr>
          <w:b/>
          <w:lang w:val="en-GB"/>
        </w:rPr>
        <w:t>s</w:t>
      </w:r>
      <w:r w:rsidRPr="008463F3">
        <w:rPr>
          <w:b/>
          <w:lang w:val="en-GB"/>
        </w:rPr>
        <w:t>ations</w:t>
      </w:r>
      <w:r w:rsidRPr="008463F3">
        <w:rPr>
          <w:lang w:val="en-GB"/>
        </w:rPr>
        <w:t>: 39</w:t>
      </w:r>
    </w:p>
    <w:p w14:paraId="7CA302A6" w14:textId="77777777" w:rsidR="007947BF" w:rsidRPr="008463F3" w:rsidRDefault="007947BF" w:rsidP="007947BF">
      <w:pPr>
        <w:pStyle w:val="ListParagraph"/>
        <w:numPr>
          <w:ilvl w:val="0"/>
          <w:numId w:val="6"/>
        </w:numPr>
        <w:rPr>
          <w:lang w:val="en-GB"/>
        </w:rPr>
      </w:pPr>
      <w:r w:rsidRPr="008463F3">
        <w:rPr>
          <w:b/>
          <w:lang w:val="en-GB"/>
        </w:rPr>
        <w:t>Project implementation period</w:t>
      </w:r>
      <w:r w:rsidRPr="008463F3">
        <w:rPr>
          <w:lang w:val="en-GB"/>
        </w:rPr>
        <w:t>: 01/01/2019 - 31/12/2022</w:t>
      </w:r>
    </w:p>
    <w:p w14:paraId="14A984DB" w14:textId="77777777" w:rsidR="007947BF" w:rsidRPr="008463F3" w:rsidRDefault="007947BF" w:rsidP="007947BF">
      <w:pPr>
        <w:pStyle w:val="ListParagraph"/>
        <w:numPr>
          <w:ilvl w:val="0"/>
          <w:numId w:val="6"/>
        </w:numPr>
        <w:rPr>
          <w:lang w:val="en-GB"/>
        </w:rPr>
      </w:pPr>
      <w:r w:rsidRPr="008463F3">
        <w:rPr>
          <w:b/>
          <w:lang w:val="en-GB"/>
        </w:rPr>
        <w:t>Scientific domain</w:t>
      </w:r>
      <w:r w:rsidRPr="008463F3">
        <w:rPr>
          <w:lang w:val="en-GB"/>
        </w:rPr>
        <w:t>: e - Infrastructures</w:t>
      </w:r>
    </w:p>
    <w:p w14:paraId="465A846C" w14:textId="77777777" w:rsidR="007947BF" w:rsidRPr="008463F3" w:rsidRDefault="007947BF" w:rsidP="007947BF">
      <w:pPr>
        <w:jc w:val="both"/>
        <w:rPr>
          <w:lang w:val="en-GB"/>
        </w:rPr>
      </w:pPr>
      <w:r w:rsidRPr="008463F3">
        <w:rPr>
          <w:lang w:val="en-GB"/>
        </w:rPr>
        <w:t>The GN4-3 is the project proposed for the third Specific Grant Agreement under the 68-month Framework Partnership Agreement (FPA) established between the GÉANT Consortium and the European Commission in April 2015. This third phase of implementing the FPA is proposed to last 48 months and is a natural continuation of the work in GN4-2, building on the results and maintaining the overall objective of helping to raise European research to the next level, promoting scientific excellence, access and re-use of research data.</w:t>
      </w:r>
    </w:p>
    <w:p w14:paraId="19970C49" w14:textId="77777777" w:rsidR="007947BF" w:rsidRPr="008463F3" w:rsidRDefault="007947BF" w:rsidP="007947BF">
      <w:pPr>
        <w:jc w:val="both"/>
        <w:rPr>
          <w:b/>
          <w:sz w:val="24"/>
          <w:szCs w:val="24"/>
          <w:lang w:val="en-GB"/>
        </w:rPr>
      </w:pPr>
      <w:r w:rsidRPr="008463F3">
        <w:rPr>
          <w:lang w:val="en-GB"/>
        </w:rPr>
        <w:t>The structure of the present proposal emphasises updating existing services in line with requirements of the user community. This complements the proposed companion project GN4-3N, an ambitious programme increasing the footprint of the backbone network at the same time as improving its capacity, resilience and flexibility with the aim of offering 100Gbps network access to many more GÉANT partners and significantly diminishes the digital divide.</w:t>
      </w:r>
    </w:p>
    <w:p w14:paraId="52BF1952" w14:textId="77777777" w:rsidR="007947BF" w:rsidRPr="008463F3" w:rsidRDefault="007947BF" w:rsidP="007947BF">
      <w:pPr>
        <w:pStyle w:val="Heading4"/>
        <w:ind w:firstLine="357"/>
        <w:rPr>
          <w:rFonts w:asciiTheme="minorHAnsi" w:hAnsiTheme="minorHAnsi"/>
          <w:lang w:val="en-GB"/>
        </w:rPr>
      </w:pPr>
      <w:r w:rsidRPr="008463F3">
        <w:rPr>
          <w:rFonts w:asciiTheme="minorHAnsi" w:hAnsiTheme="minorHAnsi"/>
          <w:lang w:val="en-GB"/>
        </w:rPr>
        <w:t>4. GN4-3N: H2020-SGA-INFRA-GEANT-2018 Topic [b] Increase of Long-Term Backbone Capacity</w:t>
      </w:r>
    </w:p>
    <w:p w14:paraId="083B3F9A" w14:textId="77777777" w:rsidR="007947BF" w:rsidRPr="008463F3" w:rsidRDefault="007947BF" w:rsidP="007947BF">
      <w:pPr>
        <w:pStyle w:val="ListParagraph"/>
        <w:numPr>
          <w:ilvl w:val="0"/>
          <w:numId w:val="6"/>
        </w:numPr>
        <w:rPr>
          <w:lang w:val="en-GB"/>
        </w:rPr>
      </w:pPr>
      <w:r w:rsidRPr="008463F3">
        <w:rPr>
          <w:b/>
          <w:lang w:val="en-GB"/>
        </w:rPr>
        <w:t>Funding Programmes:</w:t>
      </w:r>
      <w:r w:rsidRPr="008463F3">
        <w:rPr>
          <w:lang w:val="en-GB"/>
        </w:rPr>
        <w:t xml:space="preserve"> H2020</w:t>
      </w:r>
    </w:p>
    <w:p w14:paraId="64039E22" w14:textId="77777777" w:rsidR="007947BF" w:rsidRPr="008463F3" w:rsidRDefault="007947BF" w:rsidP="007947BF">
      <w:pPr>
        <w:pStyle w:val="ListParagraph"/>
        <w:numPr>
          <w:ilvl w:val="0"/>
          <w:numId w:val="6"/>
        </w:numPr>
        <w:rPr>
          <w:lang w:val="en-GB"/>
        </w:rPr>
      </w:pPr>
      <w:r w:rsidRPr="008463F3">
        <w:rPr>
          <w:b/>
          <w:lang w:val="en-GB"/>
        </w:rPr>
        <w:t>Project partners from North Macedonia</w:t>
      </w:r>
      <w:r w:rsidRPr="008463F3">
        <w:rPr>
          <w:lang w:val="en-GB"/>
        </w:rPr>
        <w:t>: Macedonian Academic and Research Network, Skopje (€ 0)</w:t>
      </w:r>
    </w:p>
    <w:p w14:paraId="79D6581D" w14:textId="77777777" w:rsidR="007947BF" w:rsidRPr="008463F3" w:rsidRDefault="007947BF" w:rsidP="007947BF">
      <w:pPr>
        <w:pStyle w:val="ListParagraph"/>
        <w:numPr>
          <w:ilvl w:val="0"/>
          <w:numId w:val="6"/>
        </w:numPr>
        <w:rPr>
          <w:lang w:val="en-GB"/>
        </w:rPr>
      </w:pPr>
      <w:r w:rsidRPr="008463F3">
        <w:rPr>
          <w:b/>
          <w:lang w:val="en-GB"/>
        </w:rPr>
        <w:t>Total number of partner organi</w:t>
      </w:r>
      <w:r>
        <w:rPr>
          <w:b/>
          <w:lang w:val="en-GB"/>
        </w:rPr>
        <w:t>s</w:t>
      </w:r>
      <w:r w:rsidRPr="008463F3">
        <w:rPr>
          <w:b/>
          <w:lang w:val="en-GB"/>
        </w:rPr>
        <w:t>ations</w:t>
      </w:r>
      <w:r w:rsidRPr="008463F3">
        <w:rPr>
          <w:lang w:val="en-GB"/>
        </w:rPr>
        <w:t>: 39</w:t>
      </w:r>
    </w:p>
    <w:p w14:paraId="2EFF419A" w14:textId="77777777" w:rsidR="007947BF" w:rsidRPr="008463F3" w:rsidRDefault="007947BF" w:rsidP="007947BF">
      <w:pPr>
        <w:pStyle w:val="ListParagraph"/>
        <w:numPr>
          <w:ilvl w:val="0"/>
          <w:numId w:val="6"/>
        </w:numPr>
        <w:rPr>
          <w:lang w:val="en-GB"/>
        </w:rPr>
      </w:pPr>
      <w:r w:rsidRPr="008463F3">
        <w:rPr>
          <w:b/>
          <w:lang w:val="en-GB"/>
        </w:rPr>
        <w:t>Project implementation period</w:t>
      </w:r>
      <w:r w:rsidRPr="008463F3">
        <w:rPr>
          <w:lang w:val="en-GB"/>
        </w:rPr>
        <w:t>: 01/01/2019 - 31/12/2022</w:t>
      </w:r>
    </w:p>
    <w:p w14:paraId="11848E89" w14:textId="77777777" w:rsidR="007947BF" w:rsidRPr="008463F3" w:rsidRDefault="007947BF" w:rsidP="007947BF">
      <w:pPr>
        <w:pStyle w:val="ListParagraph"/>
        <w:numPr>
          <w:ilvl w:val="0"/>
          <w:numId w:val="6"/>
        </w:numPr>
        <w:rPr>
          <w:lang w:val="en-GB"/>
        </w:rPr>
      </w:pPr>
      <w:r w:rsidRPr="008463F3">
        <w:rPr>
          <w:b/>
          <w:lang w:val="en-GB"/>
        </w:rPr>
        <w:t>Scientific domain</w:t>
      </w:r>
      <w:r w:rsidRPr="008463F3">
        <w:rPr>
          <w:lang w:val="en-GB"/>
        </w:rPr>
        <w:t>: e - Infrastructures</w:t>
      </w:r>
    </w:p>
    <w:p w14:paraId="255CCC3A" w14:textId="77777777" w:rsidR="007947BF" w:rsidRPr="008463F3" w:rsidRDefault="007947BF" w:rsidP="007947BF">
      <w:pPr>
        <w:jc w:val="both"/>
        <w:rPr>
          <w:lang w:val="en-GB"/>
        </w:rPr>
      </w:pPr>
      <w:r w:rsidRPr="008463F3">
        <w:rPr>
          <w:lang w:val="en-GB"/>
        </w:rPr>
        <w:t xml:space="preserve">The GN4 Phase 3 Network (GN4-3N) proposal for part b of the third Specific Grant Agreement (SGA3(b) </w:t>
      </w:r>
      <w:r>
        <w:rPr>
          <w:lang w:val="en-GB"/>
        </w:rPr>
        <w:t>was</w:t>
      </w:r>
      <w:r w:rsidRPr="008463F3">
        <w:rPr>
          <w:lang w:val="en-GB"/>
        </w:rPr>
        <w:t xml:space="preserve"> made in response to the H2020-SGA-INFRA-GEANT-2018 (Topic [b] Research and Education Networking) call received on 17 October 2018, under the 68-month Framework Partnership Agreement (FPA) established between the GÉANT Consortium and the European Commission in April 2015. It is proposed to last 48 months to implement, as the call requests, a very ambitious restructuring of the backbone network operated by GÉANT in order to provide equal access to clouds and other e-infrastructure services in the European research area and beyond. It will improve the overall resilience and reliability of the GÉANT network significantly and offer a base for future improvements in access, transmission speeds and capacity wherever needed.</w:t>
      </w:r>
    </w:p>
    <w:p w14:paraId="74139838" w14:textId="77777777" w:rsidR="007947BF" w:rsidRPr="008463F3" w:rsidRDefault="007947BF" w:rsidP="007947BF">
      <w:pPr>
        <w:jc w:val="both"/>
        <w:rPr>
          <w:lang w:val="en-GB"/>
        </w:rPr>
      </w:pPr>
      <w:r w:rsidRPr="008463F3">
        <w:rPr>
          <w:lang w:val="en-GB"/>
        </w:rPr>
        <w:t>The outcome of GN4-3N project will offer uniform network access and choice of services to many more partners, eliminating the "digital divide" wherever technically and economically feasible.</w:t>
      </w:r>
    </w:p>
    <w:p w14:paraId="2EC3A3AA" w14:textId="77777777" w:rsidR="007947BF" w:rsidRPr="008463F3" w:rsidRDefault="007947BF" w:rsidP="007947BF">
      <w:pPr>
        <w:jc w:val="both"/>
        <w:rPr>
          <w:lang w:val="en-GB"/>
        </w:rPr>
      </w:pPr>
      <w:r w:rsidRPr="008463F3">
        <w:rPr>
          <w:lang w:val="en-GB"/>
        </w:rPr>
        <w:t xml:space="preserve">This project proposal is based on technical and economic studies carried out during 2017-2018 in the GN4-2 project which have given the Consortium clarity on the resourcing, financial and effort, needed to realise the huge ambition of this undertaking. It exclusively covers the engineering, procurement, acquisition and installation of the new backbone network. The day-to-day network operations as the elements of it </w:t>
      </w:r>
      <w:r>
        <w:rPr>
          <w:lang w:val="en-GB"/>
        </w:rPr>
        <w:t>are</w:t>
      </w:r>
      <w:r w:rsidRPr="008463F3">
        <w:rPr>
          <w:lang w:val="en-GB"/>
        </w:rPr>
        <w:t xml:space="preserve"> commissioned </w:t>
      </w:r>
      <w:r>
        <w:rPr>
          <w:lang w:val="en-GB"/>
        </w:rPr>
        <w:t>are</w:t>
      </w:r>
      <w:r w:rsidRPr="008463F3">
        <w:rPr>
          <w:lang w:val="en-GB"/>
        </w:rPr>
        <w:t xml:space="preserve"> the responsibility of the teams described in accompanying GN4-3 project.</w:t>
      </w:r>
    </w:p>
    <w:p w14:paraId="226A8C66" w14:textId="77777777" w:rsidR="007947BF" w:rsidRPr="008463F3" w:rsidRDefault="007947BF" w:rsidP="007947BF">
      <w:pPr>
        <w:jc w:val="both"/>
        <w:rPr>
          <w:b/>
          <w:sz w:val="24"/>
          <w:szCs w:val="24"/>
          <w:lang w:val="en-GB"/>
        </w:rPr>
      </w:pPr>
      <w:r w:rsidRPr="008463F3">
        <w:rPr>
          <w:lang w:val="en-GB"/>
        </w:rPr>
        <w:t>The GN4-3 and GN4-3N proposals are intimately connected through common teams and the technical, management and procurement expertise built</w:t>
      </w:r>
      <w:r>
        <w:rPr>
          <w:lang w:val="en-GB"/>
        </w:rPr>
        <w:t xml:space="preserve"> </w:t>
      </w:r>
      <w:r w:rsidRPr="008463F3">
        <w:rPr>
          <w:lang w:val="en-GB"/>
        </w:rPr>
        <w:t>up over previous GN projects. This is what makes this ambitious proposal realistic. GN4-3N and GN4-3 have simply had to be proposed as distinct projects, due to the different funding model (with no depreciation) to be used in GN4-3N project.</w:t>
      </w:r>
    </w:p>
    <w:p w14:paraId="6C98DE26" w14:textId="77777777" w:rsidR="007947BF" w:rsidRPr="008463F3" w:rsidRDefault="007947BF" w:rsidP="007947BF">
      <w:pPr>
        <w:pStyle w:val="Heading4"/>
        <w:ind w:firstLine="357"/>
        <w:rPr>
          <w:rFonts w:asciiTheme="minorHAnsi" w:hAnsiTheme="minorHAnsi"/>
          <w:lang w:val="en-GB"/>
        </w:rPr>
      </w:pPr>
      <w:r w:rsidRPr="008463F3">
        <w:rPr>
          <w:rFonts w:asciiTheme="minorHAnsi" w:hAnsiTheme="minorHAnsi"/>
          <w:lang w:val="en-GB"/>
        </w:rPr>
        <w:t xml:space="preserve">5. EUROCC - National Competence Centres in the framework of </w:t>
      </w:r>
      <w:proofErr w:type="spellStart"/>
      <w:r w:rsidRPr="008463F3">
        <w:rPr>
          <w:rFonts w:asciiTheme="minorHAnsi" w:hAnsiTheme="minorHAnsi"/>
          <w:lang w:val="en-GB"/>
        </w:rPr>
        <w:t>EuroHPC</w:t>
      </w:r>
      <w:proofErr w:type="spellEnd"/>
    </w:p>
    <w:p w14:paraId="3F8F4161" w14:textId="77777777" w:rsidR="007947BF" w:rsidRPr="008463F3" w:rsidRDefault="007947BF" w:rsidP="007947BF">
      <w:pPr>
        <w:pStyle w:val="ListParagraph"/>
        <w:numPr>
          <w:ilvl w:val="0"/>
          <w:numId w:val="7"/>
        </w:numPr>
        <w:rPr>
          <w:lang w:val="en-GB"/>
        </w:rPr>
      </w:pPr>
      <w:r w:rsidRPr="008463F3">
        <w:rPr>
          <w:b/>
          <w:lang w:val="en-GB"/>
        </w:rPr>
        <w:t>Funding Programmes:</w:t>
      </w:r>
      <w:r w:rsidRPr="008463F3">
        <w:rPr>
          <w:lang w:val="en-GB"/>
        </w:rPr>
        <w:t xml:space="preserve"> H2020</w:t>
      </w:r>
    </w:p>
    <w:p w14:paraId="75CBFD87" w14:textId="77777777" w:rsidR="007947BF" w:rsidRPr="008463F3" w:rsidRDefault="007947BF" w:rsidP="007947BF">
      <w:pPr>
        <w:pStyle w:val="ListParagraph"/>
        <w:numPr>
          <w:ilvl w:val="0"/>
          <w:numId w:val="7"/>
        </w:numPr>
        <w:rPr>
          <w:lang w:val="en-GB"/>
        </w:rPr>
      </w:pPr>
      <w:r w:rsidRPr="008463F3">
        <w:rPr>
          <w:b/>
          <w:lang w:val="en-GB"/>
        </w:rPr>
        <w:t>Project partner from North Macedonia</w:t>
      </w:r>
      <w:r w:rsidRPr="008463F3">
        <w:rPr>
          <w:lang w:val="en-GB"/>
        </w:rPr>
        <w:t>: Ss. Cyril and Methodius University in Skopje, FCSE (€ 912.935)</w:t>
      </w:r>
    </w:p>
    <w:p w14:paraId="2DCA1556" w14:textId="77777777" w:rsidR="007947BF" w:rsidRPr="008463F3" w:rsidRDefault="007947BF" w:rsidP="007947BF">
      <w:pPr>
        <w:pStyle w:val="ListParagraph"/>
        <w:numPr>
          <w:ilvl w:val="0"/>
          <w:numId w:val="7"/>
        </w:numPr>
        <w:rPr>
          <w:lang w:val="en-GB"/>
        </w:rPr>
      </w:pPr>
      <w:r w:rsidRPr="008463F3">
        <w:rPr>
          <w:b/>
          <w:lang w:val="en-GB"/>
        </w:rPr>
        <w:t>Total number of partner organi</w:t>
      </w:r>
      <w:r>
        <w:rPr>
          <w:b/>
          <w:lang w:val="en-GB"/>
        </w:rPr>
        <w:t>s</w:t>
      </w:r>
      <w:r w:rsidRPr="008463F3">
        <w:rPr>
          <w:b/>
          <w:lang w:val="en-GB"/>
        </w:rPr>
        <w:t>ations</w:t>
      </w:r>
      <w:r w:rsidRPr="008463F3">
        <w:rPr>
          <w:lang w:val="en-GB"/>
        </w:rPr>
        <w:t>: 36</w:t>
      </w:r>
    </w:p>
    <w:p w14:paraId="3CA1504C" w14:textId="77777777" w:rsidR="007947BF" w:rsidRPr="008463F3" w:rsidRDefault="007947BF" w:rsidP="007947BF">
      <w:pPr>
        <w:pStyle w:val="ListParagraph"/>
        <w:numPr>
          <w:ilvl w:val="0"/>
          <w:numId w:val="7"/>
        </w:numPr>
        <w:rPr>
          <w:lang w:val="en-GB"/>
        </w:rPr>
      </w:pPr>
      <w:r w:rsidRPr="008463F3">
        <w:rPr>
          <w:b/>
          <w:lang w:val="en-GB"/>
        </w:rPr>
        <w:t>Project implementation period</w:t>
      </w:r>
      <w:r w:rsidRPr="008463F3">
        <w:rPr>
          <w:lang w:val="en-GB"/>
        </w:rPr>
        <w:t>: 01/09/2020 - 31/08/2022</w:t>
      </w:r>
    </w:p>
    <w:p w14:paraId="1392351A" w14:textId="77777777" w:rsidR="007947BF" w:rsidRPr="008463F3" w:rsidRDefault="007947BF" w:rsidP="007947BF">
      <w:pPr>
        <w:pStyle w:val="ListParagraph"/>
        <w:numPr>
          <w:ilvl w:val="0"/>
          <w:numId w:val="7"/>
        </w:numPr>
        <w:rPr>
          <w:lang w:val="en-GB"/>
        </w:rPr>
      </w:pPr>
      <w:r w:rsidRPr="008463F3">
        <w:rPr>
          <w:b/>
          <w:lang w:val="en-GB"/>
        </w:rPr>
        <w:t>Scientific domain</w:t>
      </w:r>
      <w:r w:rsidRPr="008463F3">
        <w:rPr>
          <w:lang w:val="en-GB"/>
        </w:rPr>
        <w:t>: Research Infrastructures</w:t>
      </w:r>
    </w:p>
    <w:p w14:paraId="6B0BD07A" w14:textId="77777777" w:rsidR="007947BF" w:rsidRPr="008463F3" w:rsidRDefault="007947BF" w:rsidP="007947BF">
      <w:pPr>
        <w:jc w:val="both"/>
        <w:rPr>
          <w:lang w:val="en-GB"/>
        </w:rPr>
      </w:pPr>
      <w:r w:rsidRPr="008463F3">
        <w:rPr>
          <w:lang w:val="en-GB"/>
        </w:rPr>
        <w:t xml:space="preserve">The </w:t>
      </w:r>
      <w:proofErr w:type="spellStart"/>
      <w:r w:rsidRPr="008463F3">
        <w:rPr>
          <w:lang w:val="en-GB"/>
        </w:rPr>
        <w:t>EuroCC</w:t>
      </w:r>
      <w:proofErr w:type="spellEnd"/>
      <w:r w:rsidRPr="008463F3">
        <w:rPr>
          <w:lang w:val="en-GB"/>
        </w:rPr>
        <w:t xml:space="preserve"> project will bring together the necessary expertise to set up a network of National Competence Centres in HPC across Europe in 31 participating member and associated </w:t>
      </w:r>
      <w:r>
        <w:rPr>
          <w:lang w:val="en-GB"/>
        </w:rPr>
        <w:t>economies</w:t>
      </w:r>
      <w:r w:rsidRPr="008463F3">
        <w:rPr>
          <w:lang w:val="en-GB"/>
        </w:rPr>
        <w:t xml:space="preserve">, to provide a broad service portfolio tailored to the respective national needs of industry, academia and public administrations. All of this </w:t>
      </w:r>
      <w:r>
        <w:rPr>
          <w:lang w:val="en-GB"/>
        </w:rPr>
        <w:t xml:space="preserve">is </w:t>
      </w:r>
      <w:r w:rsidRPr="008463F3">
        <w:rPr>
          <w:lang w:val="en-GB"/>
        </w:rPr>
        <w:t xml:space="preserve">to </w:t>
      </w:r>
      <w:r>
        <w:rPr>
          <w:lang w:val="en-GB"/>
        </w:rPr>
        <w:t xml:space="preserve">strongly </w:t>
      </w:r>
      <w:r w:rsidRPr="008463F3">
        <w:rPr>
          <w:lang w:val="en-GB"/>
        </w:rPr>
        <w:t xml:space="preserve">support and increase the national strengths of High Performance Computing (HPC) competences as well as High Performance Data Analytics (HPDA) and Artificial Intelligence (AI) capabilities and to close existing gaps to increase usability of these technologies in different </w:t>
      </w:r>
      <w:r>
        <w:rPr>
          <w:lang w:val="en-GB"/>
        </w:rPr>
        <w:t xml:space="preserve">economies </w:t>
      </w:r>
      <w:r w:rsidRPr="008463F3">
        <w:rPr>
          <w:lang w:val="en-GB"/>
        </w:rPr>
        <w:t>and thus provide a European excellence baseline.</w:t>
      </w:r>
    </w:p>
    <w:p w14:paraId="3F49D4B4" w14:textId="77777777" w:rsidR="007947BF" w:rsidRPr="008463F3" w:rsidRDefault="007947BF" w:rsidP="007947BF">
      <w:pPr>
        <w:jc w:val="both"/>
        <w:rPr>
          <w:lang w:val="en-GB"/>
        </w:rPr>
      </w:pPr>
      <w:r w:rsidRPr="008463F3">
        <w:rPr>
          <w:lang w:val="en-GB"/>
        </w:rPr>
        <w:t xml:space="preserve">Each of the 33 national competence centres, which will be part of the </w:t>
      </w:r>
      <w:proofErr w:type="spellStart"/>
      <w:r w:rsidRPr="008463F3">
        <w:rPr>
          <w:lang w:val="en-GB"/>
        </w:rPr>
        <w:t>EuroCC</w:t>
      </w:r>
      <w:proofErr w:type="spellEnd"/>
      <w:r w:rsidRPr="008463F3">
        <w:rPr>
          <w:lang w:val="en-GB"/>
        </w:rPr>
        <w:t xml:space="preserve"> network, will act locally to map available HPC competencies and identify existing knowledge gaps. The competence centres will coordinate HPC expertise at national level and ease access to European HPC opportunities for research and scientific users, public administration</w:t>
      </w:r>
      <w:r>
        <w:rPr>
          <w:lang w:val="en-GB"/>
        </w:rPr>
        <w:t>,</w:t>
      </w:r>
      <w:r w:rsidRPr="008463F3">
        <w:rPr>
          <w:lang w:val="en-GB"/>
        </w:rPr>
        <w:t xml:space="preserve"> but also in different industrial sectors, delivering tailored solutions for a wide variety of users.</w:t>
      </w:r>
    </w:p>
    <w:p w14:paraId="0E71C4F3" w14:textId="77777777" w:rsidR="007947BF" w:rsidRPr="008463F3" w:rsidRDefault="007947BF" w:rsidP="007947BF">
      <w:pPr>
        <w:jc w:val="both"/>
        <w:rPr>
          <w:lang w:val="en-GB"/>
        </w:rPr>
      </w:pPr>
      <w:r w:rsidRPr="008463F3">
        <w:rPr>
          <w:lang w:val="en-GB"/>
        </w:rPr>
        <w:t>Faculty of Computer Science and Engineering is the National HPC Competence Centr</w:t>
      </w:r>
      <w:r>
        <w:rPr>
          <w:lang w:val="en-GB"/>
        </w:rPr>
        <w:t>e</w:t>
      </w:r>
      <w:r w:rsidRPr="008463F3">
        <w:rPr>
          <w:lang w:val="en-GB"/>
        </w:rPr>
        <w:t xml:space="preserve"> in North Macedonia, taking the leading role in developing the roadmap, capacity building, training as well as facilitation of access to expertise. It will interface with industry partners to enlarge the HPC application nationwide.</w:t>
      </w:r>
    </w:p>
    <w:p w14:paraId="3D9D63A9" w14:textId="77777777" w:rsidR="007947BF" w:rsidRPr="008463F3" w:rsidRDefault="007947BF" w:rsidP="007947BF">
      <w:pPr>
        <w:jc w:val="both"/>
        <w:rPr>
          <w:lang w:val="en-GB"/>
        </w:rPr>
      </w:pPr>
    </w:p>
    <w:p w14:paraId="5A052BE0" w14:textId="77777777" w:rsidR="007947BF" w:rsidRPr="008463F3" w:rsidRDefault="007947BF" w:rsidP="007947BF">
      <w:pPr>
        <w:pStyle w:val="Heading4"/>
        <w:ind w:firstLine="357"/>
        <w:rPr>
          <w:rFonts w:asciiTheme="minorHAnsi" w:hAnsiTheme="minorHAnsi"/>
          <w:lang w:val="en-GB"/>
        </w:rPr>
      </w:pPr>
      <w:r w:rsidRPr="008463F3">
        <w:rPr>
          <w:rFonts w:asciiTheme="minorHAnsi" w:hAnsiTheme="minorHAnsi"/>
          <w:lang w:val="en-GB"/>
        </w:rPr>
        <w:t>6. EGI-ACE: Advanced computing for research</w:t>
      </w:r>
    </w:p>
    <w:p w14:paraId="13711648" w14:textId="77777777" w:rsidR="007947BF" w:rsidRPr="008463F3" w:rsidRDefault="007947BF" w:rsidP="007947BF">
      <w:pPr>
        <w:pStyle w:val="ListParagraph"/>
        <w:numPr>
          <w:ilvl w:val="0"/>
          <w:numId w:val="2"/>
        </w:numPr>
        <w:rPr>
          <w:lang w:val="en-GB"/>
        </w:rPr>
      </w:pPr>
      <w:r w:rsidRPr="008463F3">
        <w:rPr>
          <w:b/>
          <w:lang w:val="en-GB"/>
        </w:rPr>
        <w:t>Funding Programmes:</w:t>
      </w:r>
      <w:r w:rsidRPr="008463F3">
        <w:rPr>
          <w:lang w:val="en-GB"/>
        </w:rPr>
        <w:t xml:space="preserve"> H2020</w:t>
      </w:r>
    </w:p>
    <w:p w14:paraId="74707CD4" w14:textId="77777777" w:rsidR="007947BF" w:rsidRPr="008463F3" w:rsidRDefault="007947BF" w:rsidP="007947BF">
      <w:pPr>
        <w:pStyle w:val="ListParagraph"/>
        <w:numPr>
          <w:ilvl w:val="0"/>
          <w:numId w:val="2"/>
        </w:numPr>
        <w:rPr>
          <w:lang w:val="en-GB"/>
        </w:rPr>
      </w:pPr>
      <w:r w:rsidRPr="008463F3">
        <w:rPr>
          <w:b/>
          <w:lang w:val="en-GB"/>
        </w:rPr>
        <w:t>Project partners from North Macedonia</w:t>
      </w:r>
      <w:r w:rsidRPr="008463F3">
        <w:rPr>
          <w:lang w:val="en-GB"/>
        </w:rPr>
        <w:t>: Ss Cyril and Methodius University in Skopje, FCSE (€ 23.750)</w:t>
      </w:r>
    </w:p>
    <w:p w14:paraId="1A71C575" w14:textId="77777777" w:rsidR="007947BF" w:rsidRPr="008463F3" w:rsidRDefault="007947BF" w:rsidP="007947BF">
      <w:pPr>
        <w:pStyle w:val="ListParagraph"/>
        <w:numPr>
          <w:ilvl w:val="0"/>
          <w:numId w:val="2"/>
        </w:numPr>
        <w:rPr>
          <w:lang w:val="en-GB"/>
        </w:rPr>
      </w:pPr>
      <w:r w:rsidRPr="008463F3">
        <w:rPr>
          <w:b/>
          <w:lang w:val="en-GB"/>
        </w:rPr>
        <w:t>Total number of partner organi</w:t>
      </w:r>
      <w:r>
        <w:rPr>
          <w:b/>
          <w:lang w:val="en-GB"/>
        </w:rPr>
        <w:t>s</w:t>
      </w:r>
      <w:r w:rsidRPr="008463F3">
        <w:rPr>
          <w:b/>
          <w:lang w:val="en-GB"/>
        </w:rPr>
        <w:t>ations</w:t>
      </w:r>
      <w:r w:rsidRPr="008463F3">
        <w:rPr>
          <w:lang w:val="en-GB"/>
        </w:rPr>
        <w:t>: 33</w:t>
      </w:r>
    </w:p>
    <w:p w14:paraId="19B0D779" w14:textId="77777777" w:rsidR="007947BF" w:rsidRPr="008463F3" w:rsidRDefault="007947BF" w:rsidP="007947BF">
      <w:pPr>
        <w:pStyle w:val="ListParagraph"/>
        <w:numPr>
          <w:ilvl w:val="0"/>
          <w:numId w:val="2"/>
        </w:numPr>
        <w:rPr>
          <w:lang w:val="en-GB"/>
        </w:rPr>
      </w:pPr>
      <w:r w:rsidRPr="008463F3">
        <w:rPr>
          <w:b/>
          <w:lang w:val="en-GB"/>
        </w:rPr>
        <w:t>Project implementation period</w:t>
      </w:r>
      <w:r w:rsidRPr="008463F3">
        <w:rPr>
          <w:lang w:val="en-GB"/>
        </w:rPr>
        <w:t>: 01/01/2021 – 30/06/2023</w:t>
      </w:r>
    </w:p>
    <w:p w14:paraId="3046F8C0" w14:textId="77777777" w:rsidR="007947BF" w:rsidRPr="008463F3" w:rsidRDefault="007947BF" w:rsidP="007947BF">
      <w:pPr>
        <w:pStyle w:val="ListParagraph"/>
        <w:numPr>
          <w:ilvl w:val="0"/>
          <w:numId w:val="2"/>
        </w:numPr>
        <w:rPr>
          <w:lang w:val="en-GB"/>
        </w:rPr>
      </w:pPr>
      <w:r w:rsidRPr="008463F3">
        <w:rPr>
          <w:b/>
          <w:lang w:val="en-GB"/>
        </w:rPr>
        <w:t>Scientific domain</w:t>
      </w:r>
      <w:r w:rsidRPr="008463F3">
        <w:rPr>
          <w:lang w:val="en-GB"/>
        </w:rPr>
        <w:t>: ICT based e-Infrastructures</w:t>
      </w:r>
    </w:p>
    <w:p w14:paraId="2DC1B5A4" w14:textId="77777777" w:rsidR="007947BF" w:rsidRPr="008463F3" w:rsidRDefault="007947BF" w:rsidP="007947BF">
      <w:pPr>
        <w:jc w:val="both"/>
        <w:rPr>
          <w:lang w:val="en-GB"/>
        </w:rPr>
      </w:pPr>
      <w:r w:rsidRPr="008463F3">
        <w:rPr>
          <w:lang w:val="en-GB"/>
        </w:rPr>
        <w:t>EGI-ACE empowers researchers from all disciplines to collaborate in data and compute-intensive research across borders</w:t>
      </w:r>
      <w:r>
        <w:rPr>
          <w:lang w:val="en-GB"/>
        </w:rPr>
        <w:t>/boundaries</w:t>
      </w:r>
      <w:r w:rsidRPr="008463F3">
        <w:rPr>
          <w:lang w:val="en-GB"/>
        </w:rPr>
        <w:t xml:space="preserve"> through free at point of use services. Building on the distributed computing integration in EOSC-hub, it delivers the EOSC Compute Platform and contributes to the EOSC Data Commons through a federation of Cloud compute and storage facilities, PaaS services and data spaces with analytics tools and federated access services.</w:t>
      </w:r>
    </w:p>
    <w:p w14:paraId="7B6230E3" w14:textId="77777777" w:rsidR="007947BF" w:rsidRPr="008463F3" w:rsidRDefault="007947BF" w:rsidP="007947BF">
      <w:pPr>
        <w:jc w:val="both"/>
        <w:rPr>
          <w:lang w:val="en-GB"/>
        </w:rPr>
      </w:pPr>
      <w:r w:rsidRPr="008463F3">
        <w:rPr>
          <w:lang w:val="en-GB"/>
        </w:rPr>
        <w:t>The Platform is built on the EGI Federation, the largest distributed computing infrastructure for research. The Platform pools the capacity of some of Europe’s largest research data centres, leveraging ISO compliant federated service management. Over 30 months, it will provide more than 82 M CPU hours and 250 K GPU hours for data processing and analytics, and 45 PB/month to host and exploit research data. Its services address the needs of major research infrastructures and communities of practice engaged through the EOSC-hub project. The Platform advances beyond the state of the art through a data-centric approach, where data, tools and compute and storage facilities form a fully integrated environment accessible across borders</w:t>
      </w:r>
      <w:r>
        <w:rPr>
          <w:lang w:val="en-GB"/>
        </w:rPr>
        <w:t>/boundaries</w:t>
      </w:r>
      <w:r w:rsidRPr="008463F3">
        <w:rPr>
          <w:lang w:val="en-GB"/>
        </w:rPr>
        <w:t xml:space="preserve"> thanks to Virtual Access.</w:t>
      </w:r>
    </w:p>
    <w:p w14:paraId="00FA6C48" w14:textId="77777777" w:rsidR="007947BF" w:rsidRPr="008463F3" w:rsidRDefault="007947BF" w:rsidP="007947BF">
      <w:pPr>
        <w:jc w:val="both"/>
        <w:rPr>
          <w:lang w:val="en-GB"/>
        </w:rPr>
      </w:pPr>
      <w:r w:rsidRPr="008463F3">
        <w:rPr>
          <w:lang w:val="en-GB"/>
        </w:rPr>
        <w:t>The Platform offers heterogeneous systems to meet different needs, including state of the art GPGPUs and accelerators supporting AI and ML, making the Platform an ideal innovation space for AI applications. The data spaces and analytics tools are delivered in collaboration with tens of research infrastructures and projects, to support use cases for Health, the Green Deal, and fundamental sciences.</w:t>
      </w:r>
    </w:p>
    <w:p w14:paraId="2218A45B" w14:textId="77777777" w:rsidR="007947BF" w:rsidRPr="008463F3" w:rsidRDefault="007947BF" w:rsidP="007947BF">
      <w:pPr>
        <w:spacing w:after="0"/>
        <w:jc w:val="both"/>
        <w:rPr>
          <w:b/>
          <w:sz w:val="24"/>
          <w:szCs w:val="24"/>
          <w:lang w:val="en-GB"/>
        </w:rPr>
      </w:pPr>
      <w:r w:rsidRPr="008463F3">
        <w:rPr>
          <w:lang w:val="en-GB"/>
        </w:rPr>
        <w:t>The consortium builds on the expertise and assets of the EGI federation members, key research communities and data providers, and collaborating initiatives.</w:t>
      </w:r>
    </w:p>
    <w:p w14:paraId="2665F241" w14:textId="77777777" w:rsidR="007947BF" w:rsidRPr="008463F3" w:rsidRDefault="007947BF" w:rsidP="007947BF">
      <w:pPr>
        <w:pStyle w:val="Heading4"/>
        <w:ind w:firstLine="357"/>
        <w:rPr>
          <w:rFonts w:asciiTheme="minorHAnsi" w:hAnsiTheme="minorHAnsi"/>
          <w:lang w:val="en-GB"/>
        </w:rPr>
      </w:pPr>
      <w:r w:rsidRPr="008463F3">
        <w:rPr>
          <w:rFonts w:asciiTheme="minorHAnsi" w:hAnsiTheme="minorHAnsi"/>
          <w:lang w:val="en-GB"/>
        </w:rPr>
        <w:t>7. SERA: Seismology and Earthquake Engineering Research Infrastructure Alliance for Europe</w:t>
      </w:r>
    </w:p>
    <w:p w14:paraId="300B79A0" w14:textId="77777777" w:rsidR="007947BF" w:rsidRPr="008463F3" w:rsidRDefault="007947BF" w:rsidP="007947BF">
      <w:pPr>
        <w:pStyle w:val="ListParagraph"/>
        <w:numPr>
          <w:ilvl w:val="0"/>
          <w:numId w:val="2"/>
        </w:numPr>
        <w:rPr>
          <w:lang w:val="en-GB"/>
        </w:rPr>
      </w:pPr>
      <w:r w:rsidRPr="008463F3">
        <w:rPr>
          <w:b/>
          <w:lang w:val="en-GB"/>
        </w:rPr>
        <w:t>Funding Programmes:</w:t>
      </w:r>
      <w:r w:rsidRPr="008463F3">
        <w:rPr>
          <w:lang w:val="en-GB"/>
        </w:rPr>
        <w:t xml:space="preserve"> H2020</w:t>
      </w:r>
    </w:p>
    <w:p w14:paraId="4345AE54" w14:textId="77777777" w:rsidR="007947BF" w:rsidRPr="008463F3" w:rsidRDefault="007947BF" w:rsidP="007947BF">
      <w:pPr>
        <w:pStyle w:val="ListParagraph"/>
        <w:numPr>
          <w:ilvl w:val="0"/>
          <w:numId w:val="2"/>
        </w:numPr>
        <w:rPr>
          <w:lang w:val="en-GB"/>
        </w:rPr>
      </w:pPr>
      <w:r w:rsidRPr="008463F3">
        <w:rPr>
          <w:b/>
          <w:lang w:val="en-GB"/>
        </w:rPr>
        <w:t>Project partners from North Macedonia</w:t>
      </w:r>
      <w:r w:rsidRPr="008463F3">
        <w:rPr>
          <w:lang w:val="en-GB"/>
        </w:rPr>
        <w:t>: Ss. Cyril and Methodius University in Skopje, Institute of Earthquake Engineering and Engineering Seismology (€ 200 000)</w:t>
      </w:r>
    </w:p>
    <w:p w14:paraId="633D9B60" w14:textId="77777777" w:rsidR="007947BF" w:rsidRPr="008463F3" w:rsidRDefault="007947BF" w:rsidP="007947BF">
      <w:pPr>
        <w:pStyle w:val="ListParagraph"/>
        <w:numPr>
          <w:ilvl w:val="0"/>
          <w:numId w:val="2"/>
        </w:numPr>
        <w:rPr>
          <w:lang w:val="en-GB"/>
        </w:rPr>
      </w:pPr>
      <w:r w:rsidRPr="008463F3">
        <w:rPr>
          <w:b/>
          <w:lang w:val="en-GB"/>
        </w:rPr>
        <w:t>Total number of partner organi</w:t>
      </w:r>
      <w:r>
        <w:rPr>
          <w:b/>
          <w:lang w:val="en-GB"/>
        </w:rPr>
        <w:t>s</w:t>
      </w:r>
      <w:r w:rsidRPr="008463F3">
        <w:rPr>
          <w:b/>
          <w:lang w:val="en-GB"/>
        </w:rPr>
        <w:t>ations</w:t>
      </w:r>
      <w:r w:rsidRPr="008463F3">
        <w:rPr>
          <w:lang w:val="en-GB"/>
        </w:rPr>
        <w:t>: 31</w:t>
      </w:r>
    </w:p>
    <w:p w14:paraId="4D7EA5B7" w14:textId="77777777" w:rsidR="007947BF" w:rsidRPr="008463F3" w:rsidRDefault="007947BF" w:rsidP="007947BF">
      <w:pPr>
        <w:pStyle w:val="ListParagraph"/>
        <w:numPr>
          <w:ilvl w:val="0"/>
          <w:numId w:val="2"/>
        </w:numPr>
        <w:rPr>
          <w:lang w:val="en-GB"/>
        </w:rPr>
      </w:pPr>
      <w:r w:rsidRPr="008463F3">
        <w:rPr>
          <w:b/>
          <w:lang w:val="en-GB"/>
        </w:rPr>
        <w:t>Project implementation period</w:t>
      </w:r>
      <w:r w:rsidRPr="008463F3">
        <w:rPr>
          <w:lang w:val="en-GB"/>
        </w:rPr>
        <w:t>: 01/05/2017 – 30/04/2020</w:t>
      </w:r>
    </w:p>
    <w:p w14:paraId="0EA83048" w14:textId="77777777" w:rsidR="007947BF" w:rsidRPr="008463F3" w:rsidRDefault="007947BF" w:rsidP="007947BF">
      <w:pPr>
        <w:pStyle w:val="ListParagraph"/>
        <w:numPr>
          <w:ilvl w:val="0"/>
          <w:numId w:val="2"/>
        </w:numPr>
        <w:rPr>
          <w:lang w:val="en-GB"/>
        </w:rPr>
      </w:pPr>
      <w:r w:rsidRPr="008463F3">
        <w:rPr>
          <w:b/>
          <w:lang w:val="en-GB"/>
        </w:rPr>
        <w:t>Scientific domain</w:t>
      </w:r>
      <w:r w:rsidRPr="008463F3">
        <w:rPr>
          <w:lang w:val="en-GB"/>
        </w:rPr>
        <w:t>: Research Infrastructures</w:t>
      </w:r>
    </w:p>
    <w:p w14:paraId="6550E29E" w14:textId="77777777" w:rsidR="007947BF" w:rsidRPr="008463F3" w:rsidRDefault="007947BF" w:rsidP="007947BF">
      <w:pPr>
        <w:jc w:val="both"/>
        <w:rPr>
          <w:lang w:val="en-GB"/>
        </w:rPr>
      </w:pPr>
      <w:r w:rsidRPr="008463F3">
        <w:rPr>
          <w:lang w:val="en-GB"/>
        </w:rPr>
        <w:t>Seismology and Earthquake Engineering Research Infrastructure Alliance for Europe (SERA) was the response to the priorities identified in the call INFRAIA-01-2016-2017 Research Infrastructure for Earthquake Hazard.</w:t>
      </w:r>
    </w:p>
    <w:p w14:paraId="6B12A488" w14:textId="77777777" w:rsidR="007947BF" w:rsidRPr="008463F3" w:rsidRDefault="007947BF" w:rsidP="007947BF">
      <w:pPr>
        <w:jc w:val="both"/>
        <w:rPr>
          <w:lang w:val="en-GB"/>
        </w:rPr>
      </w:pPr>
      <w:r w:rsidRPr="008463F3">
        <w:rPr>
          <w:lang w:val="en-GB"/>
        </w:rPr>
        <w:t xml:space="preserve">The overall objective of SERA was to give a significant contribution to improve the access to data, services and research infrastructures, and deliver solutions based on innovative R&amp;D in seismology and earthquake engineering, aiming </w:t>
      </w:r>
      <w:r>
        <w:rPr>
          <w:lang w:val="en-GB"/>
        </w:rPr>
        <w:t>to</w:t>
      </w:r>
      <w:r w:rsidRPr="008463F3">
        <w:rPr>
          <w:lang w:val="en-GB"/>
        </w:rPr>
        <w:t xml:space="preserve"> reduc</w:t>
      </w:r>
      <w:r>
        <w:rPr>
          <w:lang w:val="en-GB"/>
        </w:rPr>
        <w:t>e</w:t>
      </w:r>
      <w:r w:rsidRPr="008463F3">
        <w:rPr>
          <w:lang w:val="en-GB"/>
        </w:rPr>
        <w:t xml:space="preserve"> the exposure of society to the risk posed by natural and anthropogenic earthquakes.</w:t>
      </w:r>
    </w:p>
    <w:p w14:paraId="453EED24" w14:textId="77777777" w:rsidR="007947BF" w:rsidRPr="008463F3" w:rsidRDefault="007947BF" w:rsidP="007947BF">
      <w:pPr>
        <w:jc w:val="both"/>
        <w:rPr>
          <w:szCs w:val="24"/>
          <w:lang w:val="en-GB"/>
        </w:rPr>
      </w:pPr>
      <w:r w:rsidRPr="008463F3">
        <w:rPr>
          <w:lang w:val="en-GB"/>
        </w:rPr>
        <w:t xml:space="preserve">The main activities of SERA were the following: </w:t>
      </w:r>
      <w:r>
        <w:rPr>
          <w:lang w:val="en-GB"/>
        </w:rPr>
        <w:t>i</w:t>
      </w:r>
      <w:r w:rsidRPr="008463F3">
        <w:rPr>
          <w:lang w:val="en-GB"/>
        </w:rPr>
        <w:t xml:space="preserve">nvolving the communities from previous successful projects including NERA and SERIES; </w:t>
      </w:r>
      <w:r>
        <w:rPr>
          <w:lang w:val="en-GB"/>
        </w:rPr>
        <w:t>o</w:t>
      </w:r>
      <w:r w:rsidRPr="008463F3">
        <w:rPr>
          <w:lang w:val="en-GB"/>
        </w:rPr>
        <w:t xml:space="preserve">ffering transnational access to the largest collection of high-class experimental facilities in earthquake engineering; </w:t>
      </w:r>
      <w:r>
        <w:rPr>
          <w:lang w:val="en-GB"/>
        </w:rPr>
        <w:t>o</w:t>
      </w:r>
      <w:r w:rsidRPr="008463F3">
        <w:rPr>
          <w:lang w:val="en-GB"/>
        </w:rPr>
        <w:t xml:space="preserve">ffering virtual access to the main data and products in seismology and anthropogenic seismicity; </w:t>
      </w:r>
      <w:r>
        <w:rPr>
          <w:lang w:val="en-GB"/>
        </w:rPr>
        <w:t>p</w:t>
      </w:r>
      <w:r w:rsidRPr="008463F3">
        <w:rPr>
          <w:lang w:val="en-GB"/>
        </w:rPr>
        <w:t xml:space="preserve">romoting multi-disciplinary science across the domains of seismology, anthropogenic seismicity, near-fault observatories and deep underground laboratories, to achieve an improved understanding of earthquake occurrence; </w:t>
      </w:r>
      <w:r>
        <w:rPr>
          <w:lang w:val="en-GB"/>
        </w:rPr>
        <w:t>r</w:t>
      </w:r>
      <w:r w:rsidRPr="008463F3">
        <w:rPr>
          <w:lang w:val="en-GB"/>
        </w:rPr>
        <w:t xml:space="preserve">evising the European Seismic Hazard reference model for consideration in the ongoing revision of the Eurocode 8; </w:t>
      </w:r>
      <w:r>
        <w:rPr>
          <w:lang w:val="en-GB"/>
        </w:rPr>
        <w:t>d</w:t>
      </w:r>
      <w:r w:rsidRPr="008463F3">
        <w:rPr>
          <w:lang w:val="en-GB"/>
        </w:rPr>
        <w:t xml:space="preserve">eveloping the first comprehensive framework for seismic risk modelling at European scale; </w:t>
      </w:r>
      <w:r>
        <w:rPr>
          <w:lang w:val="en-GB"/>
        </w:rPr>
        <w:t>d</w:t>
      </w:r>
      <w:r w:rsidRPr="008463F3">
        <w:rPr>
          <w:lang w:val="en-GB"/>
        </w:rPr>
        <w:t xml:space="preserve">eveloping the new standards for future experimental observations in earthquake engineering and for the design of future instruments and networks for observational seismology; </w:t>
      </w:r>
      <w:r>
        <w:rPr>
          <w:lang w:val="en-GB"/>
        </w:rPr>
        <w:t>d</w:t>
      </w:r>
      <w:r w:rsidRPr="008463F3">
        <w:rPr>
          <w:lang w:val="en-GB"/>
        </w:rPr>
        <w:t xml:space="preserve">eveloping reliable methodologies for real-time assessment of shaking and damage; </w:t>
      </w:r>
      <w:r>
        <w:rPr>
          <w:lang w:val="en-GB"/>
        </w:rPr>
        <w:t>e</w:t>
      </w:r>
      <w:r w:rsidRPr="008463F3">
        <w:rPr>
          <w:lang w:val="en-GB"/>
        </w:rPr>
        <w:t xml:space="preserve">xpanding access to seismological observations; </w:t>
      </w:r>
      <w:r>
        <w:rPr>
          <w:lang w:val="en-GB"/>
        </w:rPr>
        <w:t>n</w:t>
      </w:r>
      <w:r w:rsidRPr="008463F3">
        <w:rPr>
          <w:lang w:val="en-GB"/>
        </w:rPr>
        <w:t>etworking</w:t>
      </w:r>
      <w:r w:rsidRPr="008463F3">
        <w:rPr>
          <w:szCs w:val="24"/>
          <w:lang w:val="en-GB"/>
        </w:rPr>
        <w:t xml:space="preserve"> infrastructures and communities in the fields of deep seismic sounding, experimental earthquake engineering and site characteri</w:t>
      </w:r>
      <w:r>
        <w:rPr>
          <w:szCs w:val="24"/>
          <w:lang w:val="en-GB"/>
        </w:rPr>
        <w:t>s</w:t>
      </w:r>
      <w:r w:rsidRPr="008463F3">
        <w:rPr>
          <w:szCs w:val="24"/>
          <w:lang w:val="en-GB"/>
        </w:rPr>
        <w:t xml:space="preserve">ation; </w:t>
      </w:r>
      <w:r>
        <w:rPr>
          <w:szCs w:val="24"/>
          <w:lang w:val="en-GB"/>
        </w:rPr>
        <w:t>p</w:t>
      </w:r>
      <w:r w:rsidRPr="008463F3">
        <w:rPr>
          <w:szCs w:val="24"/>
          <w:lang w:val="en-GB"/>
        </w:rPr>
        <w:t xml:space="preserve">roviding an important contribution to the construction and validation of EPOS; </w:t>
      </w:r>
      <w:r>
        <w:rPr>
          <w:szCs w:val="24"/>
          <w:lang w:val="en-GB"/>
        </w:rPr>
        <w:t>p</w:t>
      </w:r>
      <w:r w:rsidRPr="008463F3">
        <w:rPr>
          <w:szCs w:val="24"/>
          <w:lang w:val="en-GB"/>
        </w:rPr>
        <w:t>roviding effective communication and outreach to all stakeholders.</w:t>
      </w:r>
    </w:p>
    <w:p w14:paraId="1A1C621C" w14:textId="77777777" w:rsidR="007947BF" w:rsidRPr="008463F3" w:rsidRDefault="007947BF" w:rsidP="007947BF">
      <w:pPr>
        <w:pStyle w:val="Heading4"/>
        <w:ind w:firstLine="357"/>
        <w:rPr>
          <w:rFonts w:asciiTheme="minorHAnsi" w:hAnsiTheme="minorHAnsi"/>
          <w:lang w:val="en-GB"/>
        </w:rPr>
      </w:pPr>
      <w:r w:rsidRPr="008463F3">
        <w:rPr>
          <w:rFonts w:asciiTheme="minorHAnsi" w:hAnsiTheme="minorHAnsi"/>
          <w:lang w:val="en-GB"/>
        </w:rPr>
        <w:t>8. BELLA-S1: Building Europe Link with Latin America</w:t>
      </w:r>
    </w:p>
    <w:p w14:paraId="4DEC9274" w14:textId="77777777" w:rsidR="007947BF" w:rsidRPr="008463F3" w:rsidRDefault="007947BF" w:rsidP="007947BF">
      <w:pPr>
        <w:pStyle w:val="ListParagraph"/>
        <w:numPr>
          <w:ilvl w:val="0"/>
          <w:numId w:val="2"/>
        </w:numPr>
        <w:rPr>
          <w:lang w:val="en-GB"/>
        </w:rPr>
      </w:pPr>
      <w:r w:rsidRPr="008463F3">
        <w:rPr>
          <w:b/>
          <w:lang w:val="en-GB"/>
        </w:rPr>
        <w:t>Funding Programmes:</w:t>
      </w:r>
      <w:r w:rsidRPr="008463F3">
        <w:rPr>
          <w:lang w:val="en-GB"/>
        </w:rPr>
        <w:t xml:space="preserve"> H2020</w:t>
      </w:r>
    </w:p>
    <w:p w14:paraId="07BB5485" w14:textId="77777777" w:rsidR="007947BF" w:rsidRPr="008463F3" w:rsidRDefault="007947BF" w:rsidP="007947BF">
      <w:pPr>
        <w:pStyle w:val="ListParagraph"/>
        <w:numPr>
          <w:ilvl w:val="0"/>
          <w:numId w:val="2"/>
        </w:numPr>
        <w:rPr>
          <w:lang w:val="en-GB"/>
        </w:rPr>
      </w:pPr>
      <w:r w:rsidRPr="008463F3">
        <w:rPr>
          <w:b/>
          <w:lang w:val="en-GB"/>
        </w:rPr>
        <w:t>Project partners from North Macedonia</w:t>
      </w:r>
      <w:r w:rsidRPr="008463F3">
        <w:rPr>
          <w:lang w:val="en-GB"/>
        </w:rPr>
        <w:t xml:space="preserve">: Macedonian Academic </w:t>
      </w:r>
      <w:r>
        <w:rPr>
          <w:lang w:val="en-GB"/>
        </w:rPr>
        <w:t>a</w:t>
      </w:r>
      <w:r w:rsidRPr="008463F3">
        <w:rPr>
          <w:lang w:val="en-GB"/>
        </w:rPr>
        <w:t>nd Research Network, Skopje (€ 0)</w:t>
      </w:r>
    </w:p>
    <w:p w14:paraId="38A626C4" w14:textId="77777777" w:rsidR="007947BF" w:rsidRPr="008463F3" w:rsidRDefault="007947BF" w:rsidP="007947BF">
      <w:pPr>
        <w:pStyle w:val="ListParagraph"/>
        <w:numPr>
          <w:ilvl w:val="0"/>
          <w:numId w:val="2"/>
        </w:numPr>
        <w:rPr>
          <w:lang w:val="en-GB"/>
        </w:rPr>
      </w:pPr>
      <w:r w:rsidRPr="008463F3">
        <w:rPr>
          <w:b/>
          <w:lang w:val="en-GB"/>
        </w:rPr>
        <w:t>Total number of partner organi</w:t>
      </w:r>
      <w:r>
        <w:rPr>
          <w:b/>
          <w:lang w:val="en-GB"/>
        </w:rPr>
        <w:t>s</w:t>
      </w:r>
      <w:r w:rsidRPr="008463F3">
        <w:rPr>
          <w:b/>
          <w:lang w:val="en-GB"/>
        </w:rPr>
        <w:t>ations</w:t>
      </w:r>
      <w:r w:rsidRPr="008463F3">
        <w:rPr>
          <w:lang w:val="en-GB"/>
        </w:rPr>
        <w:t>: 40</w:t>
      </w:r>
    </w:p>
    <w:p w14:paraId="592A0CBC" w14:textId="77777777" w:rsidR="007947BF" w:rsidRPr="008463F3" w:rsidRDefault="007947BF" w:rsidP="007947BF">
      <w:pPr>
        <w:pStyle w:val="ListParagraph"/>
        <w:numPr>
          <w:ilvl w:val="0"/>
          <w:numId w:val="2"/>
        </w:numPr>
        <w:rPr>
          <w:lang w:val="en-GB"/>
        </w:rPr>
      </w:pPr>
      <w:r w:rsidRPr="008463F3">
        <w:rPr>
          <w:b/>
          <w:lang w:val="en-GB"/>
        </w:rPr>
        <w:t>Project implementation period</w:t>
      </w:r>
      <w:r w:rsidRPr="008463F3">
        <w:rPr>
          <w:lang w:val="en-GB"/>
        </w:rPr>
        <w:t>: 01/05/2016 – 30/04/2019</w:t>
      </w:r>
    </w:p>
    <w:p w14:paraId="3D3778D7" w14:textId="77777777" w:rsidR="007947BF" w:rsidRPr="008463F3" w:rsidRDefault="007947BF" w:rsidP="007947BF">
      <w:pPr>
        <w:pStyle w:val="ListParagraph"/>
        <w:numPr>
          <w:ilvl w:val="0"/>
          <w:numId w:val="2"/>
        </w:numPr>
        <w:rPr>
          <w:lang w:val="en-GB"/>
        </w:rPr>
      </w:pPr>
      <w:r w:rsidRPr="008463F3">
        <w:rPr>
          <w:b/>
          <w:lang w:val="en-GB"/>
        </w:rPr>
        <w:t>Scientific domain</w:t>
      </w:r>
      <w:r w:rsidRPr="008463F3">
        <w:rPr>
          <w:lang w:val="en-GB"/>
        </w:rPr>
        <w:t>: Research Infrastructures</w:t>
      </w:r>
    </w:p>
    <w:p w14:paraId="1423A334" w14:textId="77777777" w:rsidR="007947BF" w:rsidRPr="008463F3" w:rsidRDefault="007947BF" w:rsidP="007947BF">
      <w:pPr>
        <w:jc w:val="both"/>
        <w:rPr>
          <w:szCs w:val="24"/>
          <w:lang w:val="en-GB"/>
        </w:rPr>
      </w:pPr>
      <w:r w:rsidRPr="008463F3">
        <w:rPr>
          <w:lang w:val="en-GB"/>
        </w:rPr>
        <w:t xml:space="preserve">The BELLA-S1 project aimed to provide </w:t>
      </w:r>
      <w:r>
        <w:rPr>
          <w:lang w:val="en-GB"/>
        </w:rPr>
        <w:t xml:space="preserve">for </w:t>
      </w:r>
      <w:r w:rsidRPr="008463F3">
        <w:rPr>
          <w:lang w:val="en-GB"/>
        </w:rPr>
        <w:t xml:space="preserve">the long-term interconnectivity needs of the European and Latin American research and education networks. The objective was to strengthen connectivity to Latin America ensuring very high capacity, cost benefits and the shortest possible route, whilst stimulating diversity over the transatlantic segment. Two project phases were implemented: phase one aimed </w:t>
      </w:r>
      <w:r>
        <w:rPr>
          <w:lang w:val="en-GB"/>
        </w:rPr>
        <w:t>at</w:t>
      </w:r>
      <w:r w:rsidRPr="008463F3">
        <w:rPr>
          <w:lang w:val="en-GB"/>
        </w:rPr>
        <w:t xml:space="preserve"> procur</w:t>
      </w:r>
      <w:r>
        <w:rPr>
          <w:lang w:val="en-GB"/>
        </w:rPr>
        <w:t>ing</w:t>
      </w:r>
      <w:r w:rsidRPr="008463F3">
        <w:rPr>
          <w:lang w:val="en-GB"/>
        </w:rPr>
        <w:t xml:space="preserve"> an indefeasible right of use for a portion of the spectrum of a direct submarine telecommunications cable between Europe and Latin America; phase two aimed </w:t>
      </w:r>
      <w:r>
        <w:rPr>
          <w:lang w:val="en-GB"/>
        </w:rPr>
        <w:t>at</w:t>
      </w:r>
      <w:r w:rsidRPr="008463F3">
        <w:rPr>
          <w:lang w:val="en-GB"/>
        </w:rPr>
        <w:t xml:space="preserve"> deploy</w:t>
      </w:r>
      <w:r>
        <w:rPr>
          <w:lang w:val="en-GB"/>
        </w:rPr>
        <w:t>ing</w:t>
      </w:r>
      <w:r w:rsidRPr="008463F3">
        <w:rPr>
          <w:lang w:val="en-GB"/>
        </w:rPr>
        <w:t xml:space="preserve"> one or more wavelengths, as required, on the spectrum procured to interconnect the GÉANT and </w:t>
      </w:r>
      <w:proofErr w:type="spellStart"/>
      <w:r w:rsidRPr="008463F3">
        <w:rPr>
          <w:lang w:val="en-GB"/>
        </w:rPr>
        <w:t>RedCLARA</w:t>
      </w:r>
      <w:proofErr w:type="spellEnd"/>
      <w:r w:rsidRPr="008463F3">
        <w:rPr>
          <w:lang w:val="en-GB"/>
        </w:rPr>
        <w:t xml:space="preserve"> networks, and provide for the intercontinental connectivity needs of the European and Latin American research and education communities.</w:t>
      </w:r>
    </w:p>
    <w:p w14:paraId="3638C63A" w14:textId="77777777" w:rsidR="007947BF" w:rsidRPr="008463F3" w:rsidRDefault="007947BF" w:rsidP="007947BF">
      <w:pPr>
        <w:pStyle w:val="Heading4"/>
        <w:ind w:firstLine="360"/>
        <w:rPr>
          <w:rFonts w:asciiTheme="minorHAnsi" w:hAnsiTheme="minorHAnsi"/>
          <w:lang w:val="en-GB"/>
        </w:rPr>
      </w:pPr>
      <w:r w:rsidRPr="008463F3">
        <w:rPr>
          <w:rFonts w:asciiTheme="minorHAnsi" w:hAnsiTheme="minorHAnsi"/>
          <w:lang w:val="en-GB"/>
        </w:rPr>
        <w:t>9. NI4OS-Europe: National Initiatives for Open Science in Europe</w:t>
      </w:r>
    </w:p>
    <w:p w14:paraId="3B196BB9" w14:textId="77777777" w:rsidR="007947BF" w:rsidRPr="008463F3" w:rsidRDefault="007947BF" w:rsidP="007947BF">
      <w:pPr>
        <w:pStyle w:val="ListParagraph"/>
        <w:numPr>
          <w:ilvl w:val="0"/>
          <w:numId w:val="2"/>
        </w:numPr>
        <w:rPr>
          <w:lang w:val="en-GB"/>
        </w:rPr>
      </w:pPr>
      <w:r w:rsidRPr="008463F3">
        <w:rPr>
          <w:b/>
          <w:lang w:val="en-GB"/>
        </w:rPr>
        <w:t>Funding Programmes:</w:t>
      </w:r>
      <w:r w:rsidRPr="008463F3">
        <w:rPr>
          <w:lang w:val="en-GB"/>
        </w:rPr>
        <w:t xml:space="preserve"> H2020</w:t>
      </w:r>
    </w:p>
    <w:p w14:paraId="59466B14" w14:textId="77777777" w:rsidR="007947BF" w:rsidRPr="008463F3" w:rsidRDefault="007947BF" w:rsidP="007947BF">
      <w:pPr>
        <w:pStyle w:val="ListParagraph"/>
        <w:numPr>
          <w:ilvl w:val="0"/>
          <w:numId w:val="2"/>
        </w:numPr>
        <w:rPr>
          <w:lang w:val="en-GB"/>
        </w:rPr>
      </w:pPr>
      <w:r w:rsidRPr="008463F3">
        <w:rPr>
          <w:b/>
          <w:lang w:val="en-GB"/>
        </w:rPr>
        <w:t>Project partners from North Macedonia</w:t>
      </w:r>
      <w:r w:rsidRPr="008463F3">
        <w:rPr>
          <w:lang w:val="en-GB"/>
        </w:rPr>
        <w:t>: Ss. Cyril and Methodius University in Skopje, FCSE (€ 273 170)</w:t>
      </w:r>
    </w:p>
    <w:p w14:paraId="7D86B40E" w14:textId="77777777" w:rsidR="007947BF" w:rsidRPr="008463F3" w:rsidRDefault="007947BF" w:rsidP="007947BF">
      <w:pPr>
        <w:pStyle w:val="ListParagraph"/>
        <w:numPr>
          <w:ilvl w:val="0"/>
          <w:numId w:val="2"/>
        </w:numPr>
        <w:rPr>
          <w:lang w:val="en-GB"/>
        </w:rPr>
      </w:pPr>
      <w:r w:rsidRPr="008463F3">
        <w:rPr>
          <w:b/>
          <w:lang w:val="en-GB"/>
        </w:rPr>
        <w:t>Total number of partner organi</w:t>
      </w:r>
      <w:r>
        <w:rPr>
          <w:b/>
          <w:lang w:val="en-GB"/>
        </w:rPr>
        <w:t>s</w:t>
      </w:r>
      <w:r w:rsidRPr="008463F3">
        <w:rPr>
          <w:b/>
          <w:lang w:val="en-GB"/>
        </w:rPr>
        <w:t>ations</w:t>
      </w:r>
      <w:r w:rsidRPr="008463F3">
        <w:rPr>
          <w:lang w:val="en-GB"/>
        </w:rPr>
        <w:t>: 22</w:t>
      </w:r>
    </w:p>
    <w:p w14:paraId="33B67C77" w14:textId="77777777" w:rsidR="007947BF" w:rsidRPr="008463F3" w:rsidRDefault="007947BF" w:rsidP="007947BF">
      <w:pPr>
        <w:pStyle w:val="ListParagraph"/>
        <w:numPr>
          <w:ilvl w:val="0"/>
          <w:numId w:val="2"/>
        </w:numPr>
        <w:rPr>
          <w:lang w:val="en-GB"/>
        </w:rPr>
      </w:pPr>
      <w:r w:rsidRPr="008463F3">
        <w:rPr>
          <w:b/>
          <w:lang w:val="en-GB"/>
        </w:rPr>
        <w:t>Project implementation period</w:t>
      </w:r>
      <w:r w:rsidRPr="008463F3">
        <w:rPr>
          <w:lang w:val="en-GB"/>
        </w:rPr>
        <w:t>: 01/09/2019 – 28/02/2023</w:t>
      </w:r>
    </w:p>
    <w:p w14:paraId="7AD1B2F9" w14:textId="77777777" w:rsidR="007947BF" w:rsidRPr="008463F3" w:rsidRDefault="007947BF" w:rsidP="007947BF">
      <w:pPr>
        <w:pStyle w:val="ListParagraph"/>
        <w:numPr>
          <w:ilvl w:val="0"/>
          <w:numId w:val="2"/>
        </w:numPr>
        <w:rPr>
          <w:lang w:val="en-GB"/>
        </w:rPr>
      </w:pPr>
      <w:r w:rsidRPr="008463F3">
        <w:rPr>
          <w:b/>
          <w:lang w:val="en-GB"/>
        </w:rPr>
        <w:t>Scientific domain</w:t>
      </w:r>
      <w:r w:rsidRPr="008463F3">
        <w:rPr>
          <w:lang w:val="en-GB"/>
        </w:rPr>
        <w:t>: Research Infrastructures</w:t>
      </w:r>
    </w:p>
    <w:p w14:paraId="59CC012D" w14:textId="77777777" w:rsidR="007947BF" w:rsidRPr="008463F3" w:rsidRDefault="007947BF" w:rsidP="007947BF">
      <w:pPr>
        <w:jc w:val="both"/>
        <w:rPr>
          <w:lang w:val="en-GB"/>
        </w:rPr>
      </w:pPr>
      <w:r w:rsidRPr="008463F3">
        <w:rPr>
          <w:lang w:val="en-GB"/>
        </w:rPr>
        <w:t>Mission and vision of the project are to be a core contributor to European Open Science Cloud service portfolio, commit to EOSC governance and ensure inclusiveness on the European level.</w:t>
      </w:r>
    </w:p>
    <w:p w14:paraId="02560BF8" w14:textId="77777777" w:rsidR="007947BF" w:rsidRPr="008463F3" w:rsidRDefault="007947BF" w:rsidP="007947BF">
      <w:pPr>
        <w:jc w:val="both"/>
        <w:rPr>
          <w:lang w:val="en-GB"/>
        </w:rPr>
      </w:pPr>
      <w:r w:rsidRPr="008463F3">
        <w:rPr>
          <w:lang w:val="en-GB"/>
        </w:rPr>
        <w:t>The objective of the project is to support the development and inclusion of the national Open Science Cloud initiatives in 15 Member States and Associated Countries in the overall scheme of EOSC governance; spread the EOSC and FAIR principles in the community and train it; and provide technical and policy support in on-boarding of the existing and future service providers into EOSC, including generic services (compute, data storage, data management), thematic services, repositories and data sets - thus covering the whole spectrum of services related to Open Science, data and publications.</w:t>
      </w:r>
    </w:p>
    <w:p w14:paraId="3A15DCCC" w14:textId="77777777" w:rsidR="007947BF" w:rsidRPr="008463F3" w:rsidRDefault="007947BF" w:rsidP="007947BF">
      <w:pPr>
        <w:jc w:val="both"/>
        <w:rPr>
          <w:lang w:val="en-GB"/>
        </w:rPr>
      </w:pPr>
      <w:r w:rsidRPr="008463F3">
        <w:rPr>
          <w:lang w:val="en-GB"/>
        </w:rPr>
        <w:t>The overall approach is that national Open Science landscape in all</w:t>
      </w:r>
      <w:r>
        <w:rPr>
          <w:lang w:val="en-GB"/>
        </w:rPr>
        <w:t xml:space="preserve"> economies</w:t>
      </w:r>
      <w:r w:rsidRPr="008463F3">
        <w:rPr>
          <w:lang w:val="en-GB"/>
        </w:rPr>
        <w:t xml:space="preserve"> will be mapped, analysed and systemati</w:t>
      </w:r>
      <w:r>
        <w:rPr>
          <w:lang w:val="en-GB"/>
        </w:rPr>
        <w:t>s</w:t>
      </w:r>
      <w:r w:rsidRPr="008463F3">
        <w:rPr>
          <w:lang w:val="en-GB"/>
        </w:rPr>
        <w:t>ed so as to facilitate both the creation of national OSC initiatives to support the overall EOSC governance, and to engage all stakeholders. A set of providers (generic e-Infrastructure providers, thematic providers, repositories) will be on-boarded into EOSC - following the best practices, policies, guidelines and tools formulated by the project, in alignment with the existing EOSC initiatives and standards. The project solutions provided will be interoperable with EOSC services and will be tested and fine-tuned by real users, and the widest community will be supported in the uptake of research data sharing and practices, in alignment with FAIR principles.</w:t>
      </w:r>
    </w:p>
    <w:p w14:paraId="73C43E53" w14:textId="77777777" w:rsidR="007947BF" w:rsidRPr="008463F3" w:rsidRDefault="007947BF" w:rsidP="007947BF">
      <w:pPr>
        <w:jc w:val="both"/>
        <w:rPr>
          <w:lang w:val="en-GB"/>
        </w:rPr>
      </w:pPr>
      <w:r w:rsidRPr="008463F3">
        <w:rPr>
          <w:lang w:val="en-GB"/>
        </w:rPr>
        <w:t xml:space="preserve">Following the work programme requirements, the project will support the operational framework for governance by focusing on coordination between relevant national initiatives, as well as data infrastructures, e-Infrastructures and thematic services, and their federation into the EOSC. The effort is mandated by national governments of 15 </w:t>
      </w:r>
      <w:r>
        <w:rPr>
          <w:lang w:val="en-GB"/>
        </w:rPr>
        <w:t>economies</w:t>
      </w:r>
      <w:r w:rsidRPr="008463F3">
        <w:rPr>
          <w:lang w:val="en-GB"/>
        </w:rPr>
        <w:t xml:space="preserve"> through explicit Letters of Support.</w:t>
      </w:r>
    </w:p>
    <w:p w14:paraId="4A97DA2E" w14:textId="77777777" w:rsidR="007947BF" w:rsidRPr="008463F3" w:rsidRDefault="007947BF" w:rsidP="007947BF">
      <w:pPr>
        <w:pStyle w:val="Heading4"/>
        <w:ind w:firstLine="357"/>
        <w:rPr>
          <w:rFonts w:asciiTheme="minorHAnsi" w:hAnsiTheme="minorHAnsi"/>
          <w:lang w:val="en-GB"/>
        </w:rPr>
      </w:pPr>
      <w:r w:rsidRPr="008463F3">
        <w:rPr>
          <w:rFonts w:asciiTheme="minorHAnsi" w:hAnsiTheme="minorHAnsi"/>
          <w:lang w:val="en-GB"/>
        </w:rPr>
        <w:t>10. PRO-METROFOOD: Progressing towards the construction of METROFOOD-RI</w:t>
      </w:r>
    </w:p>
    <w:p w14:paraId="3E9A036F" w14:textId="77777777" w:rsidR="007947BF" w:rsidRPr="008463F3" w:rsidRDefault="007947BF" w:rsidP="007947BF">
      <w:pPr>
        <w:pStyle w:val="ListParagraph"/>
        <w:numPr>
          <w:ilvl w:val="0"/>
          <w:numId w:val="2"/>
        </w:numPr>
        <w:rPr>
          <w:lang w:val="en-GB"/>
        </w:rPr>
      </w:pPr>
      <w:r w:rsidRPr="008463F3">
        <w:rPr>
          <w:b/>
          <w:lang w:val="en-GB"/>
        </w:rPr>
        <w:t>Funding Programmes:</w:t>
      </w:r>
      <w:r w:rsidRPr="008463F3">
        <w:rPr>
          <w:lang w:val="en-GB"/>
        </w:rPr>
        <w:t xml:space="preserve"> H2020</w:t>
      </w:r>
    </w:p>
    <w:p w14:paraId="3582824E" w14:textId="77777777" w:rsidR="007947BF" w:rsidRPr="008463F3" w:rsidRDefault="007947BF" w:rsidP="007947BF">
      <w:pPr>
        <w:pStyle w:val="ListParagraph"/>
        <w:numPr>
          <w:ilvl w:val="0"/>
          <w:numId w:val="2"/>
        </w:numPr>
        <w:rPr>
          <w:lang w:val="en-GB"/>
        </w:rPr>
      </w:pPr>
      <w:r w:rsidRPr="008463F3">
        <w:rPr>
          <w:b/>
          <w:lang w:val="en-GB"/>
        </w:rPr>
        <w:t>Project partners from North Macedonia</w:t>
      </w:r>
      <w:r w:rsidRPr="008463F3">
        <w:rPr>
          <w:lang w:val="en-GB"/>
        </w:rPr>
        <w:t>: Institute of Public Health of the Republic of North Macedonia, Skopje (€ 76,550.00)</w:t>
      </w:r>
    </w:p>
    <w:p w14:paraId="6ACDC107" w14:textId="77777777" w:rsidR="007947BF" w:rsidRPr="008463F3" w:rsidRDefault="007947BF" w:rsidP="007947BF">
      <w:pPr>
        <w:pStyle w:val="ListParagraph"/>
        <w:numPr>
          <w:ilvl w:val="0"/>
          <w:numId w:val="2"/>
        </w:numPr>
        <w:rPr>
          <w:lang w:val="en-GB"/>
        </w:rPr>
      </w:pPr>
      <w:r w:rsidRPr="008463F3">
        <w:rPr>
          <w:b/>
          <w:lang w:val="en-GB"/>
        </w:rPr>
        <w:t>Total number of partner organi</w:t>
      </w:r>
      <w:r>
        <w:rPr>
          <w:b/>
          <w:lang w:val="en-GB"/>
        </w:rPr>
        <w:t>s</w:t>
      </w:r>
      <w:r w:rsidRPr="008463F3">
        <w:rPr>
          <w:b/>
          <w:lang w:val="en-GB"/>
        </w:rPr>
        <w:t>ations</w:t>
      </w:r>
      <w:r w:rsidRPr="008463F3">
        <w:rPr>
          <w:lang w:val="en-GB"/>
        </w:rPr>
        <w:t>: 17</w:t>
      </w:r>
    </w:p>
    <w:p w14:paraId="72730973" w14:textId="77777777" w:rsidR="007947BF" w:rsidRPr="008463F3" w:rsidRDefault="007947BF" w:rsidP="007947BF">
      <w:pPr>
        <w:pStyle w:val="ListParagraph"/>
        <w:numPr>
          <w:ilvl w:val="0"/>
          <w:numId w:val="2"/>
        </w:numPr>
        <w:rPr>
          <w:lang w:val="en-GB"/>
        </w:rPr>
      </w:pPr>
      <w:r w:rsidRPr="008463F3">
        <w:rPr>
          <w:b/>
          <w:lang w:val="en-GB"/>
        </w:rPr>
        <w:t>Project implementation period</w:t>
      </w:r>
      <w:r w:rsidRPr="008463F3">
        <w:rPr>
          <w:lang w:val="en-GB"/>
        </w:rPr>
        <w:t>: 01/01/2017 - 31/12/2017</w:t>
      </w:r>
    </w:p>
    <w:p w14:paraId="423E6DCC" w14:textId="77777777" w:rsidR="007947BF" w:rsidRPr="008463F3" w:rsidRDefault="007947BF" w:rsidP="007947BF">
      <w:pPr>
        <w:pStyle w:val="ListParagraph"/>
        <w:numPr>
          <w:ilvl w:val="0"/>
          <w:numId w:val="2"/>
        </w:numPr>
        <w:rPr>
          <w:lang w:val="en-GB"/>
        </w:rPr>
      </w:pPr>
      <w:r w:rsidRPr="008463F3">
        <w:rPr>
          <w:b/>
          <w:lang w:val="en-GB"/>
        </w:rPr>
        <w:t>Scientific domain</w:t>
      </w:r>
      <w:r w:rsidRPr="008463F3">
        <w:rPr>
          <w:lang w:val="en-GB"/>
        </w:rPr>
        <w:t>: Research Infrastructures</w:t>
      </w:r>
    </w:p>
    <w:p w14:paraId="70071009" w14:textId="77777777" w:rsidR="007947BF" w:rsidRPr="008463F3" w:rsidRDefault="007947BF" w:rsidP="007947BF">
      <w:pPr>
        <w:jc w:val="both"/>
        <w:rPr>
          <w:szCs w:val="24"/>
          <w:lang w:val="en-GB"/>
        </w:rPr>
      </w:pPr>
      <w:r w:rsidRPr="008463F3">
        <w:rPr>
          <w:lang w:val="en-GB"/>
        </w:rPr>
        <w:t>The general objective of PRO-METROFOOD was to bring the emerging METROFOOD-RI ESFRI project to the level of maturity required for entering in the active project list, strengthening the Consortium and planning the future phases. The specific objectives have been set up in close relationship with the ESFRI SWG &amp; IG Recommendation. 4 specific objectives have been identified: OBJ1 – design strategies on the medium and long terms; OBJ2 – provide the organi</w:t>
      </w:r>
      <w:r>
        <w:rPr>
          <w:lang w:val="en-GB"/>
        </w:rPr>
        <w:t>s</w:t>
      </w:r>
      <w:r w:rsidRPr="008463F3">
        <w:rPr>
          <w:lang w:val="en-GB"/>
        </w:rPr>
        <w:t xml:space="preserve">ational framework of METROFOOD-RI; OBJ3 – demonstrate the capability of METROFOOD-RI to supply scientific services and prepare the chart of services; OBJ4 – establish plans to coherently integrate METROFOOD-RI into the European landscape, realising coordination with EU and </w:t>
      </w:r>
      <w:r>
        <w:rPr>
          <w:lang w:val="en-GB"/>
        </w:rPr>
        <w:t>n</w:t>
      </w:r>
      <w:r w:rsidRPr="008463F3">
        <w:rPr>
          <w:lang w:val="en-GB"/>
        </w:rPr>
        <w:t>ational initiatives and positioning at a global level. The strategic Plan was tailored to the Pan European Infrastructure current and envisaged capabilities, market opportunities and business needs. It was developed by involving funding agencies, relevant authorities supporting METROFOOD-RI and other stakeholders. A management conceptual model was developed and the framework was designed under operational, strategic and institutional aspects. In order to demonstrate the capability of PRO-METROFOOD to supply services and to test its inter-operability, pilot services were performed. In strict accordance with the METROFOOD-RI strategies, plans to coherently integrate METROFOOD-RI into the European landscape have been developed. A Communication plan and education and training programmes were developed for the different phases of METROFOOD-RI reali</w:t>
      </w:r>
      <w:r>
        <w:rPr>
          <w:lang w:val="en-GB"/>
        </w:rPr>
        <w:t>s</w:t>
      </w:r>
      <w:r w:rsidRPr="008463F3">
        <w:rPr>
          <w:lang w:val="en-GB"/>
        </w:rPr>
        <w:t>ation (earl</w:t>
      </w:r>
      <w:r>
        <w:rPr>
          <w:lang w:val="en-GB"/>
        </w:rPr>
        <w:t>y</w:t>
      </w:r>
      <w:r w:rsidRPr="008463F3">
        <w:rPr>
          <w:lang w:val="en-GB"/>
        </w:rPr>
        <w:t xml:space="preserve">, preparatory, implementation and operational phases). </w:t>
      </w:r>
    </w:p>
    <w:p w14:paraId="59FF1CCF" w14:textId="77777777" w:rsidR="007947BF" w:rsidRPr="008463F3" w:rsidRDefault="007947BF" w:rsidP="007947BF">
      <w:pPr>
        <w:pStyle w:val="Heading4"/>
        <w:ind w:firstLine="357"/>
        <w:rPr>
          <w:rFonts w:asciiTheme="minorHAnsi" w:hAnsiTheme="minorHAnsi"/>
          <w:lang w:val="en-GB"/>
        </w:rPr>
      </w:pPr>
      <w:r w:rsidRPr="008463F3">
        <w:rPr>
          <w:rFonts w:asciiTheme="minorHAnsi" w:hAnsiTheme="minorHAnsi"/>
          <w:lang w:val="en-GB"/>
        </w:rPr>
        <w:t>11. VI-SEEM: VRE for regional Interdisciplinary communities in Southeast Europe and the Eastern Mediterranean</w:t>
      </w:r>
    </w:p>
    <w:p w14:paraId="2B010EA3" w14:textId="77777777" w:rsidR="007947BF" w:rsidRPr="008463F3" w:rsidRDefault="007947BF" w:rsidP="007947BF">
      <w:pPr>
        <w:pStyle w:val="ListParagraph"/>
        <w:numPr>
          <w:ilvl w:val="0"/>
          <w:numId w:val="3"/>
        </w:numPr>
        <w:rPr>
          <w:lang w:val="en-GB"/>
        </w:rPr>
      </w:pPr>
      <w:r w:rsidRPr="008463F3">
        <w:rPr>
          <w:b/>
          <w:lang w:val="en-GB"/>
        </w:rPr>
        <w:t>Funding Programmes:</w:t>
      </w:r>
      <w:r w:rsidRPr="008463F3">
        <w:rPr>
          <w:lang w:val="en-GB"/>
        </w:rPr>
        <w:t xml:space="preserve"> H2020</w:t>
      </w:r>
    </w:p>
    <w:p w14:paraId="629B4A18" w14:textId="77777777" w:rsidR="007947BF" w:rsidRPr="008463F3" w:rsidRDefault="007947BF" w:rsidP="007947BF">
      <w:pPr>
        <w:pStyle w:val="ListParagraph"/>
        <w:numPr>
          <w:ilvl w:val="0"/>
          <w:numId w:val="3"/>
        </w:numPr>
        <w:rPr>
          <w:lang w:val="en-GB"/>
        </w:rPr>
      </w:pPr>
      <w:r w:rsidRPr="008463F3">
        <w:rPr>
          <w:b/>
          <w:lang w:val="en-GB"/>
        </w:rPr>
        <w:t>Project partner from North Macedonia</w:t>
      </w:r>
      <w:r w:rsidRPr="008463F3">
        <w:rPr>
          <w:lang w:val="en-GB"/>
        </w:rPr>
        <w:t>: Ss. Cyril and Methodius University in Skopje, FCSE (€122,950.00)</w:t>
      </w:r>
    </w:p>
    <w:p w14:paraId="7A767479" w14:textId="77777777" w:rsidR="007947BF" w:rsidRPr="008463F3" w:rsidRDefault="007947BF" w:rsidP="007947BF">
      <w:pPr>
        <w:pStyle w:val="ListParagraph"/>
        <w:numPr>
          <w:ilvl w:val="0"/>
          <w:numId w:val="3"/>
        </w:numPr>
        <w:rPr>
          <w:lang w:val="en-GB"/>
        </w:rPr>
      </w:pPr>
      <w:r w:rsidRPr="008463F3">
        <w:rPr>
          <w:b/>
          <w:lang w:val="en-GB"/>
        </w:rPr>
        <w:t>Total number of partner organi</w:t>
      </w:r>
      <w:r>
        <w:rPr>
          <w:b/>
          <w:lang w:val="en-GB"/>
        </w:rPr>
        <w:t>s</w:t>
      </w:r>
      <w:r w:rsidRPr="008463F3">
        <w:rPr>
          <w:b/>
          <w:lang w:val="en-GB"/>
        </w:rPr>
        <w:t>ations</w:t>
      </w:r>
      <w:r w:rsidRPr="008463F3">
        <w:rPr>
          <w:lang w:val="en-GB"/>
        </w:rPr>
        <w:t>: 16</w:t>
      </w:r>
    </w:p>
    <w:p w14:paraId="2D5F4C88" w14:textId="77777777" w:rsidR="007947BF" w:rsidRPr="008463F3" w:rsidRDefault="007947BF" w:rsidP="007947BF">
      <w:pPr>
        <w:pStyle w:val="ListParagraph"/>
        <w:numPr>
          <w:ilvl w:val="0"/>
          <w:numId w:val="3"/>
        </w:numPr>
        <w:rPr>
          <w:lang w:val="en-GB"/>
        </w:rPr>
      </w:pPr>
      <w:r w:rsidRPr="008463F3">
        <w:rPr>
          <w:b/>
          <w:lang w:val="en-GB"/>
        </w:rPr>
        <w:t>Project implementation period</w:t>
      </w:r>
      <w:r w:rsidRPr="008463F3">
        <w:rPr>
          <w:lang w:val="en-GB"/>
        </w:rPr>
        <w:t>: 01/10/2015 - 30/09/2018</w:t>
      </w:r>
    </w:p>
    <w:p w14:paraId="3C07B993" w14:textId="77777777" w:rsidR="007947BF" w:rsidRPr="008463F3" w:rsidRDefault="007947BF" w:rsidP="007947BF">
      <w:pPr>
        <w:pStyle w:val="ListParagraph"/>
        <w:numPr>
          <w:ilvl w:val="0"/>
          <w:numId w:val="3"/>
        </w:numPr>
        <w:rPr>
          <w:lang w:val="en-GB"/>
        </w:rPr>
      </w:pPr>
      <w:r w:rsidRPr="008463F3">
        <w:rPr>
          <w:b/>
          <w:lang w:val="en-GB"/>
        </w:rPr>
        <w:t>Scientific domain</w:t>
      </w:r>
      <w:r w:rsidRPr="008463F3">
        <w:rPr>
          <w:lang w:val="en-GB"/>
        </w:rPr>
        <w:t>: e-Infrastructures</w:t>
      </w:r>
    </w:p>
    <w:p w14:paraId="0F6710C6" w14:textId="77777777" w:rsidR="007947BF" w:rsidRPr="008463F3" w:rsidRDefault="007947BF" w:rsidP="007947BF">
      <w:pPr>
        <w:jc w:val="both"/>
        <w:rPr>
          <w:lang w:val="en-GB"/>
        </w:rPr>
      </w:pPr>
      <w:r w:rsidRPr="008463F3">
        <w:rPr>
          <w:lang w:val="en-GB"/>
        </w:rPr>
        <w:t>VI-SEEM was a three-year project aimed at creating a unique Virtual Research Environment (VRE) in Southeast Europe and the Eastern Mediterranean (SEEM), in order to facilitate regional interdisciplinary collaboration, with special focus on the scientific communities of Life Sciences, Climatology and Digital Cultural Heritage.</w:t>
      </w:r>
    </w:p>
    <w:p w14:paraId="7FFB43A2" w14:textId="77777777" w:rsidR="007947BF" w:rsidRPr="008463F3" w:rsidRDefault="007947BF" w:rsidP="007947BF">
      <w:pPr>
        <w:jc w:val="both"/>
        <w:rPr>
          <w:lang w:val="en-GB"/>
        </w:rPr>
      </w:pPr>
      <w:r w:rsidRPr="008463F3">
        <w:rPr>
          <w:lang w:val="en-GB"/>
        </w:rPr>
        <w:t>VI-SEEM builds on the success of its predecessor e-Infrastructure projects that have been crucial for enabling high-quality research &amp; ICT developments by providing networking and computational resources, application support and training, in both South East Europe and Eastern Mediterranean, and have supported the European vision of inclusive and smart growth, based on knowledge and innovation, enriching the European Research Area.</w:t>
      </w:r>
    </w:p>
    <w:p w14:paraId="655E9788" w14:textId="77777777" w:rsidR="007947BF" w:rsidRPr="008463F3" w:rsidRDefault="007947BF" w:rsidP="007947BF">
      <w:pPr>
        <w:jc w:val="both"/>
        <w:rPr>
          <w:lang w:val="en-GB"/>
        </w:rPr>
      </w:pPr>
      <w:r w:rsidRPr="008463F3">
        <w:rPr>
          <w:lang w:val="en-GB"/>
        </w:rPr>
        <w:t>The overall objective was to provide user-friendly integrated e-Infrastructure platform for regional cross-border</w:t>
      </w:r>
      <w:r>
        <w:rPr>
          <w:lang w:val="en-GB"/>
        </w:rPr>
        <w:t>/boundary</w:t>
      </w:r>
      <w:r w:rsidRPr="008463F3">
        <w:rPr>
          <w:lang w:val="en-GB"/>
        </w:rPr>
        <w:t xml:space="preserve"> Scientific Communities in Climatology, Life Sciences, and Cultural Heritage for the SEEM region; by linking compute, data, and visuali</w:t>
      </w:r>
      <w:r>
        <w:rPr>
          <w:lang w:val="en-GB"/>
        </w:rPr>
        <w:t>s</w:t>
      </w:r>
      <w:r w:rsidRPr="008463F3">
        <w:rPr>
          <w:lang w:val="en-GB"/>
        </w:rPr>
        <w:t xml:space="preserve">ation resources, as well as services, models, software and tools. This VRE provided the scientists and researchers with the support in full lifecycle of collaborative research: accessing and sharing relevant research data, using it with provided codes and tools to carry out new experiments and simulations on large-scale e-Infrastructures, and producing new knowledge and data - which can be stored and shared in the same VRE. </w:t>
      </w:r>
    </w:p>
    <w:p w14:paraId="78E83C02" w14:textId="77777777" w:rsidR="007947BF" w:rsidRPr="008463F3" w:rsidRDefault="007947BF" w:rsidP="007947BF">
      <w:pPr>
        <w:pStyle w:val="Heading4"/>
        <w:ind w:firstLine="357"/>
        <w:rPr>
          <w:rFonts w:asciiTheme="minorHAnsi" w:hAnsiTheme="minorHAnsi"/>
          <w:lang w:val="en-GB"/>
        </w:rPr>
      </w:pPr>
      <w:r w:rsidRPr="008463F3">
        <w:rPr>
          <w:rFonts w:asciiTheme="minorHAnsi" w:hAnsiTheme="minorHAnsi"/>
          <w:lang w:val="en-GB"/>
        </w:rPr>
        <w:t>12. European Grid Initiative: Integrated Sustainable Pan-European Infrastructure for Researchers in Europe: EGI-INSPIRE</w:t>
      </w:r>
    </w:p>
    <w:p w14:paraId="0052FF62" w14:textId="77777777" w:rsidR="007947BF" w:rsidRPr="008463F3" w:rsidRDefault="007947BF" w:rsidP="007947BF">
      <w:pPr>
        <w:pStyle w:val="ListParagraph"/>
        <w:numPr>
          <w:ilvl w:val="0"/>
          <w:numId w:val="7"/>
        </w:numPr>
        <w:rPr>
          <w:lang w:val="en-GB"/>
        </w:rPr>
      </w:pPr>
      <w:r w:rsidRPr="008463F3">
        <w:rPr>
          <w:b/>
          <w:lang w:val="en-GB"/>
        </w:rPr>
        <w:t>Funding Programmes:</w:t>
      </w:r>
      <w:r w:rsidRPr="008463F3">
        <w:rPr>
          <w:lang w:val="en-GB"/>
        </w:rPr>
        <w:t xml:space="preserve"> FP7</w:t>
      </w:r>
    </w:p>
    <w:p w14:paraId="0B1C0063" w14:textId="77777777" w:rsidR="007947BF" w:rsidRPr="008463F3" w:rsidRDefault="007947BF" w:rsidP="007947BF">
      <w:pPr>
        <w:pStyle w:val="ListParagraph"/>
        <w:numPr>
          <w:ilvl w:val="0"/>
          <w:numId w:val="7"/>
        </w:numPr>
        <w:rPr>
          <w:lang w:val="en-GB"/>
        </w:rPr>
      </w:pPr>
      <w:r w:rsidRPr="008463F3">
        <w:rPr>
          <w:b/>
          <w:lang w:val="en-GB"/>
        </w:rPr>
        <w:t>Project partner from North Macedonia</w:t>
      </w:r>
      <w:r w:rsidRPr="008463F3">
        <w:rPr>
          <w:lang w:val="en-GB"/>
        </w:rPr>
        <w:t>: Ss. Cyril and Methodius University in Skopje, FCSE</w:t>
      </w:r>
    </w:p>
    <w:p w14:paraId="4C4788C4" w14:textId="77777777" w:rsidR="007947BF" w:rsidRPr="008463F3" w:rsidRDefault="007947BF" w:rsidP="007947BF">
      <w:pPr>
        <w:pStyle w:val="ListParagraph"/>
        <w:numPr>
          <w:ilvl w:val="0"/>
          <w:numId w:val="7"/>
        </w:numPr>
        <w:rPr>
          <w:lang w:val="en-GB"/>
        </w:rPr>
      </w:pPr>
      <w:r w:rsidRPr="008463F3">
        <w:rPr>
          <w:b/>
          <w:lang w:val="en-GB"/>
        </w:rPr>
        <w:t>Total number of partner organi</w:t>
      </w:r>
      <w:r>
        <w:rPr>
          <w:b/>
          <w:lang w:val="en-GB"/>
        </w:rPr>
        <w:t>s</w:t>
      </w:r>
      <w:r w:rsidRPr="008463F3">
        <w:rPr>
          <w:b/>
          <w:lang w:val="en-GB"/>
        </w:rPr>
        <w:t>ations</w:t>
      </w:r>
      <w:r w:rsidRPr="008463F3">
        <w:rPr>
          <w:lang w:val="en-GB"/>
        </w:rPr>
        <w:t>: 48</w:t>
      </w:r>
    </w:p>
    <w:p w14:paraId="6F56B543" w14:textId="77777777" w:rsidR="007947BF" w:rsidRPr="008463F3" w:rsidRDefault="007947BF" w:rsidP="007947BF">
      <w:pPr>
        <w:pStyle w:val="ListParagraph"/>
        <w:numPr>
          <w:ilvl w:val="0"/>
          <w:numId w:val="7"/>
        </w:numPr>
        <w:rPr>
          <w:lang w:val="en-GB"/>
        </w:rPr>
      </w:pPr>
      <w:r w:rsidRPr="008463F3">
        <w:rPr>
          <w:b/>
          <w:lang w:val="en-GB"/>
        </w:rPr>
        <w:t>Project implementation period</w:t>
      </w:r>
      <w:r w:rsidRPr="008463F3">
        <w:rPr>
          <w:lang w:val="en-GB"/>
        </w:rPr>
        <w:t>: 30/04/2010 - 30/04/2014</w:t>
      </w:r>
    </w:p>
    <w:p w14:paraId="6C74B5BC" w14:textId="77777777" w:rsidR="007947BF" w:rsidRPr="008463F3" w:rsidRDefault="007947BF" w:rsidP="007947BF">
      <w:pPr>
        <w:pStyle w:val="ListParagraph"/>
        <w:numPr>
          <w:ilvl w:val="0"/>
          <w:numId w:val="7"/>
        </w:numPr>
        <w:rPr>
          <w:lang w:val="en-GB"/>
        </w:rPr>
      </w:pPr>
      <w:r w:rsidRPr="008463F3">
        <w:rPr>
          <w:b/>
          <w:lang w:val="en-GB"/>
        </w:rPr>
        <w:t>Scientific domain</w:t>
      </w:r>
      <w:r w:rsidRPr="008463F3">
        <w:rPr>
          <w:lang w:val="en-GB"/>
        </w:rPr>
        <w:t>: e-Infrastructures</w:t>
      </w:r>
    </w:p>
    <w:p w14:paraId="546CEACD" w14:textId="77777777" w:rsidR="007947BF" w:rsidRPr="008463F3" w:rsidRDefault="007947BF" w:rsidP="007947BF">
      <w:pPr>
        <w:jc w:val="both"/>
        <w:rPr>
          <w:lang w:val="en-GB"/>
        </w:rPr>
      </w:pPr>
      <w:r w:rsidRPr="001D19BE">
        <w:rPr>
          <w:lang w:val="en-GB"/>
        </w:rPr>
        <w:t>The 48</w:t>
      </w:r>
      <w:r>
        <w:rPr>
          <w:lang w:val="en-GB"/>
        </w:rPr>
        <w:t>-</w:t>
      </w:r>
      <w:r w:rsidRPr="001D19BE">
        <w:rPr>
          <w:lang w:val="en-GB"/>
        </w:rPr>
        <w:t>month EGI-</w:t>
      </w:r>
      <w:proofErr w:type="spellStart"/>
      <w:r w:rsidRPr="001D19BE">
        <w:rPr>
          <w:lang w:val="en-GB"/>
        </w:rPr>
        <w:t>InSPIRE</w:t>
      </w:r>
      <w:proofErr w:type="spellEnd"/>
      <w:r w:rsidRPr="008463F3">
        <w:rPr>
          <w:lang w:val="en-GB"/>
        </w:rPr>
        <w:t xml:space="preserve"> project continued the transition to a sustainable pan-European e-Infrastructure started in EGEE-III. It sustained support for Grids of high-performance and high-throughput computing resources, while seeking to integrate new Distributed Computing Infrastructures (DCIs). It established a central coordinating organisation, EGI.eu, and supported the staff throughout Europe necessary to integrate and interoperate individual national grid infrastructures. EGI.eu provided a coordinating hub for European DCIs, working to bring existing technologies into a single integrated persistent production infrastructure for researchers within the European Research Area. The project collected requirements and provided user-support for the current and new (e.g. ESFRI) users. Support also was given for the heavy users as they move their critical services and tools from a central support model to ones driven by their own individual communities. The operational tools were extended by the project to support a national operational deployment model, include new DCI technologies in the production infrastructure and the associated accounting information to help define EGI's future revenue model.</w:t>
      </w:r>
    </w:p>
    <w:p w14:paraId="71789DE6" w14:textId="77777777" w:rsidR="007947BF" w:rsidRPr="008463F3" w:rsidRDefault="007947BF" w:rsidP="007947BF">
      <w:pPr>
        <w:pStyle w:val="Heading4"/>
        <w:ind w:firstLine="357"/>
        <w:rPr>
          <w:rFonts w:asciiTheme="minorHAnsi" w:hAnsiTheme="minorHAnsi"/>
          <w:lang w:val="en-GB"/>
        </w:rPr>
      </w:pPr>
      <w:r w:rsidRPr="008463F3">
        <w:rPr>
          <w:rFonts w:asciiTheme="minorHAnsi" w:hAnsiTheme="minorHAnsi"/>
          <w:lang w:val="en-GB"/>
        </w:rPr>
        <w:t>13. GN3 (Multi-Gigabit European Research and Education Network and Associated Services –GN3)</w:t>
      </w:r>
    </w:p>
    <w:p w14:paraId="3B4E822E" w14:textId="77777777" w:rsidR="007947BF" w:rsidRPr="008463F3" w:rsidRDefault="007947BF" w:rsidP="007947BF">
      <w:pPr>
        <w:pStyle w:val="ListParagraph"/>
        <w:numPr>
          <w:ilvl w:val="0"/>
          <w:numId w:val="7"/>
        </w:numPr>
        <w:rPr>
          <w:lang w:val="en-GB"/>
        </w:rPr>
      </w:pPr>
      <w:r w:rsidRPr="008463F3">
        <w:rPr>
          <w:b/>
          <w:lang w:val="en-GB"/>
        </w:rPr>
        <w:t>Funding Programmes:</w:t>
      </w:r>
      <w:r w:rsidRPr="008463F3">
        <w:rPr>
          <w:lang w:val="en-GB"/>
        </w:rPr>
        <w:t xml:space="preserve"> FP7</w:t>
      </w:r>
    </w:p>
    <w:p w14:paraId="4DE501D7" w14:textId="77777777" w:rsidR="007947BF" w:rsidRPr="008463F3" w:rsidRDefault="007947BF" w:rsidP="007947BF">
      <w:pPr>
        <w:pStyle w:val="ListParagraph"/>
        <w:numPr>
          <w:ilvl w:val="0"/>
          <w:numId w:val="7"/>
        </w:numPr>
        <w:rPr>
          <w:lang w:val="en-GB"/>
        </w:rPr>
      </w:pPr>
      <w:r w:rsidRPr="008463F3">
        <w:rPr>
          <w:b/>
          <w:lang w:val="en-GB"/>
        </w:rPr>
        <w:t>Project partner from North Macedonia</w:t>
      </w:r>
      <w:r w:rsidRPr="008463F3">
        <w:rPr>
          <w:lang w:val="en-GB"/>
        </w:rPr>
        <w:t xml:space="preserve">: Ss. Cyril and Methodius University in Skopje; Macedonian Academic </w:t>
      </w:r>
      <w:r>
        <w:rPr>
          <w:lang w:val="en-GB"/>
        </w:rPr>
        <w:t>a</w:t>
      </w:r>
      <w:r w:rsidRPr="008463F3">
        <w:rPr>
          <w:lang w:val="en-GB"/>
        </w:rPr>
        <w:t>nd Research Network, Skopje</w:t>
      </w:r>
    </w:p>
    <w:p w14:paraId="65847ADB" w14:textId="77777777" w:rsidR="007947BF" w:rsidRPr="008463F3" w:rsidRDefault="007947BF" w:rsidP="007947BF">
      <w:pPr>
        <w:pStyle w:val="ListParagraph"/>
        <w:numPr>
          <w:ilvl w:val="0"/>
          <w:numId w:val="7"/>
        </w:numPr>
        <w:rPr>
          <w:lang w:val="en-GB"/>
        </w:rPr>
      </w:pPr>
      <w:r w:rsidRPr="008463F3">
        <w:rPr>
          <w:b/>
          <w:lang w:val="en-GB"/>
        </w:rPr>
        <w:t>Total number of partner organi</w:t>
      </w:r>
      <w:r>
        <w:rPr>
          <w:b/>
          <w:lang w:val="en-GB"/>
        </w:rPr>
        <w:t>s</w:t>
      </w:r>
      <w:r w:rsidRPr="008463F3">
        <w:rPr>
          <w:b/>
          <w:lang w:val="en-GB"/>
        </w:rPr>
        <w:t>ations</w:t>
      </w:r>
      <w:r w:rsidRPr="008463F3">
        <w:rPr>
          <w:lang w:val="en-GB"/>
        </w:rPr>
        <w:t>: 41</w:t>
      </w:r>
    </w:p>
    <w:p w14:paraId="266A1706" w14:textId="77777777" w:rsidR="007947BF" w:rsidRPr="008463F3" w:rsidRDefault="007947BF" w:rsidP="007947BF">
      <w:pPr>
        <w:pStyle w:val="ListParagraph"/>
        <w:numPr>
          <w:ilvl w:val="0"/>
          <w:numId w:val="7"/>
        </w:numPr>
        <w:rPr>
          <w:lang w:val="en-GB"/>
        </w:rPr>
      </w:pPr>
      <w:r w:rsidRPr="008463F3">
        <w:rPr>
          <w:b/>
          <w:lang w:val="en-GB"/>
        </w:rPr>
        <w:t>Project implementation period</w:t>
      </w:r>
      <w:r w:rsidRPr="008463F3">
        <w:rPr>
          <w:lang w:val="en-GB"/>
        </w:rPr>
        <w:t>: 01/04/2009 - 30/09/2013</w:t>
      </w:r>
    </w:p>
    <w:p w14:paraId="4F02177F" w14:textId="77777777" w:rsidR="007947BF" w:rsidRPr="008463F3" w:rsidRDefault="007947BF" w:rsidP="007947BF">
      <w:pPr>
        <w:pStyle w:val="ListParagraph"/>
        <w:numPr>
          <w:ilvl w:val="0"/>
          <w:numId w:val="7"/>
        </w:numPr>
        <w:rPr>
          <w:lang w:val="en-GB"/>
        </w:rPr>
      </w:pPr>
      <w:r w:rsidRPr="008463F3">
        <w:rPr>
          <w:b/>
          <w:lang w:val="en-GB"/>
        </w:rPr>
        <w:t>Scientific domain</w:t>
      </w:r>
      <w:r w:rsidRPr="008463F3">
        <w:rPr>
          <w:lang w:val="en-GB"/>
        </w:rPr>
        <w:t>: e-Infrastructures</w:t>
      </w:r>
    </w:p>
    <w:p w14:paraId="1E4C4692" w14:textId="77777777" w:rsidR="007947BF" w:rsidRPr="008463F3" w:rsidRDefault="007947BF" w:rsidP="007947BF">
      <w:pPr>
        <w:jc w:val="both"/>
        <w:rPr>
          <w:lang w:val="en-GB"/>
        </w:rPr>
      </w:pPr>
      <w:r w:rsidRPr="008463F3">
        <w:rPr>
          <w:lang w:val="en-GB"/>
        </w:rPr>
        <w:t xml:space="preserve">The objective of this project was the creation of a leading edge network supporting a much enhanced range of both network and added value services targeted at end-users across the GÉANT service area. A principal goal was to create a portfolio of seamless multi-domain services. In contrast to its predecessor, GN2, much more emphasis was placed on service development and service introduction. Initiatives were implemented in the areas of multi-domain network service operation, where quick and efficient provisioning of advanced services were organised. Operational support crossing management domains and security to ensure service integrity and protection of network resources </w:t>
      </w:r>
      <w:r>
        <w:rPr>
          <w:lang w:val="en-GB"/>
        </w:rPr>
        <w:t>was provided</w:t>
      </w:r>
      <w:r w:rsidRPr="008463F3">
        <w:rPr>
          <w:lang w:val="en-GB"/>
        </w:rPr>
        <w:t>. This was complemented by the development of end-user services in a federated environment which focused on the creation of generic “meta-services”, particularly in the context of security as well as further developments in the area of Roaming Services. A particular emphasis was placed on supporting and encouraging the take</w:t>
      </w:r>
      <w:r>
        <w:rPr>
          <w:lang w:val="en-GB"/>
        </w:rPr>
        <w:t>-</w:t>
      </w:r>
      <w:r w:rsidRPr="008463F3">
        <w:rPr>
          <w:lang w:val="en-GB"/>
        </w:rPr>
        <w:t xml:space="preserve">up of services among end-users by working closely with NRENs. The need to develop this theme co-operatively with other </w:t>
      </w:r>
      <w:r>
        <w:rPr>
          <w:lang w:val="en-GB"/>
        </w:rPr>
        <w:t>global</w:t>
      </w:r>
      <w:r w:rsidRPr="008463F3">
        <w:rPr>
          <w:lang w:val="en-GB"/>
        </w:rPr>
        <w:t xml:space="preserve"> regions was recognised by the inclusion of an activity specifically targeted to achieve this. </w:t>
      </w:r>
    </w:p>
    <w:p w14:paraId="6F3C03F0" w14:textId="77777777" w:rsidR="007947BF" w:rsidRPr="008463F3" w:rsidRDefault="007947BF" w:rsidP="007947BF">
      <w:pPr>
        <w:pStyle w:val="Heading4"/>
        <w:ind w:firstLine="357"/>
        <w:rPr>
          <w:rFonts w:asciiTheme="minorHAnsi" w:hAnsiTheme="minorHAnsi"/>
          <w:lang w:val="en-GB"/>
        </w:rPr>
      </w:pPr>
      <w:r w:rsidRPr="008463F3">
        <w:rPr>
          <w:rFonts w:asciiTheme="minorHAnsi" w:hAnsiTheme="minorHAnsi"/>
          <w:lang w:val="en-GB"/>
        </w:rPr>
        <w:t>14. GN3PLUS (Multi-Gigabit European Research and Education Network and Associated Services)</w:t>
      </w:r>
    </w:p>
    <w:p w14:paraId="6C6FF12A" w14:textId="77777777" w:rsidR="007947BF" w:rsidRPr="008463F3" w:rsidRDefault="007947BF" w:rsidP="007947BF">
      <w:pPr>
        <w:pStyle w:val="ListParagraph"/>
        <w:numPr>
          <w:ilvl w:val="0"/>
          <w:numId w:val="7"/>
        </w:numPr>
        <w:rPr>
          <w:lang w:val="en-GB"/>
        </w:rPr>
      </w:pPr>
      <w:r w:rsidRPr="008463F3">
        <w:rPr>
          <w:b/>
          <w:lang w:val="en-GB"/>
        </w:rPr>
        <w:t>Funding Programmes:</w:t>
      </w:r>
      <w:r w:rsidRPr="008463F3">
        <w:rPr>
          <w:lang w:val="en-GB"/>
        </w:rPr>
        <w:t xml:space="preserve"> FP7</w:t>
      </w:r>
    </w:p>
    <w:p w14:paraId="1D83D684" w14:textId="77777777" w:rsidR="007947BF" w:rsidRPr="008463F3" w:rsidRDefault="007947BF" w:rsidP="007947BF">
      <w:pPr>
        <w:pStyle w:val="ListParagraph"/>
        <w:numPr>
          <w:ilvl w:val="0"/>
          <w:numId w:val="7"/>
        </w:numPr>
        <w:rPr>
          <w:lang w:val="en-GB"/>
        </w:rPr>
      </w:pPr>
      <w:r w:rsidRPr="008463F3">
        <w:rPr>
          <w:b/>
          <w:lang w:val="en-GB"/>
        </w:rPr>
        <w:t>Project partner from North Macedonia</w:t>
      </w:r>
      <w:r w:rsidRPr="008463F3">
        <w:rPr>
          <w:lang w:val="en-GB"/>
        </w:rPr>
        <w:t xml:space="preserve">: Macedonian Academic </w:t>
      </w:r>
      <w:r>
        <w:rPr>
          <w:lang w:val="en-GB"/>
        </w:rPr>
        <w:t>a</w:t>
      </w:r>
      <w:r w:rsidRPr="008463F3">
        <w:rPr>
          <w:lang w:val="en-GB"/>
        </w:rPr>
        <w:t>nd Research Network, Skopje</w:t>
      </w:r>
    </w:p>
    <w:p w14:paraId="65C93BF9" w14:textId="77777777" w:rsidR="007947BF" w:rsidRPr="008463F3" w:rsidRDefault="007947BF" w:rsidP="007947BF">
      <w:pPr>
        <w:pStyle w:val="ListParagraph"/>
        <w:numPr>
          <w:ilvl w:val="0"/>
          <w:numId w:val="7"/>
        </w:numPr>
        <w:rPr>
          <w:lang w:val="en-GB"/>
        </w:rPr>
      </w:pPr>
      <w:r w:rsidRPr="008463F3">
        <w:rPr>
          <w:b/>
          <w:lang w:val="en-GB"/>
        </w:rPr>
        <w:t>Total number of partner organi</w:t>
      </w:r>
      <w:r>
        <w:rPr>
          <w:b/>
          <w:lang w:val="en-GB"/>
        </w:rPr>
        <w:t>s</w:t>
      </w:r>
      <w:r w:rsidRPr="008463F3">
        <w:rPr>
          <w:b/>
          <w:lang w:val="en-GB"/>
        </w:rPr>
        <w:t>ations</w:t>
      </w:r>
      <w:r w:rsidRPr="008463F3">
        <w:rPr>
          <w:lang w:val="en-GB"/>
        </w:rPr>
        <w:t>: 58</w:t>
      </w:r>
    </w:p>
    <w:p w14:paraId="740EBE3C" w14:textId="77777777" w:rsidR="007947BF" w:rsidRPr="008463F3" w:rsidRDefault="007947BF" w:rsidP="007947BF">
      <w:pPr>
        <w:pStyle w:val="ListParagraph"/>
        <w:numPr>
          <w:ilvl w:val="0"/>
          <w:numId w:val="7"/>
        </w:numPr>
        <w:rPr>
          <w:lang w:val="en-GB"/>
        </w:rPr>
      </w:pPr>
      <w:r w:rsidRPr="008463F3">
        <w:rPr>
          <w:b/>
          <w:lang w:val="en-GB"/>
        </w:rPr>
        <w:t>Project implementation period</w:t>
      </w:r>
      <w:r w:rsidRPr="008463F3">
        <w:rPr>
          <w:lang w:val="en-GB"/>
        </w:rPr>
        <w:t>: 01/04/2013 - 31/03/2015</w:t>
      </w:r>
    </w:p>
    <w:p w14:paraId="74A4EA85" w14:textId="77777777" w:rsidR="007947BF" w:rsidRPr="008463F3" w:rsidRDefault="007947BF" w:rsidP="007947BF">
      <w:pPr>
        <w:pStyle w:val="ListParagraph"/>
        <w:numPr>
          <w:ilvl w:val="0"/>
          <w:numId w:val="7"/>
        </w:numPr>
        <w:rPr>
          <w:lang w:val="en-GB"/>
        </w:rPr>
      </w:pPr>
      <w:r w:rsidRPr="008463F3">
        <w:rPr>
          <w:b/>
          <w:lang w:val="en-GB"/>
        </w:rPr>
        <w:t>Scientific domain</w:t>
      </w:r>
      <w:r w:rsidRPr="008463F3">
        <w:rPr>
          <w:lang w:val="en-GB"/>
        </w:rPr>
        <w:t>: e-Infrastructures</w:t>
      </w:r>
    </w:p>
    <w:p w14:paraId="75C5F1B7" w14:textId="77777777" w:rsidR="007947BF" w:rsidRPr="008463F3" w:rsidRDefault="007947BF" w:rsidP="007947BF">
      <w:pPr>
        <w:jc w:val="both"/>
        <w:rPr>
          <w:lang w:val="en-GB"/>
        </w:rPr>
      </w:pPr>
      <w:r w:rsidRPr="008463F3">
        <w:rPr>
          <w:lang w:val="en-GB"/>
        </w:rPr>
        <w:t xml:space="preserve">This project comprised activities that ensured the continued enhancement and ongoing operation of the leading-edge GÉANT network, supporting a range of network and added-value services, targeted at users across the GÉANT service area. In the area of multi-domain network service operation, GN3plus planned to deliver fast, efficient provisioning of advanced services, develop operational support across management domains, and improve security to ensure service integrity and protect network resources. These initiatives were complemented by the development of application services in a federated environment – such as mobile and wireless roaming – supported by safe and secure Authentication and Authorisation Infrastructure. Networking Activities provided management and support for all GN3plus activities through communication, promotion, international liaison and business development. Emphasis was placed on supporting and encouraging service take-up among users by working closely with NRENs. Joint Research Activities were targeted at providing critical analyses of future network and application technologies, with a view </w:t>
      </w:r>
      <w:r>
        <w:rPr>
          <w:lang w:val="en-GB"/>
        </w:rPr>
        <w:t>of</w:t>
      </w:r>
      <w:r w:rsidRPr="008463F3">
        <w:rPr>
          <w:lang w:val="en-GB"/>
        </w:rPr>
        <w:t xml:space="preserve"> future deployment of emerging technologies within and outside the GÉANT community. </w:t>
      </w:r>
    </w:p>
    <w:p w14:paraId="45D6EDFE" w14:textId="77777777" w:rsidR="007947BF" w:rsidRPr="008463F3" w:rsidRDefault="007947BF" w:rsidP="007947BF">
      <w:pPr>
        <w:pStyle w:val="Heading4"/>
        <w:ind w:firstLine="357"/>
        <w:rPr>
          <w:rFonts w:asciiTheme="minorHAnsi" w:hAnsiTheme="minorHAnsi"/>
          <w:lang w:val="en-GB"/>
        </w:rPr>
      </w:pPr>
      <w:r w:rsidRPr="008463F3">
        <w:rPr>
          <w:rFonts w:asciiTheme="minorHAnsi" w:hAnsiTheme="minorHAnsi"/>
          <w:lang w:val="en-GB"/>
        </w:rPr>
        <w:t>15. HP-SEE (High-Performance Computing Infrastructure for South East Europe’s Research Communities)</w:t>
      </w:r>
    </w:p>
    <w:p w14:paraId="6175147E" w14:textId="77777777" w:rsidR="007947BF" w:rsidRPr="008463F3" w:rsidRDefault="007947BF" w:rsidP="007947BF">
      <w:pPr>
        <w:pStyle w:val="ListParagraph"/>
        <w:numPr>
          <w:ilvl w:val="0"/>
          <w:numId w:val="4"/>
        </w:numPr>
        <w:rPr>
          <w:lang w:val="en-GB"/>
        </w:rPr>
      </w:pPr>
      <w:r w:rsidRPr="008463F3">
        <w:rPr>
          <w:b/>
          <w:lang w:val="en-GB"/>
        </w:rPr>
        <w:t>Funding Programmes:</w:t>
      </w:r>
      <w:r w:rsidRPr="008463F3">
        <w:rPr>
          <w:lang w:val="en-GB"/>
        </w:rPr>
        <w:t xml:space="preserve"> FP7</w:t>
      </w:r>
    </w:p>
    <w:p w14:paraId="63A02334" w14:textId="77777777" w:rsidR="007947BF" w:rsidRPr="008463F3" w:rsidRDefault="007947BF" w:rsidP="007947BF">
      <w:pPr>
        <w:pStyle w:val="ListParagraph"/>
        <w:numPr>
          <w:ilvl w:val="0"/>
          <w:numId w:val="4"/>
        </w:numPr>
        <w:rPr>
          <w:lang w:val="en-GB"/>
        </w:rPr>
      </w:pPr>
      <w:r w:rsidRPr="008463F3">
        <w:rPr>
          <w:b/>
          <w:lang w:val="en-GB"/>
        </w:rPr>
        <w:t>Project partner from North Macedonia</w:t>
      </w:r>
      <w:r w:rsidRPr="008463F3">
        <w:rPr>
          <w:lang w:val="en-GB"/>
        </w:rPr>
        <w:t>: Ss. Cyril and Methodius University in Skopje, FCSE</w:t>
      </w:r>
    </w:p>
    <w:p w14:paraId="11735E48" w14:textId="77777777" w:rsidR="007947BF" w:rsidRPr="008463F3" w:rsidRDefault="007947BF" w:rsidP="007947BF">
      <w:pPr>
        <w:pStyle w:val="ListParagraph"/>
        <w:numPr>
          <w:ilvl w:val="0"/>
          <w:numId w:val="4"/>
        </w:numPr>
        <w:rPr>
          <w:lang w:val="en-GB"/>
        </w:rPr>
      </w:pPr>
      <w:r w:rsidRPr="008463F3">
        <w:rPr>
          <w:b/>
          <w:lang w:val="en-GB"/>
        </w:rPr>
        <w:t>Total number of partner organi</w:t>
      </w:r>
      <w:r>
        <w:rPr>
          <w:b/>
          <w:lang w:val="en-GB"/>
        </w:rPr>
        <w:t>s</w:t>
      </w:r>
      <w:r w:rsidRPr="008463F3">
        <w:rPr>
          <w:b/>
          <w:lang w:val="en-GB"/>
        </w:rPr>
        <w:t>ations</w:t>
      </w:r>
      <w:r w:rsidRPr="008463F3">
        <w:rPr>
          <w:lang w:val="en-GB"/>
        </w:rPr>
        <w:t>: 16</w:t>
      </w:r>
    </w:p>
    <w:p w14:paraId="11F4A236" w14:textId="77777777" w:rsidR="007947BF" w:rsidRPr="008463F3" w:rsidRDefault="007947BF" w:rsidP="007947BF">
      <w:pPr>
        <w:pStyle w:val="ListParagraph"/>
        <w:numPr>
          <w:ilvl w:val="0"/>
          <w:numId w:val="4"/>
        </w:numPr>
        <w:rPr>
          <w:lang w:val="en-GB"/>
        </w:rPr>
      </w:pPr>
      <w:r w:rsidRPr="008463F3">
        <w:rPr>
          <w:b/>
          <w:lang w:val="en-GB"/>
        </w:rPr>
        <w:t>Project implementation period</w:t>
      </w:r>
      <w:r w:rsidRPr="008463F3">
        <w:rPr>
          <w:lang w:val="en-GB"/>
        </w:rPr>
        <w:t>: 31/08/2010 - 31/05/2013</w:t>
      </w:r>
    </w:p>
    <w:p w14:paraId="70FFB1FA" w14:textId="77777777" w:rsidR="007947BF" w:rsidRPr="008463F3" w:rsidRDefault="007947BF" w:rsidP="007947BF">
      <w:pPr>
        <w:pStyle w:val="ListParagraph"/>
        <w:numPr>
          <w:ilvl w:val="0"/>
          <w:numId w:val="4"/>
        </w:numPr>
        <w:rPr>
          <w:lang w:val="en-GB"/>
        </w:rPr>
      </w:pPr>
      <w:r w:rsidRPr="008463F3">
        <w:rPr>
          <w:b/>
          <w:lang w:val="en-GB"/>
        </w:rPr>
        <w:t>Scientific domain</w:t>
      </w:r>
      <w:r w:rsidRPr="008463F3">
        <w:rPr>
          <w:lang w:val="en-GB"/>
        </w:rPr>
        <w:t>: e-Infrastructures</w:t>
      </w:r>
    </w:p>
    <w:p w14:paraId="1C5BC526" w14:textId="77777777" w:rsidR="007947BF" w:rsidRPr="008463F3" w:rsidRDefault="007947BF" w:rsidP="007947BF">
      <w:pPr>
        <w:jc w:val="both"/>
        <w:rPr>
          <w:lang w:val="en-GB"/>
        </w:rPr>
      </w:pPr>
      <w:r w:rsidRPr="008463F3">
        <w:rPr>
          <w:lang w:val="en-GB"/>
        </w:rPr>
        <w:t xml:space="preserve">Taking into account that High-Performance Computing (HPC) involvement of the South East Europe (SEE) region was very limited, HP-SEE Project focused on a number of strategic actions. First, it linked the existing and upcoming HPC facilities in the region in a common infrastructure, and provided operational solutions for it. As a complementary action, the project established and maintained the GÉANT link for Caucasus. Second, it opened this HPC infrastructure to a wide range of new user communities, including those of less-resourced </w:t>
      </w:r>
      <w:r>
        <w:rPr>
          <w:lang w:val="en-GB"/>
        </w:rPr>
        <w:t>economies</w:t>
      </w:r>
      <w:r w:rsidRPr="008463F3">
        <w:rPr>
          <w:lang w:val="en-GB"/>
        </w:rPr>
        <w:t>, fostering collaboration and providing advanced capabilities to researchers, with an emphasis on strategic groups in computational physics, chemistry and life sciences. Finally, it ensured establishment of national HPC initiatives, and act</w:t>
      </w:r>
      <w:r>
        <w:rPr>
          <w:lang w:val="en-GB"/>
        </w:rPr>
        <w:t>ed</w:t>
      </w:r>
      <w:r w:rsidRPr="008463F3">
        <w:rPr>
          <w:lang w:val="en-GB"/>
        </w:rPr>
        <w:t xml:space="preserve"> as a SEE bridge for PRACE. In this context, HP-SEE aimed to attract the local political &amp; financial support for long-term sustainable e-Infrastructure. HP-SEE aspired to contribute to the stabilisation and development of South</w:t>
      </w:r>
      <w:r>
        <w:rPr>
          <w:lang w:val="en-GB"/>
        </w:rPr>
        <w:t xml:space="preserve"> </w:t>
      </w:r>
      <w:r w:rsidRPr="008463F3">
        <w:rPr>
          <w:lang w:val="en-GB"/>
        </w:rPr>
        <w:t>East Europe by overcoming fragmentation in Europe and stimulating e-Infrastructure development and adoption by new virtual research communities, thus enabling collaborative high-quality research across a spectrum of scientific fields.</w:t>
      </w:r>
    </w:p>
    <w:p w14:paraId="07A70A11" w14:textId="77777777" w:rsidR="007947BF" w:rsidRPr="008463F3" w:rsidRDefault="007947BF" w:rsidP="007947BF">
      <w:pPr>
        <w:pStyle w:val="Heading4"/>
        <w:ind w:firstLine="357"/>
        <w:rPr>
          <w:rFonts w:asciiTheme="minorHAnsi" w:hAnsiTheme="minorHAnsi"/>
          <w:lang w:val="en-GB"/>
        </w:rPr>
      </w:pPr>
      <w:r w:rsidRPr="008463F3">
        <w:rPr>
          <w:rFonts w:asciiTheme="minorHAnsi" w:hAnsiTheme="minorHAnsi"/>
          <w:lang w:val="en-GB"/>
        </w:rPr>
        <w:t xml:space="preserve">16. SEE-GRID e-Infrastructure for Regional e-Science </w:t>
      </w:r>
    </w:p>
    <w:p w14:paraId="2E39D7B0" w14:textId="77777777" w:rsidR="007947BF" w:rsidRPr="008463F3" w:rsidRDefault="007947BF" w:rsidP="007947BF">
      <w:pPr>
        <w:pStyle w:val="ListParagraph"/>
        <w:numPr>
          <w:ilvl w:val="0"/>
          <w:numId w:val="5"/>
        </w:numPr>
        <w:rPr>
          <w:lang w:val="en-GB"/>
        </w:rPr>
      </w:pPr>
      <w:r w:rsidRPr="008463F3">
        <w:rPr>
          <w:b/>
          <w:lang w:val="en-GB"/>
        </w:rPr>
        <w:t>Funding Programmes:</w:t>
      </w:r>
      <w:r w:rsidRPr="008463F3">
        <w:rPr>
          <w:lang w:val="en-GB"/>
        </w:rPr>
        <w:t xml:space="preserve"> FP7</w:t>
      </w:r>
    </w:p>
    <w:p w14:paraId="7C144689" w14:textId="77777777" w:rsidR="007947BF" w:rsidRPr="008463F3" w:rsidRDefault="007947BF" w:rsidP="007947BF">
      <w:pPr>
        <w:pStyle w:val="ListParagraph"/>
        <w:numPr>
          <w:ilvl w:val="0"/>
          <w:numId w:val="5"/>
        </w:numPr>
        <w:rPr>
          <w:lang w:val="en-GB"/>
        </w:rPr>
      </w:pPr>
      <w:r w:rsidRPr="008463F3">
        <w:rPr>
          <w:b/>
          <w:lang w:val="en-GB"/>
        </w:rPr>
        <w:t>Project partner from North Macedonia</w:t>
      </w:r>
      <w:r w:rsidRPr="008463F3">
        <w:rPr>
          <w:lang w:val="en-GB"/>
        </w:rPr>
        <w:t>: Ss. Cyril and Methodius University in Skopje</w:t>
      </w:r>
    </w:p>
    <w:p w14:paraId="30E3008A" w14:textId="77777777" w:rsidR="007947BF" w:rsidRPr="008463F3" w:rsidRDefault="007947BF" w:rsidP="007947BF">
      <w:pPr>
        <w:pStyle w:val="ListParagraph"/>
        <w:numPr>
          <w:ilvl w:val="0"/>
          <w:numId w:val="5"/>
        </w:numPr>
        <w:rPr>
          <w:lang w:val="en-GB"/>
        </w:rPr>
      </w:pPr>
      <w:r w:rsidRPr="008463F3">
        <w:rPr>
          <w:b/>
          <w:lang w:val="en-GB"/>
        </w:rPr>
        <w:t>Total number of partner organi</w:t>
      </w:r>
      <w:r>
        <w:rPr>
          <w:b/>
          <w:lang w:val="en-GB"/>
        </w:rPr>
        <w:t>s</w:t>
      </w:r>
      <w:r w:rsidRPr="008463F3">
        <w:rPr>
          <w:b/>
          <w:lang w:val="en-GB"/>
        </w:rPr>
        <w:t>ations</w:t>
      </w:r>
      <w:r w:rsidRPr="008463F3">
        <w:rPr>
          <w:lang w:val="en-GB"/>
        </w:rPr>
        <w:t>: 15</w:t>
      </w:r>
    </w:p>
    <w:p w14:paraId="0F9870E6" w14:textId="77777777" w:rsidR="007947BF" w:rsidRPr="008463F3" w:rsidRDefault="007947BF" w:rsidP="007947BF">
      <w:pPr>
        <w:pStyle w:val="ListParagraph"/>
        <w:numPr>
          <w:ilvl w:val="0"/>
          <w:numId w:val="5"/>
        </w:numPr>
        <w:rPr>
          <w:lang w:val="en-GB"/>
        </w:rPr>
      </w:pPr>
      <w:r w:rsidRPr="008463F3">
        <w:rPr>
          <w:b/>
          <w:lang w:val="en-GB"/>
        </w:rPr>
        <w:t>Project implementation period</w:t>
      </w:r>
      <w:r w:rsidRPr="008463F3">
        <w:rPr>
          <w:lang w:val="en-GB"/>
        </w:rPr>
        <w:t>: 30/04/2008 - 30/04/2010</w:t>
      </w:r>
    </w:p>
    <w:p w14:paraId="662FD4F6" w14:textId="77777777" w:rsidR="007947BF" w:rsidRPr="008463F3" w:rsidRDefault="007947BF" w:rsidP="007947BF">
      <w:pPr>
        <w:pStyle w:val="ListParagraph"/>
        <w:numPr>
          <w:ilvl w:val="0"/>
          <w:numId w:val="5"/>
        </w:numPr>
        <w:rPr>
          <w:lang w:val="en-GB"/>
        </w:rPr>
      </w:pPr>
      <w:r w:rsidRPr="008463F3">
        <w:rPr>
          <w:b/>
          <w:lang w:val="en-GB"/>
        </w:rPr>
        <w:t>Scientific domain</w:t>
      </w:r>
      <w:r w:rsidRPr="008463F3">
        <w:rPr>
          <w:lang w:val="en-GB"/>
        </w:rPr>
        <w:t>: e-Infrastructures</w:t>
      </w:r>
    </w:p>
    <w:p w14:paraId="5409BE0D" w14:textId="77777777" w:rsidR="007947BF" w:rsidRPr="008463F3" w:rsidRDefault="007947BF" w:rsidP="007947BF">
      <w:pPr>
        <w:jc w:val="both"/>
        <w:rPr>
          <w:sz w:val="24"/>
          <w:lang w:val="en-GB"/>
        </w:rPr>
      </w:pPr>
      <w:r w:rsidRPr="008463F3">
        <w:rPr>
          <w:lang w:val="en-GB"/>
        </w:rPr>
        <w:t>SEE-GRID-SCI leveraged the SEE e-Infrastructure to enable new scientific collaborations among SEE user communities. It has stimulated widespread integrated e-Infrastructure uptake by new cross-border</w:t>
      </w:r>
      <w:r>
        <w:rPr>
          <w:lang w:val="en-GB"/>
        </w:rPr>
        <w:t>/boundary</w:t>
      </w:r>
      <w:r w:rsidRPr="008463F3">
        <w:rPr>
          <w:lang w:val="en-GB"/>
        </w:rPr>
        <w:t xml:space="preserve"> user groups extending over the region, fostering collaboration and providing advanced capabilities to more researchers, with an emphasis on strategic groups in seismology, meteorology and environmental protection. The initiative thus aimed to have a catalytic and structuring effect on a variety of user communities that did not directly benefit from the available e-Infrastructures. In parallel, it enlarged the regional e-Infrastructure to cater for demands of the communities: a number of new Grid clusters and</w:t>
      </w:r>
      <w:r>
        <w:rPr>
          <w:lang w:val="en-GB"/>
        </w:rPr>
        <w:t xml:space="preserve"> economies</w:t>
      </w:r>
      <w:r w:rsidRPr="008463F3">
        <w:rPr>
          <w:lang w:val="en-GB"/>
        </w:rPr>
        <w:t xml:space="preserve"> were added, engaging a wider range of players and expanding the provider pool. Finally, SEE-GRID-SCI helped mature and stabilised the National Grid Initiatives in the region, allowing them to join the new era of longer-term sustainable Grid infrastructure in Europe. In this context, SEE-GRID-SCI aimed to attract political and financial support for materiali</w:t>
      </w:r>
      <w:r>
        <w:rPr>
          <w:lang w:val="en-GB"/>
        </w:rPr>
        <w:t>s</w:t>
      </w:r>
      <w:r w:rsidRPr="008463F3">
        <w:rPr>
          <w:lang w:val="en-GB"/>
        </w:rPr>
        <w:t>ing the e-Infrastructure vision. In longer term, SEE-GRID-SCI aspired to contribute to the stabilisation and development of South</w:t>
      </w:r>
      <w:r>
        <w:rPr>
          <w:lang w:val="en-GB"/>
        </w:rPr>
        <w:t xml:space="preserve"> </w:t>
      </w:r>
      <w:r w:rsidRPr="008463F3">
        <w:rPr>
          <w:lang w:val="en-GB"/>
        </w:rPr>
        <w:t>East Europe by easing the digital divide and stimulating e-Infrastructure development and adoption by new user communities, thus enabling collaborative high-quality research across a spectrum of scientific fields.</w:t>
      </w:r>
    </w:p>
    <w:p w14:paraId="14CCED04" w14:textId="77777777" w:rsidR="007947BF" w:rsidRPr="008463F3" w:rsidRDefault="007947BF" w:rsidP="007947BF">
      <w:pPr>
        <w:pStyle w:val="Heading4"/>
        <w:ind w:firstLine="357"/>
        <w:rPr>
          <w:rFonts w:asciiTheme="minorHAnsi" w:hAnsiTheme="minorHAnsi"/>
          <w:lang w:val="en-GB"/>
        </w:rPr>
      </w:pPr>
      <w:r w:rsidRPr="008463F3">
        <w:rPr>
          <w:rFonts w:asciiTheme="minorHAnsi" w:hAnsiTheme="minorHAnsi"/>
          <w:lang w:val="en-GB"/>
        </w:rPr>
        <w:t>17. South East European Research Area for e-Infrastructures</w:t>
      </w:r>
    </w:p>
    <w:p w14:paraId="14AD6256" w14:textId="77777777" w:rsidR="007947BF" w:rsidRPr="008463F3" w:rsidRDefault="007947BF" w:rsidP="007947BF">
      <w:pPr>
        <w:pStyle w:val="ListParagraph"/>
        <w:numPr>
          <w:ilvl w:val="0"/>
          <w:numId w:val="6"/>
        </w:numPr>
        <w:rPr>
          <w:lang w:val="en-GB"/>
        </w:rPr>
      </w:pPr>
      <w:r w:rsidRPr="008463F3">
        <w:rPr>
          <w:b/>
          <w:lang w:val="en-GB"/>
        </w:rPr>
        <w:t>Funding Programmes:</w:t>
      </w:r>
      <w:r w:rsidRPr="008463F3">
        <w:rPr>
          <w:lang w:val="en-GB"/>
        </w:rPr>
        <w:t xml:space="preserve"> FP7</w:t>
      </w:r>
    </w:p>
    <w:p w14:paraId="5AA23357" w14:textId="77777777" w:rsidR="007947BF" w:rsidRPr="008463F3" w:rsidRDefault="007947BF" w:rsidP="007947BF">
      <w:pPr>
        <w:pStyle w:val="ListParagraph"/>
        <w:numPr>
          <w:ilvl w:val="0"/>
          <w:numId w:val="6"/>
        </w:numPr>
        <w:rPr>
          <w:lang w:val="en-GB"/>
        </w:rPr>
      </w:pPr>
      <w:r w:rsidRPr="008463F3">
        <w:rPr>
          <w:b/>
          <w:lang w:val="en-GB"/>
        </w:rPr>
        <w:t>Project partners from North Macedonia</w:t>
      </w:r>
      <w:r w:rsidRPr="008463F3">
        <w:rPr>
          <w:lang w:val="en-GB"/>
        </w:rPr>
        <w:t>: Ss. Cyril and Methodius University in Skopje; Ministry of Information Society</w:t>
      </w:r>
    </w:p>
    <w:p w14:paraId="1B986FFE" w14:textId="77777777" w:rsidR="007947BF" w:rsidRPr="008463F3" w:rsidRDefault="007947BF" w:rsidP="007947BF">
      <w:pPr>
        <w:pStyle w:val="ListParagraph"/>
        <w:numPr>
          <w:ilvl w:val="0"/>
          <w:numId w:val="6"/>
        </w:numPr>
        <w:rPr>
          <w:lang w:val="en-GB"/>
        </w:rPr>
      </w:pPr>
      <w:r w:rsidRPr="008463F3">
        <w:rPr>
          <w:b/>
          <w:lang w:val="en-GB"/>
        </w:rPr>
        <w:t>Total number of partner organi</w:t>
      </w:r>
      <w:r>
        <w:rPr>
          <w:b/>
          <w:lang w:val="en-GB"/>
        </w:rPr>
        <w:t>s</w:t>
      </w:r>
      <w:r w:rsidRPr="008463F3">
        <w:rPr>
          <w:b/>
          <w:lang w:val="en-GB"/>
        </w:rPr>
        <w:t>ations</w:t>
      </w:r>
      <w:r w:rsidRPr="008463F3">
        <w:rPr>
          <w:lang w:val="en-GB"/>
        </w:rPr>
        <w:t>: 20</w:t>
      </w:r>
    </w:p>
    <w:p w14:paraId="420D1F84" w14:textId="77777777" w:rsidR="007947BF" w:rsidRPr="008463F3" w:rsidRDefault="007947BF" w:rsidP="007947BF">
      <w:pPr>
        <w:pStyle w:val="ListParagraph"/>
        <w:numPr>
          <w:ilvl w:val="0"/>
          <w:numId w:val="6"/>
        </w:numPr>
        <w:rPr>
          <w:lang w:val="en-GB"/>
        </w:rPr>
      </w:pPr>
      <w:r w:rsidRPr="008463F3">
        <w:rPr>
          <w:b/>
          <w:lang w:val="en-GB"/>
        </w:rPr>
        <w:t>Project implementation period</w:t>
      </w:r>
      <w:r w:rsidRPr="008463F3">
        <w:rPr>
          <w:lang w:val="en-GB"/>
        </w:rPr>
        <w:t>: 01/04/2009 - 31/03/2012</w:t>
      </w:r>
    </w:p>
    <w:p w14:paraId="0C7EE64B" w14:textId="77777777" w:rsidR="007947BF" w:rsidRPr="008463F3" w:rsidRDefault="007947BF" w:rsidP="007947BF">
      <w:pPr>
        <w:pStyle w:val="ListParagraph"/>
        <w:numPr>
          <w:ilvl w:val="0"/>
          <w:numId w:val="6"/>
        </w:numPr>
        <w:rPr>
          <w:lang w:val="en-GB"/>
        </w:rPr>
      </w:pPr>
      <w:r w:rsidRPr="008463F3">
        <w:rPr>
          <w:b/>
          <w:lang w:val="en-GB"/>
        </w:rPr>
        <w:t>Scientific domain</w:t>
      </w:r>
      <w:r w:rsidRPr="008463F3">
        <w:rPr>
          <w:lang w:val="en-GB"/>
        </w:rPr>
        <w:t>: e-Infrastructures</w:t>
      </w:r>
    </w:p>
    <w:p w14:paraId="7B558ED4" w14:textId="77777777" w:rsidR="007947BF" w:rsidRPr="008463F3" w:rsidRDefault="007947BF" w:rsidP="007947BF">
      <w:pPr>
        <w:jc w:val="both"/>
        <w:rPr>
          <w:lang w:val="en-GB"/>
        </w:rPr>
      </w:pPr>
      <w:r w:rsidRPr="008463F3">
        <w:rPr>
          <w:lang w:val="en-GB"/>
        </w:rPr>
        <w:t>SEERA-EI project connected national-level programme managers and provided an open forum for information exchange in order to enable coordination of national programmes in e-Infrastructures, and set the framework for a common regional agenda. The project gathered and exchanged information regarding programmes and carried out a state-of-the-art analysis; produced set of best practices and guidelines for national e-Infrastructure programmes; and identified areas for joint regional activities, ranging from short-term soft actions, mid-term policy-level actions, to preparatory activities for long-term actions. SEERA-EI reduced fragmentation of national programmes, created a harmoni</w:t>
      </w:r>
      <w:r>
        <w:rPr>
          <w:lang w:val="en-GB"/>
        </w:rPr>
        <w:t>s</w:t>
      </w:r>
      <w:r w:rsidRPr="008463F3">
        <w:rPr>
          <w:lang w:val="en-GB"/>
        </w:rPr>
        <w:t>ed approach to national-level initiatives in e-Infrastructures, ensured local commitment, and paved the way towards common regional vision, strategy and sustainable cooperation, enabling collaborative high-quality research across a spectrum of scientific fields.</w:t>
      </w:r>
    </w:p>
    <w:p w14:paraId="1C555514" w14:textId="77777777" w:rsidR="007947BF" w:rsidRPr="008463F3" w:rsidRDefault="007947BF" w:rsidP="007947BF">
      <w:pPr>
        <w:pStyle w:val="Heading4"/>
        <w:ind w:firstLine="357"/>
        <w:rPr>
          <w:rFonts w:asciiTheme="minorHAnsi" w:hAnsiTheme="minorHAnsi"/>
          <w:lang w:val="en-GB"/>
        </w:rPr>
      </w:pPr>
      <w:r w:rsidRPr="008463F3">
        <w:rPr>
          <w:rFonts w:asciiTheme="minorHAnsi" w:hAnsiTheme="minorHAnsi"/>
          <w:lang w:val="en-GB"/>
        </w:rPr>
        <w:t>18. SERIES (Seismic Engineering Research Infrastructures for European Synergies)</w:t>
      </w:r>
    </w:p>
    <w:p w14:paraId="10AD8FB3" w14:textId="77777777" w:rsidR="007947BF" w:rsidRPr="008463F3" w:rsidRDefault="007947BF" w:rsidP="007947BF">
      <w:pPr>
        <w:pStyle w:val="ListParagraph"/>
        <w:numPr>
          <w:ilvl w:val="0"/>
          <w:numId w:val="6"/>
        </w:numPr>
        <w:rPr>
          <w:lang w:val="en-GB"/>
        </w:rPr>
      </w:pPr>
      <w:r w:rsidRPr="008463F3">
        <w:rPr>
          <w:b/>
          <w:lang w:val="en-GB"/>
        </w:rPr>
        <w:t>Funding Programmes:</w:t>
      </w:r>
      <w:r w:rsidRPr="008463F3">
        <w:rPr>
          <w:lang w:val="en-GB"/>
        </w:rPr>
        <w:t xml:space="preserve"> FP7</w:t>
      </w:r>
    </w:p>
    <w:p w14:paraId="6D6E78AD" w14:textId="77777777" w:rsidR="007947BF" w:rsidRPr="008463F3" w:rsidRDefault="007947BF" w:rsidP="007947BF">
      <w:pPr>
        <w:pStyle w:val="ListParagraph"/>
        <w:numPr>
          <w:ilvl w:val="0"/>
          <w:numId w:val="6"/>
        </w:numPr>
        <w:rPr>
          <w:lang w:val="en-GB"/>
        </w:rPr>
      </w:pPr>
      <w:r w:rsidRPr="008463F3">
        <w:rPr>
          <w:b/>
          <w:lang w:val="en-GB"/>
        </w:rPr>
        <w:t>Project partners from North Macedonia</w:t>
      </w:r>
      <w:r w:rsidRPr="008463F3">
        <w:rPr>
          <w:lang w:val="en-GB"/>
        </w:rPr>
        <w:t>: Ss. Cyril and Methodius University in Skopje, Institute of Earthquake Engineering and Engineering Seismology</w:t>
      </w:r>
    </w:p>
    <w:p w14:paraId="42187CF5" w14:textId="77777777" w:rsidR="007947BF" w:rsidRPr="008463F3" w:rsidRDefault="007947BF" w:rsidP="007947BF">
      <w:pPr>
        <w:pStyle w:val="ListParagraph"/>
        <w:numPr>
          <w:ilvl w:val="0"/>
          <w:numId w:val="6"/>
        </w:numPr>
        <w:rPr>
          <w:lang w:val="en-GB"/>
        </w:rPr>
      </w:pPr>
      <w:r w:rsidRPr="008463F3">
        <w:rPr>
          <w:b/>
          <w:lang w:val="en-GB"/>
        </w:rPr>
        <w:t>Total number of partner organi</w:t>
      </w:r>
      <w:r>
        <w:rPr>
          <w:b/>
          <w:lang w:val="en-GB"/>
        </w:rPr>
        <w:t>s</w:t>
      </w:r>
      <w:r w:rsidRPr="008463F3">
        <w:rPr>
          <w:b/>
          <w:lang w:val="en-GB"/>
        </w:rPr>
        <w:t>ations</w:t>
      </w:r>
      <w:r w:rsidRPr="008463F3">
        <w:rPr>
          <w:lang w:val="en-GB"/>
        </w:rPr>
        <w:t>: 21</w:t>
      </w:r>
    </w:p>
    <w:p w14:paraId="407EA370" w14:textId="77777777" w:rsidR="007947BF" w:rsidRPr="008463F3" w:rsidRDefault="007947BF" w:rsidP="007947BF">
      <w:pPr>
        <w:pStyle w:val="ListParagraph"/>
        <w:numPr>
          <w:ilvl w:val="0"/>
          <w:numId w:val="6"/>
        </w:numPr>
        <w:rPr>
          <w:lang w:val="en-GB"/>
        </w:rPr>
      </w:pPr>
      <w:r w:rsidRPr="008463F3">
        <w:rPr>
          <w:b/>
          <w:lang w:val="en-GB"/>
        </w:rPr>
        <w:t>Project implementation period</w:t>
      </w:r>
      <w:r w:rsidRPr="008463F3">
        <w:rPr>
          <w:lang w:val="en-GB"/>
        </w:rPr>
        <w:t>: 01/03/2009 - 28/02/2013</w:t>
      </w:r>
    </w:p>
    <w:p w14:paraId="5550D0C2" w14:textId="77777777" w:rsidR="007947BF" w:rsidRPr="008463F3" w:rsidRDefault="007947BF" w:rsidP="007947BF">
      <w:pPr>
        <w:pStyle w:val="ListParagraph"/>
        <w:numPr>
          <w:ilvl w:val="0"/>
          <w:numId w:val="6"/>
        </w:numPr>
        <w:rPr>
          <w:lang w:val="en-GB"/>
        </w:rPr>
      </w:pPr>
      <w:r w:rsidRPr="008463F3">
        <w:rPr>
          <w:b/>
          <w:lang w:val="en-GB"/>
        </w:rPr>
        <w:t>Scientific domain</w:t>
      </w:r>
      <w:r w:rsidRPr="008463F3">
        <w:rPr>
          <w:lang w:val="en-GB"/>
        </w:rPr>
        <w:t>: Research Infrastructures</w:t>
      </w:r>
    </w:p>
    <w:p w14:paraId="186590D9" w14:textId="77777777" w:rsidR="007947BF" w:rsidRPr="008463F3" w:rsidRDefault="007947BF" w:rsidP="007947BF">
      <w:pPr>
        <w:jc w:val="both"/>
        <w:rPr>
          <w:rFonts w:eastAsiaTheme="majorEastAsia" w:cstheme="majorBidi"/>
          <w:b/>
          <w:bCs/>
          <w:color w:val="4F81BD" w:themeColor="accent1"/>
          <w:sz w:val="26"/>
          <w:szCs w:val="26"/>
          <w:shd w:val="clear" w:color="auto" w:fill="FFFFFF"/>
          <w:lang w:val="en-GB"/>
        </w:rPr>
      </w:pPr>
      <w:r w:rsidRPr="008463F3">
        <w:rPr>
          <w:lang w:val="en-GB"/>
        </w:rPr>
        <w:t xml:space="preserve">European Seismic Engineering Research suffers from extreme fragmentation of research infrastructures (RI) between </w:t>
      </w:r>
      <w:r>
        <w:rPr>
          <w:lang w:val="en-GB"/>
        </w:rPr>
        <w:t>participating economies</w:t>
      </w:r>
      <w:r w:rsidRPr="008463F3">
        <w:rPr>
          <w:lang w:val="en-GB"/>
        </w:rPr>
        <w:t xml:space="preserve"> and limited access to them by the S&amp;T community of earthquake engineering, especially that of Europe's most seismic regions. SERIES project addressed these problems in a sustainable way via a 4-year programme of activities. The scope covered all aspects of seismic engineering testing, from eight Reaction Wall Pseudo dynamic (</w:t>
      </w:r>
      <w:proofErr w:type="spellStart"/>
      <w:r w:rsidRPr="008463F3">
        <w:rPr>
          <w:lang w:val="en-GB"/>
        </w:rPr>
        <w:t>PsD</w:t>
      </w:r>
      <w:proofErr w:type="spellEnd"/>
      <w:r w:rsidRPr="008463F3">
        <w:rPr>
          <w:lang w:val="en-GB"/>
        </w:rPr>
        <w:t xml:space="preserve">) facilities and ten Shake Table labs, to EU's unique Tester of Bearings or Isolators, its two major Centrifuges and an instrumented Site for wave propagation studies. Transnational Access was offered to a portfolio of world class RIs: EU's largest </w:t>
      </w:r>
      <w:proofErr w:type="spellStart"/>
      <w:r w:rsidRPr="008463F3">
        <w:rPr>
          <w:lang w:val="en-GB"/>
        </w:rPr>
        <w:t>PsD</w:t>
      </w:r>
      <w:proofErr w:type="spellEnd"/>
      <w:r w:rsidRPr="008463F3">
        <w:rPr>
          <w:lang w:val="en-GB"/>
        </w:rPr>
        <w:t xml:space="preserve"> facility, four diverse Shake Tables and the two Centrifuges. Networking set up a public distributed database of past, present and future test results, installed distributed testing capabilities at all </w:t>
      </w:r>
      <w:proofErr w:type="spellStart"/>
      <w:r w:rsidRPr="008463F3">
        <w:rPr>
          <w:lang w:val="en-GB"/>
        </w:rPr>
        <w:t>PsD</w:t>
      </w:r>
      <w:proofErr w:type="spellEnd"/>
      <w:r w:rsidRPr="008463F3">
        <w:rPr>
          <w:lang w:val="en-GB"/>
        </w:rPr>
        <w:t xml:space="preserve"> labs, fostering development of up-and-coming ones at Europe's most seismic regions, drafted and applied protocols for qualification of RIs and engaged the entire European community of earthquake engineering via the best possible instances: the European Association of Earthquake Engineering, EU's seismic code makers and their national groups, the European Construction Industry, as well as all relevant S&amp;T associations or networks. </w:t>
      </w:r>
      <w:bookmarkStart w:id="37" w:name="_Toc61096334"/>
      <w:r w:rsidRPr="008463F3">
        <w:rPr>
          <w:shd w:val="clear" w:color="auto" w:fill="FFFFFF"/>
          <w:lang w:val="en-GB"/>
        </w:rPr>
        <w:br w:type="page"/>
      </w:r>
    </w:p>
    <w:p w14:paraId="0B729DAA" w14:textId="77777777" w:rsidR="007947BF" w:rsidRPr="008463F3" w:rsidRDefault="007947BF" w:rsidP="007947BF">
      <w:pPr>
        <w:pStyle w:val="Heading2"/>
        <w:spacing w:after="240"/>
        <w:rPr>
          <w:rFonts w:asciiTheme="minorHAnsi" w:hAnsiTheme="minorHAnsi"/>
          <w:shd w:val="clear" w:color="auto" w:fill="FFFFFF"/>
          <w:lang w:val="en-GB"/>
        </w:rPr>
      </w:pPr>
      <w:bookmarkStart w:id="38" w:name="_Toc77322042"/>
      <w:r w:rsidRPr="008463F3">
        <w:rPr>
          <w:rFonts w:asciiTheme="minorHAnsi" w:hAnsiTheme="minorHAnsi"/>
          <w:shd w:val="clear" w:color="auto" w:fill="FFFFFF"/>
          <w:lang w:val="en-GB"/>
        </w:rPr>
        <w:t xml:space="preserve">4.5. </w:t>
      </w:r>
      <w:bookmarkEnd w:id="37"/>
      <w:r w:rsidRPr="008463F3">
        <w:rPr>
          <w:rFonts w:asciiTheme="minorHAnsi" w:hAnsiTheme="minorHAnsi"/>
          <w:shd w:val="clear" w:color="auto" w:fill="FFFFFF"/>
          <w:lang w:val="en-GB"/>
        </w:rPr>
        <w:t>Membership in ESFRI Roadmap and other Large European Research Infrastructures</w:t>
      </w:r>
      <w:bookmarkEnd w:id="38"/>
    </w:p>
    <w:p w14:paraId="47174B83" w14:textId="77777777" w:rsidR="007947BF" w:rsidRPr="008463F3" w:rsidRDefault="007947BF" w:rsidP="007947BF">
      <w:pPr>
        <w:jc w:val="both"/>
        <w:rPr>
          <w:lang w:val="en-GB"/>
        </w:rPr>
      </w:pPr>
      <w:r w:rsidRPr="008463F3">
        <w:rPr>
          <w:lang w:val="en-GB"/>
        </w:rPr>
        <w:t>In line with the low levels of public spending for R&amp;D over the last decade, the research community of North Macedonia has not had a distinctive presence among the global RIs. However, it is important to emphasi</w:t>
      </w:r>
      <w:r>
        <w:rPr>
          <w:lang w:val="en-GB"/>
        </w:rPr>
        <w:t>s</w:t>
      </w:r>
      <w:r w:rsidRPr="008463F3">
        <w:rPr>
          <w:lang w:val="en-GB"/>
        </w:rPr>
        <w:t>e that despite unfavourable general conditions, institutions from North Macedonia are full or associated members of several large research infrastructures in Europe.</w:t>
      </w:r>
    </w:p>
    <w:p w14:paraId="63B8C8BD" w14:textId="77777777" w:rsidR="007947BF" w:rsidRPr="008463F3" w:rsidRDefault="007947BF" w:rsidP="007947BF">
      <w:pPr>
        <w:jc w:val="both"/>
        <w:rPr>
          <w:lang w:val="en-GB"/>
        </w:rPr>
      </w:pPr>
      <w:r w:rsidRPr="008463F3">
        <w:rPr>
          <w:lang w:val="en-GB"/>
        </w:rPr>
        <w:t>North Macedonia is a member of the ESFRI. Currently, North Macedonia participates in one ESFRI develop</w:t>
      </w:r>
      <w:r>
        <w:rPr>
          <w:lang w:val="en-GB"/>
        </w:rPr>
        <w:t>ment of</w:t>
      </w:r>
      <w:r w:rsidRPr="008463F3">
        <w:rPr>
          <w:lang w:val="en-GB"/>
        </w:rPr>
        <w:t xml:space="preserve"> research infrastructure project - METROFOOD-RI Infrastructure for Promoting Metrology in Food and Nutrition. More information on this project is provided below.</w:t>
      </w:r>
    </w:p>
    <w:p w14:paraId="42F9E6EF" w14:textId="77777777" w:rsidR="007947BF" w:rsidRPr="008463F3" w:rsidRDefault="007947BF" w:rsidP="007947BF">
      <w:pPr>
        <w:pStyle w:val="Heading3"/>
        <w:rPr>
          <w:rFonts w:asciiTheme="minorHAnsi" w:hAnsiTheme="minorHAnsi"/>
          <w:lang w:val="en-GB"/>
        </w:rPr>
      </w:pPr>
      <w:bookmarkStart w:id="39" w:name="_Toc77322043"/>
      <w:r w:rsidRPr="008463F3">
        <w:rPr>
          <w:rFonts w:asciiTheme="minorHAnsi" w:hAnsiTheme="minorHAnsi"/>
          <w:lang w:val="en-GB"/>
        </w:rPr>
        <w:t>METROFOOD-RI Infrastructure for Promoting Metrology in Food and Nutrition</w:t>
      </w:r>
      <w:bookmarkEnd w:id="39"/>
    </w:p>
    <w:p w14:paraId="081D245D" w14:textId="77777777" w:rsidR="007947BF" w:rsidRPr="008463F3" w:rsidRDefault="007947BF" w:rsidP="007947BF">
      <w:pPr>
        <w:pStyle w:val="ListParagraph"/>
        <w:numPr>
          <w:ilvl w:val="0"/>
          <w:numId w:val="15"/>
        </w:numPr>
        <w:rPr>
          <w:lang w:val="en-GB"/>
        </w:rPr>
      </w:pPr>
      <w:r w:rsidRPr="008463F3">
        <w:rPr>
          <w:b/>
          <w:lang w:val="en-GB"/>
        </w:rPr>
        <w:t>Funding Programmes:</w:t>
      </w:r>
      <w:r w:rsidRPr="008463F3">
        <w:rPr>
          <w:lang w:val="en-GB"/>
        </w:rPr>
        <w:t xml:space="preserve"> H2020</w:t>
      </w:r>
    </w:p>
    <w:p w14:paraId="6108A67A" w14:textId="77777777" w:rsidR="007947BF" w:rsidRPr="008463F3" w:rsidRDefault="007947BF" w:rsidP="007947BF">
      <w:pPr>
        <w:pStyle w:val="ListParagraph"/>
        <w:numPr>
          <w:ilvl w:val="0"/>
          <w:numId w:val="2"/>
        </w:numPr>
        <w:rPr>
          <w:lang w:val="en-GB"/>
        </w:rPr>
      </w:pPr>
      <w:r w:rsidRPr="008463F3">
        <w:rPr>
          <w:b/>
          <w:lang w:val="en-GB"/>
        </w:rPr>
        <w:t>Project partners from North Macedonia</w:t>
      </w:r>
      <w:r w:rsidRPr="008463F3">
        <w:rPr>
          <w:lang w:val="en-GB"/>
        </w:rPr>
        <w:t>: Institute of Public Health of the Republic of North Macedonia, Skopje (€ 100 762,50)</w:t>
      </w:r>
    </w:p>
    <w:p w14:paraId="23E773FC" w14:textId="77777777" w:rsidR="007947BF" w:rsidRPr="008463F3" w:rsidRDefault="007947BF" w:rsidP="007947BF">
      <w:pPr>
        <w:pStyle w:val="ListParagraph"/>
        <w:numPr>
          <w:ilvl w:val="0"/>
          <w:numId w:val="2"/>
        </w:numPr>
        <w:rPr>
          <w:lang w:val="en-GB"/>
        </w:rPr>
      </w:pPr>
      <w:r w:rsidRPr="008463F3">
        <w:rPr>
          <w:b/>
          <w:lang w:val="en-GB"/>
        </w:rPr>
        <w:t>Total number of partner organi</w:t>
      </w:r>
      <w:r>
        <w:rPr>
          <w:b/>
          <w:lang w:val="en-GB"/>
        </w:rPr>
        <w:t>s</w:t>
      </w:r>
      <w:r w:rsidRPr="008463F3">
        <w:rPr>
          <w:b/>
          <w:lang w:val="en-GB"/>
        </w:rPr>
        <w:t>ations</w:t>
      </w:r>
      <w:r w:rsidRPr="008463F3">
        <w:rPr>
          <w:lang w:val="en-GB"/>
        </w:rPr>
        <w:t>: 20</w:t>
      </w:r>
    </w:p>
    <w:p w14:paraId="01593FFA" w14:textId="77777777" w:rsidR="007947BF" w:rsidRPr="008463F3" w:rsidRDefault="007947BF" w:rsidP="007947BF">
      <w:pPr>
        <w:pStyle w:val="ListParagraph"/>
        <w:numPr>
          <w:ilvl w:val="0"/>
          <w:numId w:val="2"/>
        </w:numPr>
        <w:rPr>
          <w:lang w:val="en-GB"/>
        </w:rPr>
      </w:pPr>
      <w:r w:rsidRPr="008463F3">
        <w:rPr>
          <w:b/>
          <w:lang w:val="en-GB"/>
        </w:rPr>
        <w:t>Project implementation period</w:t>
      </w:r>
      <w:r w:rsidRPr="008463F3">
        <w:rPr>
          <w:lang w:val="en-GB"/>
        </w:rPr>
        <w:t>: 01/12/2019 - 31/05/2022</w:t>
      </w:r>
    </w:p>
    <w:p w14:paraId="57F7FA7D" w14:textId="77777777" w:rsidR="007947BF" w:rsidRPr="008463F3" w:rsidRDefault="007947BF" w:rsidP="007947BF">
      <w:pPr>
        <w:pStyle w:val="ListParagraph"/>
        <w:numPr>
          <w:ilvl w:val="0"/>
          <w:numId w:val="2"/>
        </w:numPr>
        <w:rPr>
          <w:lang w:val="en-GB"/>
        </w:rPr>
      </w:pPr>
      <w:r w:rsidRPr="008463F3">
        <w:rPr>
          <w:b/>
          <w:lang w:val="en-GB"/>
        </w:rPr>
        <w:t>Scientific domain</w:t>
      </w:r>
      <w:r w:rsidRPr="008463F3">
        <w:rPr>
          <w:lang w:val="en-GB"/>
        </w:rPr>
        <w:t>: Research Infrastructures</w:t>
      </w:r>
    </w:p>
    <w:p w14:paraId="5F516EBE" w14:textId="77777777" w:rsidR="007947BF" w:rsidRPr="008463F3" w:rsidRDefault="007947BF" w:rsidP="007947BF">
      <w:pPr>
        <w:jc w:val="both"/>
        <w:rPr>
          <w:lang w:val="en-GB"/>
        </w:rPr>
      </w:pPr>
      <w:r w:rsidRPr="008463F3">
        <w:rPr>
          <w:lang w:val="en-GB"/>
        </w:rPr>
        <w:t xml:space="preserve">METROFOOD-RI Infrastructure for Promoting Metrology in Food and Nutrition is a pan-European Research Infrastructure aimed to promote scientific excellence in the field of food quality and safety. It provides high-quality metrology services in food and nutrition, comprising an important cross-section of highly interdisciplinary and interconnected fields throughout the food value chain, including </w:t>
      </w:r>
      <w:proofErr w:type="spellStart"/>
      <w:r w:rsidRPr="008463F3">
        <w:rPr>
          <w:lang w:val="en-GB"/>
        </w:rPr>
        <w:t>agrifood</w:t>
      </w:r>
      <w:proofErr w:type="spellEnd"/>
      <w:r w:rsidRPr="008463F3">
        <w:rPr>
          <w:lang w:val="en-GB"/>
        </w:rPr>
        <w:t>, sustainable development, food safety, quality, traceability and authenticity, environmental safety, and human health. The METROFOOD-RI has been selected to the ESFRI Roadmap2018 as mature enough to be implemented within the next ten years. The Action is aimed to support METROFOOD-RI to grow from its current status (research-based network of facilities and skills) to a mature, centrally-coordinated, integrated RI, with the legal, financial and technical maturity required for implementing it. The main objective is to develop the organi</w:t>
      </w:r>
      <w:r>
        <w:rPr>
          <w:lang w:val="en-GB"/>
        </w:rPr>
        <w:t>s</w:t>
      </w:r>
      <w:r w:rsidRPr="008463F3">
        <w:rPr>
          <w:lang w:val="en-GB"/>
        </w:rPr>
        <w:t>ational, operational and strategic framework of METROFOOD-RI. Activities include legal, governance, financial, technical, strategic and administrative aspects carried out in 15 work packages, organised in 3 blocks dedicated respectively to: the organisation of the legal entity that will manage the future RI, i.e. ERIC; defin</w:t>
      </w:r>
      <w:r>
        <w:rPr>
          <w:lang w:val="en-GB"/>
        </w:rPr>
        <w:t>ing</w:t>
      </w:r>
      <w:r w:rsidRPr="008463F3">
        <w:rPr>
          <w:lang w:val="en-GB"/>
        </w:rPr>
        <w:t xml:space="preserve"> the operation and operational standards at the level of the whole RI and for the National Nodes, as well as the role of the RI as service-oriented organisation; defin</w:t>
      </w:r>
      <w:r>
        <w:rPr>
          <w:lang w:val="en-GB"/>
        </w:rPr>
        <w:t>ing</w:t>
      </w:r>
      <w:r w:rsidRPr="008463F3">
        <w:rPr>
          <w:lang w:val="en-GB"/>
        </w:rPr>
        <w:t xml:space="preserve"> the long</w:t>
      </w:r>
      <w:r>
        <w:rPr>
          <w:lang w:val="en-GB"/>
        </w:rPr>
        <w:t>-</w:t>
      </w:r>
      <w:r w:rsidRPr="008463F3">
        <w:rPr>
          <w:lang w:val="en-GB"/>
        </w:rPr>
        <w:t>term activities for the future RI and updat</w:t>
      </w:r>
      <w:r>
        <w:rPr>
          <w:lang w:val="en-GB"/>
        </w:rPr>
        <w:t>ing</w:t>
      </w:r>
      <w:r w:rsidRPr="008463F3">
        <w:rPr>
          <w:lang w:val="en-GB"/>
        </w:rPr>
        <w:t xml:space="preserve"> the Strategic Research &amp; Innovation Agenda, in response to the actual and future challenges in the </w:t>
      </w:r>
      <w:proofErr w:type="spellStart"/>
      <w:r w:rsidRPr="008463F3">
        <w:rPr>
          <w:lang w:val="en-GB"/>
        </w:rPr>
        <w:t>agrifood</w:t>
      </w:r>
      <w:proofErr w:type="spellEnd"/>
      <w:r w:rsidRPr="008463F3">
        <w:rPr>
          <w:lang w:val="en-GB"/>
        </w:rPr>
        <w:t xml:space="preserve"> sector and for the </w:t>
      </w:r>
      <w:r>
        <w:rPr>
          <w:lang w:val="en-GB"/>
        </w:rPr>
        <w:t>s</w:t>
      </w:r>
      <w:r w:rsidRPr="008463F3">
        <w:rPr>
          <w:lang w:val="en-GB"/>
        </w:rPr>
        <w:t>ociety. The main outcome will be the establishment of legal and financial commitment for the future ERIC, ensuring long-term common commitment, decision-making and funding engagement. Continuous relations with stakeholders and the user community will be kept in order to ensure the addressing of their needs at the best, and to focus strategies and planned services</w:t>
      </w:r>
      <w:r>
        <w:rPr>
          <w:lang w:val="en-GB"/>
        </w:rPr>
        <w:t>.</w:t>
      </w:r>
    </w:p>
    <w:p w14:paraId="52125274" w14:textId="77777777" w:rsidR="007947BF" w:rsidRPr="008463F3" w:rsidRDefault="007947BF" w:rsidP="007947BF">
      <w:pPr>
        <w:spacing w:after="0"/>
        <w:jc w:val="both"/>
        <w:rPr>
          <w:lang w:val="en-GB"/>
        </w:rPr>
      </w:pPr>
      <w:r w:rsidRPr="008463F3">
        <w:rPr>
          <w:lang w:val="en-GB"/>
        </w:rPr>
        <w:t xml:space="preserve">North Macedonia participates in the operations of several Large European RIs that are not included in the ESFRI Roadmap but </w:t>
      </w:r>
      <w:r>
        <w:rPr>
          <w:lang w:val="en-GB"/>
        </w:rPr>
        <w:t>are</w:t>
      </w:r>
      <w:r w:rsidRPr="008463F3">
        <w:rPr>
          <w:lang w:val="en-GB"/>
        </w:rPr>
        <w:t xml:space="preserve"> </w:t>
      </w:r>
      <w:r>
        <w:rPr>
          <w:lang w:val="en-GB"/>
        </w:rPr>
        <w:t xml:space="preserve">very much </w:t>
      </w:r>
      <w:r w:rsidRPr="008463F3">
        <w:rPr>
          <w:lang w:val="en-GB"/>
        </w:rPr>
        <w:t>importan</w:t>
      </w:r>
      <w:r>
        <w:rPr>
          <w:lang w:val="en-GB"/>
        </w:rPr>
        <w:t>t</w:t>
      </w:r>
      <w:r w:rsidRPr="008463F3">
        <w:rPr>
          <w:lang w:val="en-GB"/>
        </w:rPr>
        <w:t xml:space="preserve"> for the development of European and regional research infrastructure:</w:t>
      </w:r>
    </w:p>
    <w:p w14:paraId="23F20768" w14:textId="77777777" w:rsidR="007947BF" w:rsidRPr="008463F3" w:rsidRDefault="007947BF" w:rsidP="007947BF">
      <w:pPr>
        <w:pStyle w:val="ListParagraph"/>
        <w:numPr>
          <w:ilvl w:val="0"/>
          <w:numId w:val="19"/>
        </w:numPr>
        <w:rPr>
          <w:lang w:val="en-GB"/>
        </w:rPr>
      </w:pPr>
      <w:r w:rsidRPr="008463F3">
        <w:rPr>
          <w:lang w:val="en-GB"/>
        </w:rPr>
        <w:t>GEANT Pan-European Network</w:t>
      </w:r>
    </w:p>
    <w:p w14:paraId="1712DD67" w14:textId="77777777" w:rsidR="007947BF" w:rsidRPr="008463F3" w:rsidRDefault="007947BF" w:rsidP="007947BF">
      <w:pPr>
        <w:pStyle w:val="ListParagraph"/>
        <w:numPr>
          <w:ilvl w:val="0"/>
          <w:numId w:val="19"/>
        </w:numPr>
        <w:rPr>
          <w:lang w:val="en-GB"/>
        </w:rPr>
      </w:pPr>
      <w:r w:rsidRPr="008463F3">
        <w:rPr>
          <w:lang w:val="en-GB"/>
        </w:rPr>
        <w:t>EOSC Association – European Open Science Cloud</w:t>
      </w:r>
    </w:p>
    <w:p w14:paraId="49C469DF" w14:textId="77777777" w:rsidR="007947BF" w:rsidRPr="008463F3" w:rsidRDefault="007947BF" w:rsidP="007947BF">
      <w:pPr>
        <w:pStyle w:val="ListParagraph"/>
        <w:numPr>
          <w:ilvl w:val="0"/>
          <w:numId w:val="19"/>
        </w:numPr>
        <w:rPr>
          <w:lang w:val="en-GB"/>
        </w:rPr>
      </w:pPr>
      <w:r w:rsidRPr="008463F3">
        <w:rPr>
          <w:lang w:val="en-GB"/>
        </w:rPr>
        <w:t>CEESDA</w:t>
      </w:r>
    </w:p>
    <w:p w14:paraId="0F1E655C" w14:textId="77777777" w:rsidR="007947BF" w:rsidRPr="008463F3" w:rsidRDefault="007947BF" w:rsidP="007947BF">
      <w:pPr>
        <w:pStyle w:val="ListParagraph"/>
        <w:numPr>
          <w:ilvl w:val="0"/>
          <w:numId w:val="19"/>
        </w:numPr>
        <w:rPr>
          <w:lang w:val="en-GB"/>
        </w:rPr>
      </w:pPr>
      <w:r w:rsidRPr="008463F3">
        <w:rPr>
          <w:lang w:val="en-GB"/>
        </w:rPr>
        <w:t>EGI: Advanced computing for research</w:t>
      </w:r>
    </w:p>
    <w:p w14:paraId="1C2329A1" w14:textId="77777777" w:rsidR="007947BF" w:rsidRPr="008463F3" w:rsidRDefault="007947BF" w:rsidP="007947BF">
      <w:pPr>
        <w:pStyle w:val="ListParagraph"/>
        <w:numPr>
          <w:ilvl w:val="0"/>
          <w:numId w:val="19"/>
        </w:numPr>
        <w:rPr>
          <w:lang w:val="en-GB"/>
        </w:rPr>
      </w:pPr>
      <w:proofErr w:type="spellStart"/>
      <w:r w:rsidRPr="008463F3">
        <w:rPr>
          <w:lang w:val="en-GB"/>
        </w:rPr>
        <w:t>OpenAIRE</w:t>
      </w:r>
      <w:proofErr w:type="spellEnd"/>
      <w:r w:rsidRPr="008463F3">
        <w:rPr>
          <w:lang w:val="en-GB"/>
        </w:rPr>
        <w:t xml:space="preserve"> AMKE</w:t>
      </w:r>
    </w:p>
    <w:p w14:paraId="0C00C99A" w14:textId="77777777" w:rsidR="007947BF" w:rsidRPr="008463F3" w:rsidRDefault="007947BF" w:rsidP="007947BF">
      <w:pPr>
        <w:pStyle w:val="ListParagraph"/>
        <w:numPr>
          <w:ilvl w:val="0"/>
          <w:numId w:val="19"/>
        </w:numPr>
        <w:rPr>
          <w:lang w:val="en-GB"/>
        </w:rPr>
      </w:pPr>
      <w:proofErr w:type="spellStart"/>
      <w:r w:rsidRPr="008463F3">
        <w:rPr>
          <w:lang w:val="en-GB"/>
        </w:rPr>
        <w:t>EuroHPC</w:t>
      </w:r>
      <w:proofErr w:type="spellEnd"/>
      <w:r w:rsidRPr="008463F3">
        <w:rPr>
          <w:lang w:val="en-GB"/>
        </w:rPr>
        <w:t xml:space="preserve"> JU</w:t>
      </w:r>
    </w:p>
    <w:p w14:paraId="1542D0B2" w14:textId="77777777" w:rsidR="007947BF" w:rsidRPr="008463F3" w:rsidRDefault="007947BF" w:rsidP="007947BF">
      <w:pPr>
        <w:pStyle w:val="ListParagraph"/>
        <w:numPr>
          <w:ilvl w:val="0"/>
          <w:numId w:val="19"/>
        </w:numPr>
        <w:rPr>
          <w:lang w:val="en-GB"/>
        </w:rPr>
      </w:pPr>
      <w:r w:rsidRPr="008463F3">
        <w:rPr>
          <w:lang w:val="en-GB"/>
        </w:rPr>
        <w:t>ESS - European Social Survey</w:t>
      </w:r>
    </w:p>
    <w:p w14:paraId="3F4CF589" w14:textId="77777777" w:rsidR="007947BF" w:rsidRPr="008463F3" w:rsidRDefault="007947BF" w:rsidP="007947BF">
      <w:pPr>
        <w:pStyle w:val="ListParagraph"/>
        <w:numPr>
          <w:ilvl w:val="0"/>
          <w:numId w:val="19"/>
        </w:numPr>
        <w:rPr>
          <w:lang w:val="en-GB"/>
        </w:rPr>
      </w:pPr>
      <w:r w:rsidRPr="008463F3">
        <w:rPr>
          <w:lang w:val="en-GB"/>
        </w:rPr>
        <w:t>SEEIST</w:t>
      </w:r>
    </w:p>
    <w:p w14:paraId="06745D71" w14:textId="77777777" w:rsidR="007947BF" w:rsidRPr="008463F3" w:rsidRDefault="007947BF" w:rsidP="007947BF">
      <w:pPr>
        <w:jc w:val="both"/>
        <w:rPr>
          <w:lang w:val="en-GB"/>
        </w:rPr>
      </w:pPr>
      <w:r w:rsidRPr="008463F3">
        <w:rPr>
          <w:lang w:val="en-GB"/>
        </w:rPr>
        <w:t>More information of each Large RI is provided below.</w:t>
      </w:r>
    </w:p>
    <w:p w14:paraId="39317545" w14:textId="77777777" w:rsidR="007947BF" w:rsidRPr="008463F3" w:rsidRDefault="007947BF" w:rsidP="007947BF">
      <w:pPr>
        <w:pStyle w:val="Heading3"/>
        <w:rPr>
          <w:rFonts w:asciiTheme="minorHAnsi" w:hAnsiTheme="minorHAnsi"/>
          <w:lang w:val="en-GB"/>
        </w:rPr>
      </w:pPr>
      <w:bookmarkStart w:id="40" w:name="_Toc77322044"/>
      <w:r w:rsidRPr="008463F3">
        <w:rPr>
          <w:rFonts w:asciiTheme="minorHAnsi" w:hAnsiTheme="minorHAnsi"/>
          <w:lang w:val="en-GB"/>
        </w:rPr>
        <w:t>GEANT Pan-European Network</w:t>
      </w:r>
      <w:bookmarkEnd w:id="40"/>
      <w:r w:rsidRPr="008463F3">
        <w:rPr>
          <w:rFonts w:asciiTheme="minorHAnsi" w:hAnsiTheme="minorHAnsi"/>
          <w:lang w:val="en-GB"/>
        </w:rPr>
        <w:t xml:space="preserve"> </w:t>
      </w:r>
    </w:p>
    <w:p w14:paraId="396C9AE7" w14:textId="77777777" w:rsidR="007947BF" w:rsidRPr="008463F3" w:rsidRDefault="007947BF" w:rsidP="007947BF">
      <w:pPr>
        <w:jc w:val="both"/>
        <w:rPr>
          <w:lang w:val="en-GB"/>
        </w:rPr>
      </w:pPr>
      <w:r w:rsidRPr="008463F3">
        <w:rPr>
          <w:lang w:val="en-GB"/>
        </w:rPr>
        <w:t xml:space="preserve">The Macedonian </w:t>
      </w:r>
      <w:r>
        <w:rPr>
          <w:lang w:val="en-GB"/>
        </w:rPr>
        <w:t>A</w:t>
      </w:r>
      <w:r w:rsidRPr="008463F3">
        <w:rPr>
          <w:lang w:val="en-GB"/>
        </w:rPr>
        <w:t xml:space="preserve">cademic </w:t>
      </w:r>
      <w:r>
        <w:rPr>
          <w:lang w:val="en-GB"/>
        </w:rPr>
        <w:t>R</w:t>
      </w:r>
      <w:r w:rsidRPr="008463F3">
        <w:rPr>
          <w:lang w:val="en-GB"/>
        </w:rPr>
        <w:t xml:space="preserve">esearch </w:t>
      </w:r>
      <w:r>
        <w:rPr>
          <w:lang w:val="en-GB"/>
        </w:rPr>
        <w:t>N</w:t>
      </w:r>
      <w:r w:rsidRPr="008463F3">
        <w:rPr>
          <w:lang w:val="en-GB"/>
        </w:rPr>
        <w:t>etwork (</w:t>
      </w:r>
      <w:proofErr w:type="spellStart"/>
      <w:r w:rsidRPr="008463F3">
        <w:rPr>
          <w:lang w:val="en-GB"/>
        </w:rPr>
        <w:t>MARNet</w:t>
      </w:r>
      <w:proofErr w:type="spellEnd"/>
      <w:r w:rsidRPr="008463F3">
        <w:rPr>
          <w:lang w:val="en-GB"/>
        </w:rPr>
        <w:t>) is a member of GEANT.</w:t>
      </w:r>
    </w:p>
    <w:p w14:paraId="167F6AA9" w14:textId="77777777" w:rsidR="007947BF" w:rsidRPr="008463F3" w:rsidRDefault="007947BF" w:rsidP="007947BF">
      <w:pPr>
        <w:jc w:val="both"/>
        <w:rPr>
          <w:lang w:val="en-GB"/>
        </w:rPr>
      </w:pPr>
      <w:r w:rsidRPr="008463F3">
        <w:rPr>
          <w:lang w:val="en-GB"/>
        </w:rPr>
        <w:t xml:space="preserve">GEANT is the high bandwidth pan-European research and education backbone that interconnects 42 National Research and Education Networks (NRENs), reaching over 50 million users in 10,000 institutions across Europe, and more than 100 </w:t>
      </w:r>
      <w:r>
        <w:rPr>
          <w:lang w:val="en-GB"/>
        </w:rPr>
        <w:t>economies</w:t>
      </w:r>
      <w:r w:rsidRPr="008463F3">
        <w:rPr>
          <w:lang w:val="en-GB"/>
        </w:rPr>
        <w:t xml:space="preserve"> worldwide through links with other regions. The core backbone is capable of multiple 100 Gbps transmission over each fibre link, and Terabit connectivity can be achieved by a single node. The safe and rapid connection of users to each other, to the increasing amounts of data generated by research, and to the high-performance computing capacity required by collaborative research form the foundation of the GÉANT partnership. GÉANT services offer convenient, fast and reliable access to European High Performance Computing facilities, cloud services for the research and education community, access to scientific data and publications and other services from the European e-infrastructure providers, whenever and wherever needed.</w:t>
      </w:r>
    </w:p>
    <w:p w14:paraId="312B8799" w14:textId="77777777" w:rsidR="007947BF" w:rsidRPr="008463F3" w:rsidRDefault="007947BF" w:rsidP="007947BF">
      <w:pPr>
        <w:pStyle w:val="Heading3"/>
        <w:rPr>
          <w:rFonts w:asciiTheme="minorHAnsi" w:hAnsiTheme="minorHAnsi"/>
          <w:lang w:val="en-GB"/>
        </w:rPr>
      </w:pPr>
      <w:bookmarkStart w:id="41" w:name="_Toc77322045"/>
      <w:r w:rsidRPr="008463F3">
        <w:rPr>
          <w:rFonts w:asciiTheme="minorHAnsi" w:hAnsiTheme="minorHAnsi"/>
          <w:lang w:val="en-GB"/>
        </w:rPr>
        <w:t>EOSC Association – European Open Science Cloud</w:t>
      </w:r>
      <w:bookmarkEnd w:id="41"/>
    </w:p>
    <w:p w14:paraId="6DFDC6E1" w14:textId="77777777" w:rsidR="007947BF" w:rsidRPr="008463F3" w:rsidRDefault="007947BF" w:rsidP="007947BF">
      <w:pPr>
        <w:jc w:val="both"/>
        <w:rPr>
          <w:lang w:val="en-GB"/>
        </w:rPr>
      </w:pPr>
      <w:r w:rsidRPr="008463F3">
        <w:rPr>
          <w:lang w:val="en-GB"/>
        </w:rPr>
        <w:t>The member of EOSC Association from North Macedonia is Faculty of Computer Science and Engineering, Ss Cyril and Methodius University in Skopje.</w:t>
      </w:r>
    </w:p>
    <w:p w14:paraId="3BC39ED3" w14:textId="77777777" w:rsidR="007947BF" w:rsidRPr="008463F3" w:rsidRDefault="007947BF" w:rsidP="007947BF">
      <w:pPr>
        <w:jc w:val="both"/>
        <w:rPr>
          <w:lang w:val="en-GB"/>
        </w:rPr>
      </w:pPr>
      <w:r w:rsidRPr="008463F3">
        <w:rPr>
          <w:lang w:val="en-GB"/>
        </w:rPr>
        <w:t xml:space="preserve">The EOSC Association was established as a legal entity on 29th July 2020 with four founding members: GÉANT, Conference of European Schools for Advanced Engineering Education and Research (CESAER), </w:t>
      </w:r>
      <w:r>
        <w:rPr>
          <w:lang w:val="en-GB"/>
        </w:rPr>
        <w:t>t</w:t>
      </w:r>
      <w:r w:rsidRPr="008463F3">
        <w:rPr>
          <w:lang w:val="en-GB"/>
        </w:rPr>
        <w:t>he Spanish National Research Council (CSIC) and the Italian National Computer Network for Universities and Research (GARR). The Association will sign a Memorandum of Understanding with the European Commission to progress the EOSC partnership, which will bring together all relevant stakeholders to co-design and deploy a</w:t>
      </w:r>
      <w:r>
        <w:rPr>
          <w:lang w:val="en-GB"/>
        </w:rPr>
        <w:t>n</w:t>
      </w:r>
      <w:r w:rsidRPr="008463F3">
        <w:rPr>
          <w:lang w:val="en-GB"/>
        </w:rPr>
        <w:t xml:space="preserve"> European Research Data Commons where data are findable, accessible, interoperable and reusable (FAIR), and also as open as possible.</w:t>
      </w:r>
    </w:p>
    <w:p w14:paraId="5AB0CC82" w14:textId="77777777" w:rsidR="007947BF" w:rsidRPr="008463F3" w:rsidRDefault="007947BF" w:rsidP="007947BF">
      <w:pPr>
        <w:jc w:val="both"/>
        <w:rPr>
          <w:lang w:val="en-GB"/>
        </w:rPr>
      </w:pPr>
      <w:r w:rsidRPr="008463F3">
        <w:rPr>
          <w:lang w:val="en-GB"/>
        </w:rPr>
        <w:t>The European Open Science Cloud (EOSC) initiative will offer researchers a virtual environment with open and seamless services for storage, management, analysis and re-use of research data, across borders</w:t>
      </w:r>
      <w:r>
        <w:rPr>
          <w:lang w:val="en-GB"/>
        </w:rPr>
        <w:t>/boundaries</w:t>
      </w:r>
      <w:r w:rsidRPr="008463F3">
        <w:rPr>
          <w:lang w:val="en-GB"/>
        </w:rPr>
        <w:t xml:space="preserve"> and scientific disciplines by federating existing data infrastructures.</w:t>
      </w:r>
    </w:p>
    <w:p w14:paraId="4BA2787C" w14:textId="77777777" w:rsidR="007947BF" w:rsidRPr="008463F3" w:rsidRDefault="007947BF" w:rsidP="007947BF">
      <w:pPr>
        <w:jc w:val="both"/>
        <w:rPr>
          <w:lang w:val="en-GB"/>
        </w:rPr>
      </w:pPr>
      <w:r w:rsidRPr="008463F3">
        <w:rPr>
          <w:lang w:val="en-GB"/>
        </w:rPr>
        <w:t>EOSC is being co-created in a series of funded projects and initiatives from Member States and Associated Countries.</w:t>
      </w:r>
    </w:p>
    <w:p w14:paraId="32F4FE0C" w14:textId="77777777" w:rsidR="007947BF" w:rsidRPr="008463F3" w:rsidRDefault="007947BF" w:rsidP="007947BF">
      <w:pPr>
        <w:pStyle w:val="Heading3"/>
        <w:rPr>
          <w:rFonts w:asciiTheme="minorHAnsi" w:hAnsiTheme="minorHAnsi"/>
          <w:lang w:val="en-GB"/>
        </w:rPr>
      </w:pPr>
      <w:bookmarkStart w:id="42" w:name="_Toc77322046"/>
      <w:r w:rsidRPr="008463F3">
        <w:rPr>
          <w:rFonts w:asciiTheme="minorHAnsi" w:hAnsiTheme="minorHAnsi"/>
          <w:lang w:val="en-GB"/>
        </w:rPr>
        <w:t>CEESDA</w:t>
      </w:r>
      <w:bookmarkEnd w:id="42"/>
      <w:r w:rsidRPr="008463F3">
        <w:rPr>
          <w:rFonts w:asciiTheme="minorHAnsi" w:hAnsiTheme="minorHAnsi"/>
          <w:lang w:val="en-GB"/>
        </w:rPr>
        <w:t xml:space="preserve"> </w:t>
      </w:r>
    </w:p>
    <w:p w14:paraId="7BC2D365" w14:textId="77777777" w:rsidR="007947BF" w:rsidRPr="008463F3" w:rsidRDefault="007947BF" w:rsidP="007947BF">
      <w:pPr>
        <w:jc w:val="both"/>
        <w:rPr>
          <w:lang w:val="en-GB"/>
        </w:rPr>
      </w:pPr>
      <w:r w:rsidRPr="008463F3">
        <w:rPr>
          <w:lang w:val="en-GB"/>
        </w:rPr>
        <w:t>The member of CEESDA from North Macedonia is the Macedonian Social Science Data Archive (MK DASS). The MK DASS is an organi</w:t>
      </w:r>
      <w:r>
        <w:rPr>
          <w:lang w:val="en-GB"/>
        </w:rPr>
        <w:t>s</w:t>
      </w:r>
      <w:r w:rsidRPr="008463F3">
        <w:rPr>
          <w:lang w:val="en-GB"/>
        </w:rPr>
        <w:t xml:space="preserve">ational unit of Institute for </w:t>
      </w:r>
      <w:r>
        <w:rPr>
          <w:lang w:val="en-GB"/>
        </w:rPr>
        <w:t>S</w:t>
      </w:r>
      <w:r w:rsidRPr="008463F3">
        <w:rPr>
          <w:lang w:val="en-GB"/>
        </w:rPr>
        <w:t xml:space="preserve">ociological, </w:t>
      </w:r>
      <w:r>
        <w:rPr>
          <w:lang w:val="en-GB"/>
        </w:rPr>
        <w:t>P</w:t>
      </w:r>
      <w:r w:rsidRPr="008463F3">
        <w:rPr>
          <w:lang w:val="en-GB"/>
        </w:rPr>
        <w:t xml:space="preserve">olitical and </w:t>
      </w:r>
      <w:r>
        <w:rPr>
          <w:lang w:val="en-GB"/>
        </w:rPr>
        <w:t>J</w:t>
      </w:r>
      <w:r w:rsidRPr="008463F3">
        <w:rPr>
          <w:lang w:val="en-GB"/>
        </w:rPr>
        <w:t xml:space="preserve">uridical </w:t>
      </w:r>
      <w:r>
        <w:rPr>
          <w:lang w:val="en-GB"/>
        </w:rPr>
        <w:t>R</w:t>
      </w:r>
      <w:r w:rsidRPr="008463F3">
        <w:rPr>
          <w:lang w:val="en-GB"/>
        </w:rPr>
        <w:t xml:space="preserve">esearch (ISPJR) of Ss. Cyril and Methodius University in Skopje. </w:t>
      </w:r>
      <w:r>
        <w:rPr>
          <w:lang w:val="en-GB"/>
        </w:rPr>
        <w:t>It is</w:t>
      </w:r>
      <w:r w:rsidRPr="008463F3">
        <w:rPr>
          <w:lang w:val="en-GB"/>
        </w:rPr>
        <w:t xml:space="preserve"> a national service provider appointed by the Ministry of </w:t>
      </w:r>
      <w:r>
        <w:rPr>
          <w:lang w:val="en-GB"/>
        </w:rPr>
        <w:t>E</w:t>
      </w:r>
      <w:r w:rsidRPr="008463F3">
        <w:rPr>
          <w:lang w:val="en-GB"/>
        </w:rPr>
        <w:t xml:space="preserve">ducation and </w:t>
      </w:r>
      <w:r>
        <w:rPr>
          <w:lang w:val="en-GB"/>
        </w:rPr>
        <w:t>S</w:t>
      </w:r>
      <w:r w:rsidRPr="008463F3">
        <w:rPr>
          <w:lang w:val="en-GB"/>
        </w:rPr>
        <w:t>cience in April 2019.</w:t>
      </w:r>
    </w:p>
    <w:p w14:paraId="7C34BD01" w14:textId="77777777" w:rsidR="007947BF" w:rsidRPr="008463F3" w:rsidRDefault="007947BF" w:rsidP="007947BF">
      <w:pPr>
        <w:jc w:val="both"/>
        <w:rPr>
          <w:lang w:val="en-GB"/>
        </w:rPr>
      </w:pPr>
      <w:r w:rsidRPr="008463F3">
        <w:rPr>
          <w:lang w:val="en-GB"/>
        </w:rPr>
        <w:t>Consortium of European Social Science Data Archives (CESSDA) provides large-scale, integrated and sustainable data services to the social sciences. It brings together social science data archives across Europe, with the aim to promot</w:t>
      </w:r>
      <w:r>
        <w:rPr>
          <w:lang w:val="en-GB"/>
        </w:rPr>
        <w:t>e</w:t>
      </w:r>
      <w:r w:rsidRPr="008463F3">
        <w:rPr>
          <w:lang w:val="en-GB"/>
        </w:rPr>
        <w:t xml:space="preserve"> the results of social science research and supporting national and international research and cooperation. The CESSDA provides a seamless social science data archive service for the whole of the ERA, which is capable of supporting the research needs of the next generation of social scientists wherever in Europe they may be, or beyond. The CESSDA Consortium is currently composed of 21 member</w:t>
      </w:r>
      <w:r>
        <w:rPr>
          <w:lang w:val="en-GB"/>
        </w:rPr>
        <w:t>s</w:t>
      </w:r>
      <w:r w:rsidRPr="008463F3">
        <w:rPr>
          <w:lang w:val="en-GB"/>
        </w:rPr>
        <w:t xml:space="preserve"> and one observer. CESSDA also has partners in a number of </w:t>
      </w:r>
      <w:r>
        <w:rPr>
          <w:lang w:val="en-GB"/>
        </w:rPr>
        <w:t>economies</w:t>
      </w:r>
      <w:r w:rsidRPr="008463F3">
        <w:rPr>
          <w:lang w:val="en-GB"/>
        </w:rPr>
        <w:t xml:space="preserve"> outside of the consortium.</w:t>
      </w:r>
    </w:p>
    <w:p w14:paraId="0E43BE30" w14:textId="77777777" w:rsidR="007947BF" w:rsidRPr="008463F3" w:rsidRDefault="007947BF" w:rsidP="007947BF">
      <w:pPr>
        <w:spacing w:after="0"/>
        <w:jc w:val="both"/>
        <w:rPr>
          <w:lang w:val="en-GB"/>
        </w:rPr>
      </w:pPr>
      <w:r w:rsidRPr="008463F3">
        <w:rPr>
          <w:lang w:val="en-GB"/>
        </w:rPr>
        <w:t>Benefits of the CESSDA membership for the scientific community in North Macedonia are:</w:t>
      </w:r>
    </w:p>
    <w:p w14:paraId="57E3DD6D" w14:textId="77777777" w:rsidR="007947BF" w:rsidRPr="008463F3" w:rsidRDefault="007947BF" w:rsidP="007947BF">
      <w:pPr>
        <w:pStyle w:val="ListParagraph"/>
        <w:numPr>
          <w:ilvl w:val="0"/>
          <w:numId w:val="1"/>
        </w:numPr>
        <w:jc w:val="both"/>
        <w:rPr>
          <w:lang w:val="en-GB"/>
        </w:rPr>
      </w:pPr>
      <w:r w:rsidRPr="008463F3">
        <w:rPr>
          <w:lang w:val="en-GB"/>
        </w:rPr>
        <w:t>Access to the CESSDA data catalogue (21 000 studies in English language and 9000 in other languages from across Europe);</w:t>
      </w:r>
    </w:p>
    <w:p w14:paraId="5BB27BF5" w14:textId="77777777" w:rsidR="007947BF" w:rsidRPr="008463F3" w:rsidRDefault="007947BF" w:rsidP="007947BF">
      <w:pPr>
        <w:pStyle w:val="ListParagraph"/>
        <w:numPr>
          <w:ilvl w:val="0"/>
          <w:numId w:val="1"/>
        </w:numPr>
        <w:jc w:val="both"/>
        <w:rPr>
          <w:lang w:val="en-GB"/>
        </w:rPr>
      </w:pPr>
      <w:r w:rsidRPr="008463F3">
        <w:rPr>
          <w:lang w:val="en-GB"/>
        </w:rPr>
        <w:t>Participation in the CESSDA training activities;</w:t>
      </w:r>
    </w:p>
    <w:p w14:paraId="694A4C47" w14:textId="77777777" w:rsidR="007947BF" w:rsidRPr="008463F3" w:rsidRDefault="007947BF" w:rsidP="007947BF">
      <w:pPr>
        <w:pStyle w:val="ListParagraph"/>
        <w:numPr>
          <w:ilvl w:val="0"/>
          <w:numId w:val="1"/>
        </w:numPr>
        <w:jc w:val="both"/>
        <w:rPr>
          <w:lang w:val="en-GB"/>
        </w:rPr>
      </w:pPr>
      <w:r w:rsidRPr="008463F3">
        <w:rPr>
          <w:lang w:val="en-GB"/>
        </w:rPr>
        <w:t>Monitoring and implementation of international standards;</w:t>
      </w:r>
    </w:p>
    <w:p w14:paraId="625D3DAC" w14:textId="77777777" w:rsidR="007947BF" w:rsidRPr="008463F3" w:rsidRDefault="007947BF" w:rsidP="007947BF">
      <w:pPr>
        <w:pStyle w:val="ListParagraph"/>
        <w:numPr>
          <w:ilvl w:val="0"/>
          <w:numId w:val="1"/>
        </w:numPr>
        <w:jc w:val="both"/>
        <w:rPr>
          <w:lang w:val="en-GB"/>
        </w:rPr>
      </w:pPr>
      <w:r w:rsidRPr="008463F3">
        <w:rPr>
          <w:lang w:val="en-GB"/>
        </w:rPr>
        <w:t>Participation in international projects.</w:t>
      </w:r>
    </w:p>
    <w:p w14:paraId="2E13CF52" w14:textId="77777777" w:rsidR="007947BF" w:rsidRPr="008463F3" w:rsidRDefault="007947BF" w:rsidP="007947BF">
      <w:pPr>
        <w:pStyle w:val="Heading3"/>
        <w:rPr>
          <w:rFonts w:asciiTheme="minorHAnsi" w:hAnsiTheme="minorHAnsi"/>
          <w:lang w:val="en-GB"/>
        </w:rPr>
      </w:pPr>
      <w:bookmarkStart w:id="43" w:name="_Toc77322047"/>
      <w:r w:rsidRPr="008463F3">
        <w:rPr>
          <w:rFonts w:asciiTheme="minorHAnsi" w:hAnsiTheme="minorHAnsi"/>
          <w:lang w:val="en-GB"/>
        </w:rPr>
        <w:t>EGI: Advanced computing for research</w:t>
      </w:r>
      <w:bookmarkEnd w:id="43"/>
    </w:p>
    <w:p w14:paraId="49053C7A" w14:textId="77777777" w:rsidR="007947BF" w:rsidRPr="008463F3" w:rsidRDefault="007947BF" w:rsidP="007947BF">
      <w:pPr>
        <w:jc w:val="both"/>
        <w:rPr>
          <w:lang w:val="en-GB"/>
        </w:rPr>
      </w:pPr>
      <w:r w:rsidRPr="008463F3">
        <w:rPr>
          <w:lang w:val="en-GB"/>
        </w:rPr>
        <w:t xml:space="preserve">The member of the EGI from North Macedonia is Faculty of Computer Science and Engineering, Ss Cyril and Methodius </w:t>
      </w:r>
      <w:r>
        <w:rPr>
          <w:lang w:val="en-GB"/>
        </w:rPr>
        <w:t xml:space="preserve">University </w:t>
      </w:r>
      <w:r w:rsidRPr="008463F3">
        <w:rPr>
          <w:lang w:val="en-GB"/>
        </w:rPr>
        <w:t>in Skopje.</w:t>
      </w:r>
    </w:p>
    <w:p w14:paraId="68EDFD4B" w14:textId="77777777" w:rsidR="007947BF" w:rsidRPr="008463F3" w:rsidRDefault="007947BF" w:rsidP="007947BF">
      <w:pPr>
        <w:jc w:val="both"/>
        <w:rPr>
          <w:color w:val="FF0000"/>
          <w:lang w:val="en-GB"/>
        </w:rPr>
      </w:pPr>
      <w:r w:rsidRPr="008463F3">
        <w:rPr>
          <w:lang w:val="en-GB"/>
        </w:rPr>
        <w:t>The EGI Federation is an international e-Infrastructure set up to provide advanced computing and data analytics services for research and innovation. The EGI e-infrastructure is publicly-funded and comprises hundreds of data centres and cloud providers spread across Europe and worldwide. It delivers advanced computing services to support scientists, multinational projects and research infrastructures. The EGI Services are provided by EGI’s federated cloud providers and data centres. The services can be requested by everyone involved in academic research and businesses via the EGI Marketplace.</w:t>
      </w:r>
    </w:p>
    <w:p w14:paraId="0D1B1272" w14:textId="77777777" w:rsidR="007947BF" w:rsidRPr="008463F3" w:rsidRDefault="007947BF" w:rsidP="007947BF">
      <w:pPr>
        <w:pStyle w:val="Heading3"/>
        <w:rPr>
          <w:rFonts w:asciiTheme="minorHAnsi" w:hAnsiTheme="minorHAnsi"/>
          <w:lang w:val="en-GB"/>
        </w:rPr>
      </w:pPr>
      <w:bookmarkStart w:id="44" w:name="_Toc77322048"/>
      <w:proofErr w:type="spellStart"/>
      <w:r w:rsidRPr="008463F3">
        <w:rPr>
          <w:rFonts w:asciiTheme="minorHAnsi" w:hAnsiTheme="minorHAnsi"/>
          <w:lang w:val="en-GB"/>
        </w:rPr>
        <w:t>OpenAIRE</w:t>
      </w:r>
      <w:bookmarkEnd w:id="44"/>
      <w:proofErr w:type="spellEnd"/>
      <w:r w:rsidRPr="008463F3">
        <w:rPr>
          <w:rFonts w:asciiTheme="minorHAnsi" w:hAnsiTheme="minorHAnsi"/>
          <w:lang w:val="en-GB"/>
        </w:rPr>
        <w:t xml:space="preserve"> </w:t>
      </w:r>
    </w:p>
    <w:p w14:paraId="629F5DFA" w14:textId="77777777" w:rsidR="007947BF" w:rsidRPr="008463F3" w:rsidRDefault="007947BF" w:rsidP="007947BF">
      <w:pPr>
        <w:jc w:val="both"/>
        <w:rPr>
          <w:lang w:val="en-GB"/>
        </w:rPr>
      </w:pPr>
      <w:r w:rsidRPr="008463F3">
        <w:rPr>
          <w:lang w:val="en-GB"/>
        </w:rPr>
        <w:t xml:space="preserve">The member of the </w:t>
      </w:r>
      <w:proofErr w:type="spellStart"/>
      <w:r w:rsidRPr="008463F3">
        <w:rPr>
          <w:lang w:val="en-GB"/>
        </w:rPr>
        <w:t>OpenAIRE</w:t>
      </w:r>
      <w:proofErr w:type="spellEnd"/>
      <w:r w:rsidRPr="008463F3">
        <w:rPr>
          <w:lang w:val="en-GB"/>
        </w:rPr>
        <w:t xml:space="preserve"> from North Macedonia is Ss Cyril and Methodius University in Skopje.</w:t>
      </w:r>
    </w:p>
    <w:p w14:paraId="16E5335D" w14:textId="77777777" w:rsidR="007947BF" w:rsidRPr="008463F3" w:rsidRDefault="007947BF" w:rsidP="007947BF">
      <w:pPr>
        <w:jc w:val="both"/>
        <w:rPr>
          <w:lang w:val="en-GB"/>
        </w:rPr>
      </w:pPr>
      <w:proofErr w:type="spellStart"/>
      <w:r w:rsidRPr="008463F3">
        <w:rPr>
          <w:lang w:val="en-GB"/>
        </w:rPr>
        <w:t>OpenAIRE</w:t>
      </w:r>
      <w:proofErr w:type="spellEnd"/>
      <w:r w:rsidRPr="008463F3">
        <w:rPr>
          <w:lang w:val="en-GB"/>
        </w:rPr>
        <w:t xml:space="preserve"> has a large network in every member </w:t>
      </w:r>
      <w:r>
        <w:rPr>
          <w:lang w:val="en-GB"/>
        </w:rPr>
        <w:t>economy</w:t>
      </w:r>
      <w:r w:rsidRPr="008463F3">
        <w:rPr>
          <w:lang w:val="en-GB"/>
        </w:rPr>
        <w:t xml:space="preserve"> and beyond. It consists of Open Science experts in Higher Education Institutions, data centres, and infrastructure consortia wh</w:t>
      </w:r>
      <w:r>
        <w:rPr>
          <w:lang w:val="en-GB"/>
        </w:rPr>
        <w:t>ich provide</w:t>
      </w:r>
      <w:r w:rsidRPr="008463F3">
        <w:rPr>
          <w:lang w:val="en-GB"/>
        </w:rPr>
        <w:t xml:space="preserve"> regular training and advice at national level about all aspects of Open Science. </w:t>
      </w:r>
      <w:r>
        <w:rPr>
          <w:lang w:val="en-GB"/>
        </w:rPr>
        <w:t>It</w:t>
      </w:r>
      <w:r w:rsidRPr="008463F3">
        <w:rPr>
          <w:lang w:val="en-GB"/>
        </w:rPr>
        <w:t xml:space="preserve"> actively promote</w:t>
      </w:r>
      <w:r>
        <w:rPr>
          <w:lang w:val="en-GB"/>
        </w:rPr>
        <w:t>s</w:t>
      </w:r>
      <w:r w:rsidRPr="008463F3">
        <w:rPr>
          <w:lang w:val="en-GB"/>
        </w:rPr>
        <w:t xml:space="preserve"> the concept of Open Science and </w:t>
      </w:r>
      <w:proofErr w:type="spellStart"/>
      <w:r w:rsidRPr="008463F3">
        <w:rPr>
          <w:lang w:val="en-GB"/>
        </w:rPr>
        <w:t>support</w:t>
      </w:r>
      <w:r>
        <w:rPr>
          <w:lang w:val="en-GB"/>
        </w:rPr>
        <w:t>s</w:t>
      </w:r>
      <w:r w:rsidRPr="008463F3">
        <w:rPr>
          <w:lang w:val="en-GB"/>
        </w:rPr>
        <w:t>g</w:t>
      </w:r>
      <w:proofErr w:type="spellEnd"/>
      <w:r w:rsidRPr="008463F3">
        <w:rPr>
          <w:lang w:val="en-GB"/>
        </w:rPr>
        <w:t xml:space="preserve"> new ways of communicating science and embedding new workflows in daily practice. In 2018, </w:t>
      </w:r>
      <w:proofErr w:type="spellStart"/>
      <w:r w:rsidRPr="008463F3">
        <w:rPr>
          <w:lang w:val="en-GB"/>
        </w:rPr>
        <w:t>OpenAIRE</w:t>
      </w:r>
      <w:proofErr w:type="spellEnd"/>
      <w:r w:rsidRPr="008463F3">
        <w:rPr>
          <w:lang w:val="en-GB"/>
        </w:rPr>
        <w:t xml:space="preserve"> established a legal entity called </w:t>
      </w:r>
      <w:proofErr w:type="spellStart"/>
      <w:r w:rsidRPr="008463F3">
        <w:rPr>
          <w:lang w:val="en-GB"/>
        </w:rPr>
        <w:t>OpenAIRE</w:t>
      </w:r>
      <w:proofErr w:type="spellEnd"/>
      <w:r w:rsidRPr="008463F3">
        <w:rPr>
          <w:lang w:val="en-GB"/>
        </w:rPr>
        <w:t xml:space="preserve"> A.M.K.Ε. to ensure a permanent presence and structure for a European-wide national policy and open scholarly communication infrastructure.</w:t>
      </w:r>
    </w:p>
    <w:p w14:paraId="71F02DB4" w14:textId="77777777" w:rsidR="007947BF" w:rsidRPr="008463F3" w:rsidRDefault="007947BF" w:rsidP="007947BF">
      <w:pPr>
        <w:spacing w:after="0"/>
        <w:jc w:val="both"/>
        <w:rPr>
          <w:lang w:val="en-GB"/>
        </w:rPr>
      </w:pPr>
      <w:r w:rsidRPr="008463F3">
        <w:rPr>
          <w:lang w:val="en-GB"/>
        </w:rPr>
        <w:t>Services provided include the following:</w:t>
      </w:r>
    </w:p>
    <w:p w14:paraId="26165811" w14:textId="77777777" w:rsidR="007947BF" w:rsidRPr="008463F3" w:rsidRDefault="007947BF" w:rsidP="007947BF">
      <w:pPr>
        <w:pStyle w:val="ListParagraph"/>
        <w:numPr>
          <w:ilvl w:val="0"/>
          <w:numId w:val="1"/>
        </w:numPr>
        <w:jc w:val="both"/>
        <w:rPr>
          <w:b/>
          <w:lang w:val="en-GB"/>
        </w:rPr>
      </w:pPr>
      <w:r w:rsidRPr="008463F3">
        <w:rPr>
          <w:b/>
          <w:lang w:val="en-GB"/>
        </w:rPr>
        <w:t>Align</w:t>
      </w:r>
      <w:r>
        <w:rPr>
          <w:b/>
          <w:lang w:val="en-GB"/>
        </w:rPr>
        <w:t>ing</w:t>
      </w:r>
      <w:r w:rsidRPr="008463F3">
        <w:rPr>
          <w:b/>
          <w:lang w:val="en-GB"/>
        </w:rPr>
        <w:t xml:space="preserve"> policies: </w:t>
      </w:r>
      <w:proofErr w:type="spellStart"/>
      <w:r w:rsidRPr="008463F3">
        <w:rPr>
          <w:lang w:val="en-GB"/>
        </w:rPr>
        <w:t>OpenAIRE</w:t>
      </w:r>
      <w:proofErr w:type="spellEnd"/>
      <w:r w:rsidRPr="008463F3">
        <w:rPr>
          <w:lang w:val="en-GB"/>
        </w:rPr>
        <w:t xml:space="preserve"> AMKE fosters the open science dialogue for policies and their implementation in Europe and beyond. The network of 34 National Open Access Desks (NOADs) operates a</w:t>
      </w:r>
      <w:r>
        <w:rPr>
          <w:lang w:val="en-GB"/>
        </w:rPr>
        <w:t>n</w:t>
      </w:r>
      <w:r w:rsidRPr="008463F3">
        <w:rPr>
          <w:lang w:val="en-GB"/>
        </w:rPr>
        <w:t xml:space="preserve"> European Helpdesk supporting a coordinated transition to Open Science.</w:t>
      </w:r>
    </w:p>
    <w:p w14:paraId="423D3973" w14:textId="77777777" w:rsidR="007947BF" w:rsidRPr="008463F3" w:rsidRDefault="007947BF" w:rsidP="007947BF">
      <w:pPr>
        <w:pStyle w:val="ListParagraph"/>
        <w:numPr>
          <w:ilvl w:val="0"/>
          <w:numId w:val="1"/>
        </w:numPr>
        <w:jc w:val="both"/>
        <w:rPr>
          <w:lang w:val="en-GB"/>
        </w:rPr>
      </w:pPr>
      <w:r w:rsidRPr="008463F3">
        <w:rPr>
          <w:b/>
          <w:lang w:val="en-GB"/>
        </w:rPr>
        <w:t>Provid</w:t>
      </w:r>
      <w:r>
        <w:rPr>
          <w:b/>
          <w:lang w:val="en-GB"/>
        </w:rPr>
        <w:t>ing</w:t>
      </w:r>
      <w:r w:rsidRPr="008463F3">
        <w:rPr>
          <w:b/>
          <w:lang w:val="en-GB"/>
        </w:rPr>
        <w:t xml:space="preserve"> open science services</w:t>
      </w:r>
      <w:r w:rsidRPr="008463F3">
        <w:rPr>
          <w:lang w:val="en-GB"/>
        </w:rPr>
        <w:t xml:space="preserve">: </w:t>
      </w:r>
      <w:proofErr w:type="spellStart"/>
      <w:r w:rsidRPr="008463F3">
        <w:rPr>
          <w:lang w:val="en-GB"/>
        </w:rPr>
        <w:t>OpenAIRE</w:t>
      </w:r>
      <w:proofErr w:type="spellEnd"/>
      <w:r w:rsidRPr="008463F3">
        <w:rPr>
          <w:lang w:val="en-GB"/>
        </w:rPr>
        <w:t xml:space="preserve"> AMKE provides interoperability services that connect research and enable researchers, content providers, funders and research administrators to easily adopt open science.</w:t>
      </w:r>
    </w:p>
    <w:p w14:paraId="41D1D03C" w14:textId="77777777" w:rsidR="007947BF" w:rsidRPr="008463F3" w:rsidRDefault="007947BF" w:rsidP="007947BF">
      <w:pPr>
        <w:pStyle w:val="ListParagraph"/>
        <w:numPr>
          <w:ilvl w:val="0"/>
          <w:numId w:val="1"/>
        </w:numPr>
        <w:jc w:val="both"/>
        <w:rPr>
          <w:lang w:val="en-GB"/>
        </w:rPr>
      </w:pPr>
      <w:r w:rsidRPr="008463F3">
        <w:rPr>
          <w:b/>
          <w:lang w:val="en-GB"/>
        </w:rPr>
        <w:t>Building global common standards for linking research</w:t>
      </w:r>
      <w:r w:rsidRPr="008463F3">
        <w:rPr>
          <w:lang w:val="en-GB"/>
        </w:rPr>
        <w:t xml:space="preserve">: </w:t>
      </w:r>
      <w:proofErr w:type="spellStart"/>
      <w:r w:rsidRPr="008463F3">
        <w:rPr>
          <w:lang w:val="en-GB"/>
        </w:rPr>
        <w:t>OpenAIRE</w:t>
      </w:r>
      <w:proofErr w:type="spellEnd"/>
      <w:r w:rsidRPr="008463F3">
        <w:rPr>
          <w:lang w:val="en-GB"/>
        </w:rPr>
        <w:t xml:space="preserve"> AMKE links research outcomes (e.g. publications, data, software) to their creators (e.g. researchers, institutions, funders), enabling discoverability, transparency, reproducibility and quality-assurance of research.</w:t>
      </w:r>
    </w:p>
    <w:p w14:paraId="292E775F" w14:textId="77777777" w:rsidR="007947BF" w:rsidRPr="008463F3" w:rsidRDefault="007947BF" w:rsidP="007947BF">
      <w:pPr>
        <w:pStyle w:val="ListParagraph"/>
        <w:numPr>
          <w:ilvl w:val="0"/>
          <w:numId w:val="1"/>
        </w:numPr>
        <w:jc w:val="both"/>
        <w:rPr>
          <w:lang w:val="en-GB"/>
        </w:rPr>
      </w:pPr>
      <w:r w:rsidRPr="008463F3">
        <w:rPr>
          <w:b/>
          <w:lang w:val="en-GB"/>
        </w:rPr>
        <w:t>Monitor</w:t>
      </w:r>
      <w:r>
        <w:rPr>
          <w:b/>
          <w:lang w:val="en-GB"/>
        </w:rPr>
        <w:t>ing</w:t>
      </w:r>
      <w:r w:rsidRPr="008463F3">
        <w:rPr>
          <w:b/>
          <w:lang w:val="en-GB"/>
        </w:rPr>
        <w:t xml:space="preserve"> (open) science</w:t>
      </w:r>
      <w:r w:rsidRPr="008463F3">
        <w:rPr>
          <w:lang w:val="en-GB"/>
        </w:rPr>
        <w:t xml:space="preserve">: Facilitating transparency in research impact assessment. </w:t>
      </w:r>
      <w:proofErr w:type="spellStart"/>
      <w:r w:rsidRPr="008463F3">
        <w:rPr>
          <w:lang w:val="en-GB"/>
        </w:rPr>
        <w:t>OpenAIRE</w:t>
      </w:r>
      <w:proofErr w:type="spellEnd"/>
      <w:r w:rsidRPr="008463F3">
        <w:rPr>
          <w:lang w:val="en-GB"/>
        </w:rPr>
        <w:t xml:space="preserve"> AMKE builds the European Research Information system that encompasses all research and enables ready-made reporting, monitoring and analysis.</w:t>
      </w:r>
    </w:p>
    <w:p w14:paraId="76A64EBA" w14:textId="77777777" w:rsidR="007947BF" w:rsidRPr="008463F3" w:rsidRDefault="007947BF" w:rsidP="007947BF">
      <w:pPr>
        <w:pStyle w:val="ListParagraph"/>
        <w:numPr>
          <w:ilvl w:val="0"/>
          <w:numId w:val="1"/>
        </w:numPr>
        <w:jc w:val="both"/>
        <w:rPr>
          <w:lang w:val="en-GB"/>
        </w:rPr>
      </w:pPr>
      <w:r w:rsidRPr="008463F3">
        <w:rPr>
          <w:b/>
          <w:lang w:val="en-GB"/>
        </w:rPr>
        <w:t>Train</w:t>
      </w:r>
      <w:r>
        <w:rPr>
          <w:b/>
          <w:lang w:val="en-GB"/>
        </w:rPr>
        <w:t>ing</w:t>
      </w:r>
      <w:r w:rsidRPr="008463F3">
        <w:rPr>
          <w:b/>
          <w:lang w:val="en-GB"/>
        </w:rPr>
        <w:t xml:space="preserve"> for open science</w:t>
      </w:r>
      <w:r w:rsidRPr="008463F3">
        <w:rPr>
          <w:lang w:val="en-GB"/>
        </w:rPr>
        <w:t xml:space="preserve">: Fostering the culture change for Open Science practice. </w:t>
      </w:r>
    </w:p>
    <w:p w14:paraId="65271FE4" w14:textId="77777777" w:rsidR="007947BF" w:rsidRPr="008463F3" w:rsidRDefault="007947BF" w:rsidP="007947BF">
      <w:pPr>
        <w:pStyle w:val="ListParagraph"/>
        <w:numPr>
          <w:ilvl w:val="0"/>
          <w:numId w:val="1"/>
        </w:numPr>
        <w:jc w:val="both"/>
        <w:rPr>
          <w:lang w:val="en-GB"/>
        </w:rPr>
      </w:pPr>
      <w:r w:rsidRPr="008463F3">
        <w:rPr>
          <w:b/>
          <w:lang w:val="en-GB"/>
        </w:rPr>
        <w:t>Build</w:t>
      </w:r>
      <w:r>
        <w:rPr>
          <w:b/>
          <w:lang w:val="en-GB"/>
        </w:rPr>
        <w:t>ing</w:t>
      </w:r>
      <w:r w:rsidRPr="008463F3">
        <w:rPr>
          <w:b/>
          <w:lang w:val="en-GB"/>
        </w:rPr>
        <w:t xml:space="preserve"> global bridges</w:t>
      </w:r>
      <w:r w:rsidRPr="008463F3">
        <w:rPr>
          <w:lang w:val="en-GB"/>
        </w:rPr>
        <w:t xml:space="preserve">: Connecting Europe to the global open research environment. </w:t>
      </w:r>
      <w:r>
        <w:rPr>
          <w:lang w:val="en-GB"/>
        </w:rPr>
        <w:t>It</w:t>
      </w:r>
      <w:r w:rsidRPr="008463F3">
        <w:rPr>
          <w:lang w:val="en-GB"/>
        </w:rPr>
        <w:t xml:space="preserve"> work</w:t>
      </w:r>
      <w:r>
        <w:rPr>
          <w:lang w:val="en-GB"/>
        </w:rPr>
        <w:t>s</w:t>
      </w:r>
      <w:r w:rsidRPr="008463F3">
        <w:rPr>
          <w:lang w:val="en-GB"/>
        </w:rPr>
        <w:t xml:space="preserve"> with similar initiatives around the world to promote and share common access policies and protocols for all research results. </w:t>
      </w:r>
    </w:p>
    <w:p w14:paraId="28FF6471" w14:textId="77777777" w:rsidR="007947BF" w:rsidRPr="008463F3" w:rsidRDefault="007947BF" w:rsidP="007947BF">
      <w:pPr>
        <w:pStyle w:val="ListParagraph"/>
        <w:numPr>
          <w:ilvl w:val="0"/>
          <w:numId w:val="1"/>
        </w:numPr>
        <w:jc w:val="both"/>
        <w:rPr>
          <w:lang w:val="en-GB"/>
        </w:rPr>
      </w:pPr>
      <w:r w:rsidRPr="008463F3">
        <w:rPr>
          <w:b/>
          <w:lang w:val="en-GB"/>
        </w:rPr>
        <w:t>Facilitat</w:t>
      </w:r>
      <w:r>
        <w:rPr>
          <w:b/>
          <w:lang w:val="en-GB"/>
        </w:rPr>
        <w:t>ing</w:t>
      </w:r>
      <w:r w:rsidRPr="008463F3">
        <w:rPr>
          <w:b/>
          <w:lang w:val="en-GB"/>
        </w:rPr>
        <w:t xml:space="preserve"> Open Innovation</w:t>
      </w:r>
      <w:r w:rsidRPr="008463F3">
        <w:rPr>
          <w:lang w:val="en-GB"/>
        </w:rPr>
        <w:t xml:space="preserve">: Facilitating innovation for scholarly communication, opening new horizons for research. </w:t>
      </w:r>
    </w:p>
    <w:p w14:paraId="68BD0B21" w14:textId="77777777" w:rsidR="007947BF" w:rsidRPr="008463F3" w:rsidRDefault="007947BF" w:rsidP="007947BF">
      <w:pPr>
        <w:pStyle w:val="Heading3"/>
        <w:rPr>
          <w:rFonts w:asciiTheme="minorHAnsi" w:hAnsiTheme="minorHAnsi"/>
          <w:lang w:val="en-GB"/>
        </w:rPr>
      </w:pPr>
      <w:bookmarkStart w:id="45" w:name="_Toc77322049"/>
      <w:proofErr w:type="spellStart"/>
      <w:r w:rsidRPr="008463F3">
        <w:rPr>
          <w:rFonts w:asciiTheme="minorHAnsi" w:hAnsiTheme="minorHAnsi"/>
          <w:lang w:val="en-GB"/>
        </w:rPr>
        <w:t>EuroHPC</w:t>
      </w:r>
      <w:proofErr w:type="spellEnd"/>
      <w:r w:rsidRPr="008463F3">
        <w:rPr>
          <w:rFonts w:asciiTheme="minorHAnsi" w:hAnsiTheme="minorHAnsi"/>
          <w:lang w:val="en-GB"/>
        </w:rPr>
        <w:t xml:space="preserve"> JU</w:t>
      </w:r>
      <w:bookmarkEnd w:id="45"/>
      <w:r w:rsidRPr="008463F3">
        <w:rPr>
          <w:rFonts w:asciiTheme="minorHAnsi" w:hAnsiTheme="minorHAnsi"/>
          <w:lang w:val="en-GB"/>
        </w:rPr>
        <w:t xml:space="preserve"> </w:t>
      </w:r>
    </w:p>
    <w:p w14:paraId="3760E727" w14:textId="77777777" w:rsidR="007947BF" w:rsidRPr="008463F3" w:rsidRDefault="007947BF" w:rsidP="007947BF">
      <w:pPr>
        <w:jc w:val="both"/>
        <w:rPr>
          <w:lang w:val="en-GB"/>
        </w:rPr>
      </w:pPr>
      <w:r w:rsidRPr="008463F3">
        <w:rPr>
          <w:lang w:val="en-GB"/>
        </w:rPr>
        <w:t xml:space="preserve">North Macedonia is a member of </w:t>
      </w:r>
      <w:proofErr w:type="spellStart"/>
      <w:r w:rsidRPr="008463F3">
        <w:rPr>
          <w:lang w:val="en-GB"/>
        </w:rPr>
        <w:t>EuroHPC</w:t>
      </w:r>
      <w:proofErr w:type="spellEnd"/>
      <w:r w:rsidRPr="008463F3">
        <w:rPr>
          <w:lang w:val="en-GB"/>
        </w:rPr>
        <w:t xml:space="preserve"> JU, represented by the Faculty of Computer Science and Engineering, Ss Cyril and Methodius </w:t>
      </w:r>
      <w:r>
        <w:rPr>
          <w:lang w:val="en-GB"/>
        </w:rPr>
        <w:t xml:space="preserve">University </w:t>
      </w:r>
      <w:r w:rsidRPr="008463F3">
        <w:rPr>
          <w:lang w:val="en-GB"/>
        </w:rPr>
        <w:t>in Skopje.</w:t>
      </w:r>
    </w:p>
    <w:p w14:paraId="1B9087CE" w14:textId="77777777" w:rsidR="007947BF" w:rsidRPr="008463F3" w:rsidRDefault="007947BF" w:rsidP="007947BF">
      <w:pPr>
        <w:jc w:val="both"/>
        <w:rPr>
          <w:lang w:val="en-GB"/>
        </w:rPr>
      </w:pPr>
      <w:r w:rsidRPr="008463F3">
        <w:rPr>
          <w:lang w:val="en-GB"/>
        </w:rPr>
        <w:t xml:space="preserve">The European High Performance Computing Joint Undertaking (the </w:t>
      </w:r>
      <w:proofErr w:type="spellStart"/>
      <w:r w:rsidRPr="008463F3">
        <w:rPr>
          <w:lang w:val="en-GB"/>
        </w:rPr>
        <w:t>EuroHPC</w:t>
      </w:r>
      <w:proofErr w:type="spellEnd"/>
      <w:r w:rsidRPr="008463F3">
        <w:rPr>
          <w:lang w:val="en-GB"/>
        </w:rPr>
        <w:t xml:space="preserve"> JU) is a legal and funding entity established by Council Regulation (EU) 2018/1488 and located in Luxembourg. In total 32 European countries are currently taking part in the initiative and pooling their resources with the EU and private partners to enable the EU to become a world leader in supercomputing. The </w:t>
      </w:r>
      <w:proofErr w:type="spellStart"/>
      <w:r w:rsidRPr="008463F3">
        <w:rPr>
          <w:lang w:val="en-GB"/>
        </w:rPr>
        <w:t>EuroHPC</w:t>
      </w:r>
      <w:proofErr w:type="spellEnd"/>
      <w:r w:rsidRPr="008463F3">
        <w:rPr>
          <w:lang w:val="en-GB"/>
        </w:rPr>
        <w:t xml:space="preserve"> JU allows the EU and </w:t>
      </w:r>
      <w:proofErr w:type="spellStart"/>
      <w:r w:rsidRPr="008463F3">
        <w:rPr>
          <w:lang w:val="en-GB"/>
        </w:rPr>
        <w:t>EuroHPC</w:t>
      </w:r>
      <w:proofErr w:type="spellEnd"/>
      <w:r w:rsidRPr="008463F3">
        <w:rPr>
          <w:lang w:val="en-GB"/>
        </w:rPr>
        <w:t xml:space="preserve"> participa</w:t>
      </w:r>
      <w:r>
        <w:rPr>
          <w:lang w:val="en-GB"/>
        </w:rPr>
        <w:t xml:space="preserve">nts </w:t>
      </w:r>
      <w:r w:rsidRPr="008463F3">
        <w:rPr>
          <w:lang w:val="en-GB"/>
        </w:rPr>
        <w:t xml:space="preserve">to coordinate their efforts and pool their resources with the objective of deploying in Europe world-class </w:t>
      </w:r>
      <w:proofErr w:type="spellStart"/>
      <w:r w:rsidRPr="008463F3">
        <w:rPr>
          <w:lang w:val="en-GB"/>
        </w:rPr>
        <w:t>exascale</w:t>
      </w:r>
      <w:proofErr w:type="spellEnd"/>
      <w:r w:rsidRPr="008463F3">
        <w:rPr>
          <w:lang w:val="en-GB"/>
        </w:rPr>
        <w:t xml:space="preserve"> supercomputers, able to perform more than one trillion (1018) operations per second and developing innovative supercomputing technologies and applications. By making Europe a world leader in high performance computing (HPC), the </w:t>
      </w:r>
      <w:proofErr w:type="spellStart"/>
      <w:r w:rsidRPr="008463F3">
        <w:rPr>
          <w:lang w:val="en-GB"/>
        </w:rPr>
        <w:t>EuroHPC</w:t>
      </w:r>
      <w:proofErr w:type="spellEnd"/>
      <w:r w:rsidRPr="008463F3">
        <w:rPr>
          <w:lang w:val="en-GB"/>
        </w:rPr>
        <w:t xml:space="preserve"> JU seeks to provide computing solutions, improving cooperation in advanced scientific research, boosting industrial competitiveness, and ensuring European technological and digital autonomy.</w:t>
      </w:r>
    </w:p>
    <w:p w14:paraId="12B6AC00" w14:textId="77777777" w:rsidR="007947BF" w:rsidRPr="008463F3" w:rsidRDefault="007947BF" w:rsidP="007947BF">
      <w:pPr>
        <w:spacing w:after="0"/>
        <w:jc w:val="both"/>
        <w:rPr>
          <w:lang w:val="en-GB"/>
        </w:rPr>
      </w:pPr>
      <w:r w:rsidRPr="008463F3">
        <w:rPr>
          <w:lang w:val="en-GB"/>
        </w:rPr>
        <w:t xml:space="preserve">The </w:t>
      </w:r>
      <w:proofErr w:type="spellStart"/>
      <w:r w:rsidRPr="008463F3">
        <w:rPr>
          <w:lang w:val="en-GB"/>
        </w:rPr>
        <w:t>EuroHPC</w:t>
      </w:r>
      <w:proofErr w:type="spellEnd"/>
      <w:r w:rsidRPr="008463F3">
        <w:rPr>
          <w:lang w:val="en-GB"/>
        </w:rPr>
        <w:t xml:space="preserve"> JU is composed of public and private members:</w:t>
      </w:r>
    </w:p>
    <w:p w14:paraId="04F13E64" w14:textId="77777777" w:rsidR="007947BF" w:rsidRPr="008463F3" w:rsidRDefault="007947BF" w:rsidP="007947BF">
      <w:pPr>
        <w:pStyle w:val="ListParagraph"/>
        <w:numPr>
          <w:ilvl w:val="0"/>
          <w:numId w:val="20"/>
        </w:numPr>
        <w:jc w:val="both"/>
        <w:rPr>
          <w:lang w:val="en-GB"/>
        </w:rPr>
      </w:pPr>
      <w:r w:rsidRPr="008463F3">
        <w:rPr>
          <w:lang w:val="en-GB"/>
        </w:rPr>
        <w:t>Public members: the European Union (represented by the EU Commission).</w:t>
      </w:r>
    </w:p>
    <w:p w14:paraId="35F33342" w14:textId="77777777" w:rsidR="007947BF" w:rsidRPr="008463F3" w:rsidRDefault="007947BF" w:rsidP="007947BF">
      <w:pPr>
        <w:pStyle w:val="ListParagraph"/>
        <w:numPr>
          <w:ilvl w:val="0"/>
          <w:numId w:val="20"/>
        </w:numPr>
        <w:jc w:val="both"/>
        <w:rPr>
          <w:lang w:val="en-GB"/>
        </w:rPr>
      </w:pPr>
      <w:r w:rsidRPr="008463F3">
        <w:rPr>
          <w:lang w:val="en-GB"/>
        </w:rPr>
        <w:t>Member States and Associated Countries that have chosen to become members of the Joint Undertaking: Austria, Belgium, Bulgaria, Croatia, Cyprus, Czech Republic, Denmark, Estonia, Finland, France, Germany, Greece, Hungary, Iceland, Ireland, Italy, Latvia, Lithuania, Luxembourg, Montenegro, the Netherlands, North Macedonia, Norway, Poland, Portugal, Romania, Slovakia, Slovenia, Spain, Sweden, Switzerland, and Turkey.</w:t>
      </w:r>
    </w:p>
    <w:p w14:paraId="4E0235E8" w14:textId="77777777" w:rsidR="007947BF" w:rsidRPr="008463F3" w:rsidRDefault="007947BF" w:rsidP="007947BF">
      <w:pPr>
        <w:pStyle w:val="ListParagraph"/>
        <w:numPr>
          <w:ilvl w:val="0"/>
          <w:numId w:val="20"/>
        </w:numPr>
        <w:jc w:val="both"/>
        <w:rPr>
          <w:lang w:val="en-GB"/>
        </w:rPr>
      </w:pPr>
      <w:r w:rsidRPr="008463F3">
        <w:rPr>
          <w:lang w:val="en-GB"/>
        </w:rPr>
        <w:t>Private members: representatives from the two participating private partners, the European Technology Platform for High Performance Computing (ETP4HPC) and the Big Data Value (BDVA) associations.</w:t>
      </w:r>
    </w:p>
    <w:p w14:paraId="45DAD155" w14:textId="77777777" w:rsidR="007947BF" w:rsidRPr="008463F3" w:rsidRDefault="007947BF" w:rsidP="007947BF">
      <w:pPr>
        <w:jc w:val="both"/>
        <w:rPr>
          <w:lang w:val="en-GB"/>
        </w:rPr>
      </w:pPr>
      <w:r w:rsidRPr="008463F3">
        <w:rPr>
          <w:lang w:val="en-GB"/>
        </w:rPr>
        <w:t xml:space="preserve">With funding from the </w:t>
      </w:r>
      <w:proofErr w:type="spellStart"/>
      <w:r w:rsidRPr="008463F3">
        <w:rPr>
          <w:lang w:val="en-GB"/>
        </w:rPr>
        <w:t>EuroHPC</w:t>
      </w:r>
      <w:proofErr w:type="spellEnd"/>
      <w:r w:rsidRPr="008463F3">
        <w:rPr>
          <w:lang w:val="en-GB"/>
        </w:rPr>
        <w:t xml:space="preserve"> JU, </w:t>
      </w:r>
      <w:proofErr w:type="spellStart"/>
      <w:r w:rsidRPr="008463F3">
        <w:rPr>
          <w:lang w:val="en-GB"/>
        </w:rPr>
        <w:t>EuroCC</w:t>
      </w:r>
      <w:proofErr w:type="spellEnd"/>
      <w:r w:rsidRPr="008463F3">
        <w:rPr>
          <w:lang w:val="en-GB"/>
        </w:rPr>
        <w:t xml:space="preserve"> and CASTIEL H2020 projects will build a European network of 33 national HPC competence centres. The two projects will bridge the existing HPC skills gaps while promoting cooperation and the implementation of best practices across Europe.</w:t>
      </w:r>
    </w:p>
    <w:p w14:paraId="769D91BA" w14:textId="77777777" w:rsidR="007947BF" w:rsidRPr="008463F3" w:rsidRDefault="007947BF" w:rsidP="007947BF">
      <w:pPr>
        <w:pStyle w:val="Heading3"/>
        <w:rPr>
          <w:rFonts w:asciiTheme="minorHAnsi" w:hAnsiTheme="minorHAnsi"/>
          <w:lang w:val="en-GB"/>
        </w:rPr>
      </w:pPr>
      <w:bookmarkStart w:id="46" w:name="_Toc77322050"/>
      <w:r w:rsidRPr="008463F3">
        <w:rPr>
          <w:rFonts w:asciiTheme="minorHAnsi" w:hAnsiTheme="minorHAnsi"/>
          <w:lang w:val="en-GB"/>
        </w:rPr>
        <w:t>ESS - European Social Survey</w:t>
      </w:r>
      <w:bookmarkEnd w:id="46"/>
    </w:p>
    <w:p w14:paraId="15EC8356" w14:textId="77777777" w:rsidR="007947BF" w:rsidRPr="008463F3" w:rsidRDefault="007947BF" w:rsidP="007947BF">
      <w:pPr>
        <w:jc w:val="both"/>
        <w:rPr>
          <w:lang w:val="en-GB"/>
        </w:rPr>
      </w:pPr>
      <w:r w:rsidRPr="008463F3">
        <w:rPr>
          <w:lang w:val="en-GB"/>
        </w:rPr>
        <w:t>The ESS is an academically driven cross-national survey that has been conducted across Europe since its establishment in 2001. Every two years, face-to-face interviews are conducted with newly selected, cross-sectional samples. The ESS was awarded European Research Infrastructure Consortium (ERIC) status on 30th November 2013.</w:t>
      </w:r>
    </w:p>
    <w:p w14:paraId="2D7729F9" w14:textId="77777777" w:rsidR="007947BF" w:rsidRPr="008463F3" w:rsidRDefault="007947BF" w:rsidP="007947BF">
      <w:pPr>
        <w:jc w:val="both"/>
        <w:rPr>
          <w:lang w:val="en-GB"/>
        </w:rPr>
      </w:pPr>
      <w:r w:rsidRPr="008463F3">
        <w:rPr>
          <w:lang w:val="en-GB"/>
        </w:rPr>
        <w:t xml:space="preserve">North Macedonia joined the European </w:t>
      </w:r>
      <w:r>
        <w:rPr>
          <w:lang w:val="en-GB"/>
        </w:rPr>
        <w:t>S</w:t>
      </w:r>
      <w:r w:rsidRPr="008463F3">
        <w:rPr>
          <w:lang w:val="en-GB"/>
        </w:rPr>
        <w:t xml:space="preserve">ocial </w:t>
      </w:r>
      <w:r>
        <w:rPr>
          <w:lang w:val="en-GB"/>
        </w:rPr>
        <w:t>S</w:t>
      </w:r>
      <w:r w:rsidRPr="008463F3">
        <w:rPr>
          <w:lang w:val="en-GB"/>
        </w:rPr>
        <w:t>urvey (ESS) for the first time in the 10</w:t>
      </w:r>
      <w:r w:rsidRPr="008463F3">
        <w:rPr>
          <w:vertAlign w:val="superscript"/>
          <w:lang w:val="en-GB"/>
        </w:rPr>
        <w:t>th</w:t>
      </w:r>
      <w:r w:rsidRPr="008463F3">
        <w:rPr>
          <w:lang w:val="en-GB"/>
        </w:rPr>
        <w:t xml:space="preserve"> Round. This initiative was supported by the main public and private universities with social science departments in the economy, which appointed their representatives for the National </w:t>
      </w:r>
      <w:r>
        <w:rPr>
          <w:lang w:val="en-GB"/>
        </w:rPr>
        <w:t>N</w:t>
      </w:r>
      <w:r w:rsidRPr="008463F3">
        <w:rPr>
          <w:lang w:val="en-GB"/>
        </w:rPr>
        <w:t>etwork of ESS in North Macedonia. The participation in the ESS is of great importance for research community in social sciences enabling them to have an open access to database of comparable data on large number of social science topics in European countries. The use of these data will increase the quality of scientific publications and will result in increase of interdisciplinary research among researchers within higher education institutions and in the economy.</w:t>
      </w:r>
    </w:p>
    <w:p w14:paraId="4F9203FB" w14:textId="77777777" w:rsidR="007947BF" w:rsidRPr="008463F3" w:rsidRDefault="007947BF" w:rsidP="007947BF">
      <w:pPr>
        <w:jc w:val="both"/>
        <w:rPr>
          <w:lang w:val="en-GB"/>
        </w:rPr>
      </w:pPr>
      <w:bookmarkStart w:id="47" w:name="_Toc61096335"/>
      <w:r w:rsidRPr="008463F3">
        <w:rPr>
          <w:lang w:val="en-GB"/>
        </w:rPr>
        <w:t xml:space="preserve">Round 10 of ESS in North Macedonia will be conducted by the Institute for </w:t>
      </w:r>
      <w:r>
        <w:rPr>
          <w:lang w:val="en-GB"/>
        </w:rPr>
        <w:t>S</w:t>
      </w:r>
      <w:r w:rsidRPr="008463F3">
        <w:rPr>
          <w:lang w:val="en-GB"/>
        </w:rPr>
        <w:t xml:space="preserve">ociological, </w:t>
      </w:r>
      <w:r>
        <w:rPr>
          <w:lang w:val="en-GB"/>
        </w:rPr>
        <w:t>P</w:t>
      </w:r>
      <w:r w:rsidRPr="008463F3">
        <w:rPr>
          <w:lang w:val="en-GB"/>
        </w:rPr>
        <w:t xml:space="preserve">olitical and </w:t>
      </w:r>
      <w:r>
        <w:rPr>
          <w:lang w:val="en-GB"/>
        </w:rPr>
        <w:t>J</w:t>
      </w:r>
      <w:r w:rsidRPr="008463F3">
        <w:rPr>
          <w:lang w:val="en-GB"/>
        </w:rPr>
        <w:t xml:space="preserve">uridical </w:t>
      </w:r>
      <w:r>
        <w:rPr>
          <w:lang w:val="en-GB"/>
        </w:rPr>
        <w:t>R</w:t>
      </w:r>
      <w:r w:rsidRPr="008463F3">
        <w:rPr>
          <w:lang w:val="en-GB"/>
        </w:rPr>
        <w:t>esearch in Skopje. As a result of the COVID-19 pandemic, the Round 10 fieldwork, originally due to be collected in face to</w:t>
      </w:r>
      <w:r>
        <w:rPr>
          <w:lang w:val="en-GB"/>
        </w:rPr>
        <w:t>-</w:t>
      </w:r>
      <w:r w:rsidRPr="008463F3">
        <w:rPr>
          <w:lang w:val="en-GB"/>
        </w:rPr>
        <w:t>face</w:t>
      </w:r>
      <w:r>
        <w:rPr>
          <w:lang w:val="en-GB"/>
        </w:rPr>
        <w:t>-</w:t>
      </w:r>
      <w:r w:rsidRPr="008463F3">
        <w:rPr>
          <w:lang w:val="en-GB"/>
        </w:rPr>
        <w:t>interviews from late 2020 was not possible. If health conditions permit, the fieldwork is going to be conducted in 2021.</w:t>
      </w:r>
    </w:p>
    <w:p w14:paraId="2FAF9BD0" w14:textId="77777777" w:rsidR="007947BF" w:rsidRPr="008463F3" w:rsidRDefault="007947BF" w:rsidP="007947BF">
      <w:pPr>
        <w:pStyle w:val="Heading3"/>
        <w:rPr>
          <w:rFonts w:eastAsia="Calibri"/>
          <w:lang w:val="en-GB"/>
        </w:rPr>
      </w:pPr>
      <w:bookmarkStart w:id="48" w:name="_Toc77322051"/>
      <w:r w:rsidRPr="008463F3">
        <w:rPr>
          <w:rFonts w:eastAsia="Calibri"/>
          <w:lang w:val="en-GB"/>
        </w:rPr>
        <w:t>SEEIST- The South East European International Institute for Sustainable Technologies</w:t>
      </w:r>
      <w:bookmarkEnd w:id="48"/>
      <w:r w:rsidRPr="008463F3">
        <w:rPr>
          <w:rFonts w:eastAsia="Calibri"/>
          <w:lang w:val="en-GB"/>
        </w:rPr>
        <w:t xml:space="preserve"> </w:t>
      </w:r>
    </w:p>
    <w:p w14:paraId="7EF9360D" w14:textId="77777777" w:rsidR="007947BF" w:rsidRPr="008463F3" w:rsidRDefault="007947BF" w:rsidP="007947BF">
      <w:pPr>
        <w:jc w:val="both"/>
        <w:rPr>
          <w:lang w:val="en-GB"/>
        </w:rPr>
      </w:pPr>
      <w:r w:rsidRPr="008463F3">
        <w:rPr>
          <w:lang w:val="en-GB"/>
        </w:rPr>
        <w:t xml:space="preserve">The South East European International Institute for Sustainable Technologies (SEEIIST) is a </w:t>
      </w:r>
      <w:r>
        <w:rPr>
          <w:lang w:val="en-GB"/>
        </w:rPr>
        <w:t>r</w:t>
      </w:r>
      <w:r w:rsidRPr="008463F3">
        <w:rPr>
          <w:lang w:val="en-GB"/>
        </w:rPr>
        <w:t xml:space="preserve">egional project gathering </w:t>
      </w:r>
      <w:r>
        <w:rPr>
          <w:lang w:val="en-GB"/>
        </w:rPr>
        <w:t xml:space="preserve">the </w:t>
      </w:r>
      <w:r w:rsidRPr="008463F3">
        <w:rPr>
          <w:lang w:val="en-GB"/>
        </w:rPr>
        <w:t>following Parties: Albania, Bosnia and Herzegovina, Bulgaria, Kosovo</w:t>
      </w:r>
      <w:r>
        <w:rPr>
          <w:rStyle w:val="FootnoteReference"/>
          <w:lang w:val="en-GB"/>
        </w:rPr>
        <w:footnoteReference w:id="7"/>
      </w:r>
      <w:r w:rsidRPr="008463F3">
        <w:rPr>
          <w:lang w:val="en-GB"/>
        </w:rPr>
        <w:t>, North Macedonia, Montenegro, Serbia and Slovenia.</w:t>
      </w:r>
    </w:p>
    <w:p w14:paraId="399B9978" w14:textId="77777777" w:rsidR="007947BF" w:rsidRPr="008463F3" w:rsidRDefault="007947BF" w:rsidP="007947BF">
      <w:pPr>
        <w:spacing w:after="0" w:line="240" w:lineRule="auto"/>
        <w:jc w:val="both"/>
        <w:rPr>
          <w:rFonts w:ascii="Calibri" w:eastAsia="Calibri" w:hAnsi="Calibri" w:cs="Times New Roman"/>
          <w:lang w:val="en-GB"/>
        </w:rPr>
      </w:pPr>
      <w:r w:rsidRPr="008463F3">
        <w:rPr>
          <w:rFonts w:ascii="Calibri" w:eastAsia="Calibri" w:hAnsi="Calibri" w:cs="Times New Roman"/>
          <w:lang w:val="en-GB"/>
        </w:rPr>
        <w:t xml:space="preserve">The main </w:t>
      </w:r>
      <w:r>
        <w:rPr>
          <w:rFonts w:ascii="Calibri" w:eastAsia="Calibri" w:hAnsi="Calibri" w:cs="Times New Roman"/>
          <w:lang w:val="en-GB"/>
        </w:rPr>
        <w:t>m</w:t>
      </w:r>
      <w:r w:rsidRPr="008463F3">
        <w:rPr>
          <w:rFonts w:ascii="Calibri" w:eastAsia="Calibri" w:hAnsi="Calibri" w:cs="Times New Roman"/>
          <w:lang w:val="en-GB"/>
        </w:rPr>
        <w:t>issions of the SEEIIST Project are:</w:t>
      </w:r>
    </w:p>
    <w:p w14:paraId="215B571A" w14:textId="77777777" w:rsidR="007947BF" w:rsidRPr="008463F3" w:rsidRDefault="007947BF" w:rsidP="007947BF">
      <w:pPr>
        <w:pStyle w:val="ListParagraph"/>
        <w:numPr>
          <w:ilvl w:val="0"/>
          <w:numId w:val="44"/>
        </w:numPr>
        <w:spacing w:after="0" w:line="240" w:lineRule="auto"/>
        <w:jc w:val="both"/>
        <w:rPr>
          <w:rFonts w:ascii="Calibri" w:eastAsia="Calibri" w:hAnsi="Calibri" w:cs="Times New Roman"/>
          <w:lang w:val="en-GB"/>
        </w:rPr>
      </w:pPr>
      <w:r w:rsidRPr="008463F3">
        <w:rPr>
          <w:rFonts w:ascii="Calibri" w:eastAsia="Calibri" w:hAnsi="Calibri" w:cs="Times New Roman"/>
          <w:lang w:val="en-GB"/>
        </w:rPr>
        <w:t>Science for Peace</w:t>
      </w:r>
    </w:p>
    <w:p w14:paraId="4829575D" w14:textId="77777777" w:rsidR="007947BF" w:rsidRPr="008463F3" w:rsidRDefault="007947BF" w:rsidP="007947BF">
      <w:pPr>
        <w:pStyle w:val="ListParagraph"/>
        <w:numPr>
          <w:ilvl w:val="0"/>
          <w:numId w:val="44"/>
        </w:numPr>
        <w:spacing w:after="0" w:line="240" w:lineRule="auto"/>
        <w:jc w:val="both"/>
        <w:rPr>
          <w:rFonts w:ascii="Calibri" w:eastAsia="Calibri" w:hAnsi="Calibri" w:cs="Times New Roman"/>
          <w:lang w:val="en-GB"/>
        </w:rPr>
      </w:pPr>
      <w:r w:rsidRPr="008463F3">
        <w:rPr>
          <w:rFonts w:ascii="Calibri" w:eastAsia="Calibri" w:hAnsi="Calibri" w:cs="Times New Roman"/>
          <w:lang w:val="en-GB"/>
        </w:rPr>
        <w:t>Scientific Excellence</w:t>
      </w:r>
    </w:p>
    <w:p w14:paraId="7509593B" w14:textId="77777777" w:rsidR="007947BF" w:rsidRPr="008463F3" w:rsidRDefault="007947BF" w:rsidP="007947BF">
      <w:pPr>
        <w:pStyle w:val="ListParagraph"/>
        <w:numPr>
          <w:ilvl w:val="0"/>
          <w:numId w:val="44"/>
        </w:numPr>
        <w:spacing w:after="0" w:line="240" w:lineRule="auto"/>
        <w:jc w:val="both"/>
        <w:rPr>
          <w:rFonts w:ascii="Calibri" w:eastAsia="Calibri" w:hAnsi="Calibri" w:cs="Times New Roman"/>
          <w:lang w:val="en-GB"/>
        </w:rPr>
      </w:pPr>
      <w:r w:rsidRPr="008463F3">
        <w:rPr>
          <w:rFonts w:ascii="Calibri" w:eastAsia="Calibri" w:hAnsi="Calibri" w:cs="Times New Roman"/>
          <w:lang w:val="en-GB"/>
        </w:rPr>
        <w:t>International Collaboration</w:t>
      </w:r>
    </w:p>
    <w:p w14:paraId="02B13375" w14:textId="77777777" w:rsidR="007947BF" w:rsidRPr="008463F3" w:rsidRDefault="007947BF" w:rsidP="007947BF">
      <w:pPr>
        <w:pStyle w:val="ListParagraph"/>
        <w:numPr>
          <w:ilvl w:val="0"/>
          <w:numId w:val="44"/>
        </w:numPr>
        <w:spacing w:after="0" w:line="240" w:lineRule="auto"/>
        <w:jc w:val="both"/>
        <w:rPr>
          <w:rFonts w:ascii="Calibri" w:eastAsia="Calibri" w:hAnsi="Calibri" w:cs="Times New Roman"/>
          <w:lang w:val="en-GB"/>
        </w:rPr>
      </w:pPr>
      <w:r w:rsidRPr="008463F3">
        <w:rPr>
          <w:rFonts w:ascii="Calibri" w:eastAsia="Calibri" w:hAnsi="Calibri" w:cs="Times New Roman"/>
          <w:lang w:val="en-GB"/>
        </w:rPr>
        <w:t>Sustainable development of society</w:t>
      </w:r>
    </w:p>
    <w:p w14:paraId="630FCF44" w14:textId="77777777" w:rsidR="007947BF" w:rsidRPr="008463F3" w:rsidRDefault="007947BF" w:rsidP="007947BF">
      <w:pPr>
        <w:pStyle w:val="ListParagraph"/>
        <w:numPr>
          <w:ilvl w:val="0"/>
          <w:numId w:val="44"/>
        </w:numPr>
        <w:spacing w:after="0" w:line="240" w:lineRule="auto"/>
        <w:jc w:val="both"/>
        <w:rPr>
          <w:rFonts w:ascii="Calibri" w:eastAsia="Calibri" w:hAnsi="Calibri" w:cs="Times New Roman"/>
          <w:lang w:val="en-GB"/>
        </w:rPr>
      </w:pPr>
      <w:r w:rsidRPr="008463F3">
        <w:rPr>
          <w:rFonts w:ascii="Calibri" w:eastAsia="Calibri" w:hAnsi="Calibri" w:cs="Times New Roman"/>
          <w:lang w:val="en-GB"/>
        </w:rPr>
        <w:t>Education</w:t>
      </w:r>
    </w:p>
    <w:p w14:paraId="708F53A5" w14:textId="77777777" w:rsidR="007947BF" w:rsidRPr="008463F3" w:rsidRDefault="007947BF" w:rsidP="007947BF">
      <w:pPr>
        <w:pStyle w:val="ListParagraph"/>
        <w:numPr>
          <w:ilvl w:val="0"/>
          <w:numId w:val="44"/>
        </w:numPr>
        <w:spacing w:after="0" w:line="240" w:lineRule="auto"/>
        <w:jc w:val="both"/>
        <w:rPr>
          <w:rFonts w:ascii="Calibri" w:eastAsia="Calibri" w:hAnsi="Calibri" w:cs="Times New Roman"/>
          <w:lang w:val="en-GB"/>
        </w:rPr>
      </w:pPr>
      <w:r w:rsidRPr="008463F3">
        <w:rPr>
          <w:rFonts w:ascii="Calibri" w:eastAsia="Calibri" w:hAnsi="Calibri" w:cs="Times New Roman"/>
          <w:lang w:val="en-GB"/>
        </w:rPr>
        <w:t>Technology Transfer</w:t>
      </w:r>
    </w:p>
    <w:p w14:paraId="4588E005" w14:textId="77777777" w:rsidR="007947BF" w:rsidRPr="008463F3" w:rsidRDefault="007947BF" w:rsidP="007947BF">
      <w:pPr>
        <w:pStyle w:val="ListParagraph"/>
        <w:numPr>
          <w:ilvl w:val="0"/>
          <w:numId w:val="44"/>
        </w:numPr>
        <w:spacing w:after="0" w:line="240" w:lineRule="auto"/>
        <w:jc w:val="both"/>
        <w:rPr>
          <w:rFonts w:ascii="Calibri" w:eastAsia="Calibri" w:hAnsi="Calibri" w:cs="Times New Roman"/>
          <w:lang w:val="en-GB"/>
        </w:rPr>
      </w:pPr>
      <w:r w:rsidRPr="008463F3">
        <w:rPr>
          <w:rFonts w:ascii="Calibri" w:eastAsia="Calibri" w:hAnsi="Calibri" w:cs="Times New Roman"/>
          <w:lang w:val="en-GB"/>
        </w:rPr>
        <w:t>Development of powerful digital network</w:t>
      </w:r>
    </w:p>
    <w:p w14:paraId="2F06FC0E" w14:textId="77777777" w:rsidR="007947BF" w:rsidRPr="008463F3" w:rsidRDefault="007947BF" w:rsidP="007947BF">
      <w:pPr>
        <w:pStyle w:val="ListParagraph"/>
        <w:numPr>
          <w:ilvl w:val="0"/>
          <w:numId w:val="44"/>
        </w:numPr>
        <w:spacing w:line="240" w:lineRule="auto"/>
        <w:jc w:val="both"/>
        <w:rPr>
          <w:rFonts w:ascii="Calibri" w:eastAsia="Calibri" w:hAnsi="Calibri" w:cs="Times New Roman"/>
          <w:lang w:val="en-GB"/>
        </w:rPr>
      </w:pPr>
      <w:r w:rsidRPr="008463F3">
        <w:rPr>
          <w:rFonts w:ascii="Calibri" w:eastAsia="Calibri" w:hAnsi="Calibri" w:cs="Times New Roman"/>
          <w:lang w:val="en-GB"/>
        </w:rPr>
        <w:t>High performance computing and Big Data handling</w:t>
      </w:r>
    </w:p>
    <w:p w14:paraId="3A006F91" w14:textId="77777777" w:rsidR="007947BF" w:rsidRPr="008463F3" w:rsidRDefault="007947BF" w:rsidP="007947BF">
      <w:pPr>
        <w:jc w:val="both"/>
        <w:rPr>
          <w:lang w:val="en-GB"/>
        </w:rPr>
      </w:pPr>
      <w:r w:rsidRPr="008463F3">
        <w:rPr>
          <w:lang w:val="en-GB"/>
        </w:rPr>
        <w:t xml:space="preserve">On </w:t>
      </w:r>
      <w:r>
        <w:rPr>
          <w:lang w:val="en-GB"/>
        </w:rPr>
        <w:t xml:space="preserve">28 </w:t>
      </w:r>
      <w:r w:rsidRPr="008463F3">
        <w:rPr>
          <w:lang w:val="en-GB"/>
        </w:rPr>
        <w:t xml:space="preserve">May 2020, a Call for Expression of Interest was announced for participation in the process of establishing the Institute (specifically at the </w:t>
      </w:r>
      <w:r>
        <w:rPr>
          <w:lang w:val="en-GB"/>
        </w:rPr>
        <w:t xml:space="preserve">Biomedical </w:t>
      </w:r>
      <w:r w:rsidRPr="008463F3">
        <w:rPr>
          <w:lang w:val="en-GB"/>
        </w:rPr>
        <w:t>Centr</w:t>
      </w:r>
      <w:r>
        <w:rPr>
          <w:lang w:val="en-GB"/>
        </w:rPr>
        <w:t>e focused on</w:t>
      </w:r>
      <w:r w:rsidRPr="008463F3">
        <w:rPr>
          <w:lang w:val="en-GB"/>
        </w:rPr>
        <w:t xml:space="preserve"> treatment of cancer with hadronic therapy). On </w:t>
      </w:r>
      <w:r>
        <w:rPr>
          <w:lang w:val="en-GB"/>
        </w:rPr>
        <w:t xml:space="preserve">9 </w:t>
      </w:r>
      <w:r w:rsidRPr="008463F3">
        <w:rPr>
          <w:lang w:val="en-GB"/>
        </w:rPr>
        <w:t>September 2020, the team of scientists working on the SEEIIST development project submitted an application for the ESFRI Roadmap, requesting € 240 million in financial assistance from the European Commission to build and equip SEEIIST.</w:t>
      </w:r>
    </w:p>
    <w:p w14:paraId="3DC4D648" w14:textId="77777777" w:rsidR="007947BF" w:rsidRPr="008463F3" w:rsidRDefault="007947BF" w:rsidP="007947BF">
      <w:pPr>
        <w:jc w:val="both"/>
        <w:rPr>
          <w:rFonts w:eastAsiaTheme="majorEastAsia" w:cstheme="majorBidi"/>
          <w:b/>
          <w:bCs/>
          <w:color w:val="365F91" w:themeColor="accent1" w:themeShade="BF"/>
          <w:sz w:val="28"/>
          <w:szCs w:val="28"/>
          <w:shd w:val="clear" w:color="auto" w:fill="FFFFFF"/>
          <w:lang w:val="en-GB"/>
        </w:rPr>
      </w:pPr>
      <w:r w:rsidRPr="008463F3">
        <w:rPr>
          <w:lang w:val="en-GB"/>
        </w:rPr>
        <w:t xml:space="preserve">North Macedonia is among the few </w:t>
      </w:r>
      <w:r>
        <w:rPr>
          <w:lang w:val="en-GB"/>
        </w:rPr>
        <w:t>economies</w:t>
      </w:r>
      <w:r w:rsidRPr="008463F3">
        <w:rPr>
          <w:lang w:val="en-GB"/>
        </w:rPr>
        <w:t xml:space="preserve"> in South</w:t>
      </w:r>
      <w:r>
        <w:rPr>
          <w:lang w:val="en-GB"/>
        </w:rPr>
        <w:t xml:space="preserve"> E</w:t>
      </w:r>
      <w:r w:rsidRPr="008463F3">
        <w:rPr>
          <w:lang w:val="en-GB"/>
        </w:rPr>
        <w:t>ast Europe that ha</w:t>
      </w:r>
      <w:r>
        <w:rPr>
          <w:lang w:val="en-GB"/>
        </w:rPr>
        <w:t>s</w:t>
      </w:r>
      <w:r w:rsidRPr="008463F3">
        <w:rPr>
          <w:lang w:val="en-GB"/>
        </w:rPr>
        <w:t xml:space="preserve"> decided to participate in the international public call for the location for the construction of the International Institute for Sustainable Technologies (SEEIIST) on its territory. The decision was made in December 2020, and an expert team has been formed to prepare an application</w:t>
      </w:r>
      <w:r>
        <w:rPr>
          <w:lang w:val="en-GB"/>
        </w:rPr>
        <w:t>/</w:t>
      </w:r>
      <w:r w:rsidRPr="008463F3">
        <w:rPr>
          <w:lang w:val="en-GB"/>
        </w:rPr>
        <w:t xml:space="preserve">candidacy with which the </w:t>
      </w:r>
      <w:r>
        <w:rPr>
          <w:lang w:val="en-GB"/>
        </w:rPr>
        <w:t>economy</w:t>
      </w:r>
      <w:r w:rsidRPr="008463F3">
        <w:rPr>
          <w:lang w:val="en-GB"/>
        </w:rPr>
        <w:t xml:space="preserve"> will participate in the international public call.</w:t>
      </w:r>
      <w:r w:rsidRPr="008463F3">
        <w:rPr>
          <w:shd w:val="clear" w:color="auto" w:fill="FFFFFF"/>
          <w:lang w:val="en-GB"/>
        </w:rPr>
        <w:br w:type="page"/>
      </w:r>
    </w:p>
    <w:p w14:paraId="435D625F" w14:textId="77777777" w:rsidR="007947BF" w:rsidRPr="008463F3" w:rsidRDefault="007947BF" w:rsidP="007947BF">
      <w:pPr>
        <w:pStyle w:val="Heading1"/>
        <w:spacing w:after="240"/>
        <w:rPr>
          <w:rFonts w:asciiTheme="minorHAnsi" w:hAnsiTheme="minorHAnsi"/>
          <w:shd w:val="clear" w:color="auto" w:fill="FFFFFF"/>
        </w:rPr>
      </w:pPr>
      <w:bookmarkStart w:id="49" w:name="_Toc77322052"/>
      <w:r w:rsidRPr="008463F3">
        <w:rPr>
          <w:rFonts w:asciiTheme="minorHAnsi" w:hAnsiTheme="minorHAnsi"/>
          <w:shd w:val="clear" w:color="auto" w:fill="FFFFFF"/>
        </w:rPr>
        <w:t>5. Concluding remarks and policy recommendations</w:t>
      </w:r>
      <w:bookmarkEnd w:id="49"/>
      <w:r w:rsidRPr="008463F3">
        <w:rPr>
          <w:rFonts w:asciiTheme="minorHAnsi" w:hAnsiTheme="minorHAnsi"/>
          <w:shd w:val="clear" w:color="auto" w:fill="FFFFFF"/>
        </w:rPr>
        <w:t xml:space="preserve"> </w:t>
      </w:r>
      <w:bookmarkEnd w:id="47"/>
    </w:p>
    <w:p w14:paraId="7093A4A9" w14:textId="77777777" w:rsidR="007947BF" w:rsidRPr="008463F3" w:rsidRDefault="007947BF" w:rsidP="007947BF">
      <w:pPr>
        <w:jc w:val="both"/>
        <w:rPr>
          <w:lang w:val="en-GB"/>
        </w:rPr>
      </w:pPr>
      <w:r w:rsidRPr="008463F3">
        <w:rPr>
          <w:lang w:val="en-GB"/>
        </w:rPr>
        <w:t>In order to successfully integrate into the ERA, North Macedonia should recogni</w:t>
      </w:r>
      <w:r>
        <w:rPr>
          <w:lang w:val="en-GB"/>
        </w:rPr>
        <w:t>s</w:t>
      </w:r>
      <w:r w:rsidRPr="008463F3">
        <w:rPr>
          <w:lang w:val="en-GB"/>
        </w:rPr>
        <w:t xml:space="preserve">e research infrastructures as strategically important for economic development. The visibility and quality of RIs in the wider European research scope need to be further improved and connection with the knowledge society should be enhanced. Policy coordination is most important on this path, while strong links to R&amp;D priorities are necessary conditions so that funding could be directed to research facilities that carry out the best research and provide the most prominent socio-economic benefits. </w:t>
      </w:r>
    </w:p>
    <w:p w14:paraId="6B20D28A" w14:textId="77777777" w:rsidR="007947BF" w:rsidRPr="008463F3" w:rsidRDefault="007947BF" w:rsidP="007947BF">
      <w:pPr>
        <w:jc w:val="both"/>
        <w:rPr>
          <w:lang w:val="en-GB"/>
        </w:rPr>
      </w:pPr>
      <w:r w:rsidRPr="008463F3">
        <w:rPr>
          <w:lang w:val="en-GB"/>
        </w:rPr>
        <w:t>Having in mind that research advancements are extremely dynamic, RI Roadmap should be considered as a continuous process resulting in a more comprehensive inclusion of existing research infrastructure in the future.</w:t>
      </w:r>
    </w:p>
    <w:p w14:paraId="6539EEBE" w14:textId="77777777" w:rsidR="007947BF" w:rsidRPr="008463F3" w:rsidRDefault="007947BF" w:rsidP="007947BF">
      <w:pPr>
        <w:jc w:val="both"/>
        <w:rPr>
          <w:lang w:val="en-GB"/>
        </w:rPr>
      </w:pPr>
      <w:r w:rsidRPr="008463F3">
        <w:rPr>
          <w:lang w:val="en-GB"/>
        </w:rPr>
        <w:t>As a result of the analysis of current situation of research infrastructures in the economy, the following policy recommendations emerge aiming to improve the quality of the existing research infrastructure in North Macedonia:</w:t>
      </w:r>
    </w:p>
    <w:p w14:paraId="7A88DD8A" w14:textId="77777777" w:rsidR="007947BF" w:rsidRPr="008463F3" w:rsidRDefault="007947BF" w:rsidP="007947BF">
      <w:pPr>
        <w:spacing w:after="0"/>
        <w:jc w:val="both"/>
        <w:rPr>
          <w:lang w:val="en-GB"/>
        </w:rPr>
      </w:pPr>
      <w:r w:rsidRPr="008463F3">
        <w:rPr>
          <w:b/>
          <w:lang w:val="en-GB"/>
        </w:rPr>
        <w:t>Create an Action Plan for development of Research infrastructures</w:t>
      </w:r>
    </w:p>
    <w:p w14:paraId="6FA7F443" w14:textId="77777777" w:rsidR="007947BF" w:rsidRPr="008463F3" w:rsidRDefault="007947BF" w:rsidP="007947BF">
      <w:pPr>
        <w:jc w:val="both"/>
        <w:rPr>
          <w:lang w:val="en-GB"/>
        </w:rPr>
      </w:pPr>
      <w:r w:rsidRPr="008463F3">
        <w:rPr>
          <w:lang w:val="en-GB"/>
        </w:rPr>
        <w:t xml:space="preserve">After mapping the existing research infrastructures and RI projects in this document, it is necessary to </w:t>
      </w:r>
      <w:r>
        <w:rPr>
          <w:lang w:val="en-GB"/>
        </w:rPr>
        <w:t>develop</w:t>
      </w:r>
      <w:r w:rsidRPr="008463F3">
        <w:rPr>
          <w:lang w:val="en-GB"/>
        </w:rPr>
        <w:t xml:space="preserve"> an Action Plan for the implementation of measures and activities to ensure further development of RI. The main purpose of the Action Plan is to </w:t>
      </w:r>
      <w:r>
        <w:rPr>
          <w:lang w:val="en-GB"/>
        </w:rPr>
        <w:t>outline</w:t>
      </w:r>
      <w:r w:rsidRPr="008463F3">
        <w:rPr>
          <w:lang w:val="en-GB"/>
        </w:rPr>
        <w:t xml:space="preserve"> financial implications and summari</w:t>
      </w:r>
      <w:r>
        <w:rPr>
          <w:lang w:val="en-GB"/>
        </w:rPr>
        <w:t>s</w:t>
      </w:r>
      <w:r w:rsidRPr="008463F3">
        <w:rPr>
          <w:lang w:val="en-GB"/>
        </w:rPr>
        <w:t xml:space="preserve">e key steps that need to be taken to implement the actions and </w:t>
      </w:r>
      <w:r>
        <w:rPr>
          <w:lang w:val="en-GB"/>
        </w:rPr>
        <w:t>attain</w:t>
      </w:r>
      <w:r w:rsidRPr="008463F3">
        <w:rPr>
          <w:lang w:val="en-GB"/>
        </w:rPr>
        <w:t xml:space="preserve"> the objectives of the Roadmap. The implementation of RI Roadmap is critical for North Macedonia to get closer to the forefront of science and technology and become more competitive in regional economy. </w:t>
      </w:r>
    </w:p>
    <w:p w14:paraId="1952955E" w14:textId="77777777" w:rsidR="007947BF" w:rsidRPr="008463F3" w:rsidRDefault="007947BF" w:rsidP="007947BF">
      <w:pPr>
        <w:jc w:val="both"/>
        <w:rPr>
          <w:lang w:val="en-GB"/>
        </w:rPr>
      </w:pPr>
      <w:r w:rsidRPr="008463F3">
        <w:rPr>
          <w:lang w:val="en-GB"/>
        </w:rPr>
        <w:t xml:space="preserve">However, putting in place RI has a significant impact on national science budget (which is quite low), hence raising the question of their long-term sustainability. This requires a general debate to explore ways of combining funds </w:t>
      </w:r>
      <w:r>
        <w:rPr>
          <w:lang w:val="en-GB"/>
        </w:rPr>
        <w:t>from</w:t>
      </w:r>
      <w:r w:rsidRPr="008463F3">
        <w:rPr>
          <w:lang w:val="en-GB"/>
        </w:rPr>
        <w:t xml:space="preserve"> different sources more efficiently and ultimately defining goals for the Research Infrastructures. </w:t>
      </w:r>
    </w:p>
    <w:p w14:paraId="103907B3" w14:textId="77777777" w:rsidR="007947BF" w:rsidRPr="008463F3" w:rsidRDefault="007947BF" w:rsidP="007947BF">
      <w:pPr>
        <w:spacing w:after="0"/>
        <w:jc w:val="both"/>
        <w:rPr>
          <w:b/>
          <w:lang w:val="en-GB"/>
        </w:rPr>
      </w:pPr>
      <w:r w:rsidRPr="008463F3">
        <w:rPr>
          <w:b/>
          <w:lang w:val="en-GB"/>
        </w:rPr>
        <w:t xml:space="preserve">Establish a link between the research potential identified in the RI </w:t>
      </w:r>
      <w:r>
        <w:rPr>
          <w:b/>
          <w:lang w:val="en-GB"/>
        </w:rPr>
        <w:t>R</w:t>
      </w:r>
      <w:r w:rsidRPr="008463F3">
        <w:rPr>
          <w:b/>
          <w:lang w:val="en-GB"/>
        </w:rPr>
        <w:t>oadmap and future activities in designing the Smart Speciali</w:t>
      </w:r>
      <w:r>
        <w:rPr>
          <w:b/>
          <w:lang w:val="en-GB"/>
        </w:rPr>
        <w:t>s</w:t>
      </w:r>
      <w:r w:rsidRPr="008463F3">
        <w:rPr>
          <w:b/>
          <w:lang w:val="en-GB"/>
        </w:rPr>
        <w:t>ation Strategy</w:t>
      </w:r>
    </w:p>
    <w:p w14:paraId="76E91B9E" w14:textId="77777777" w:rsidR="007947BF" w:rsidRPr="008463F3" w:rsidRDefault="007947BF" w:rsidP="007947BF">
      <w:pPr>
        <w:jc w:val="both"/>
        <w:rPr>
          <w:lang w:val="en-GB"/>
        </w:rPr>
      </w:pPr>
      <w:r w:rsidRPr="008463F3">
        <w:rPr>
          <w:lang w:val="en-GB"/>
        </w:rPr>
        <w:t xml:space="preserve">Since North Macedonia is currently in the process of designing </w:t>
      </w:r>
      <w:r>
        <w:rPr>
          <w:lang w:val="en-GB"/>
        </w:rPr>
        <w:t>its</w:t>
      </w:r>
      <w:r w:rsidRPr="008463F3">
        <w:rPr>
          <w:lang w:val="en-GB"/>
        </w:rPr>
        <w:t xml:space="preserve"> S3, it is important to include the RI Roadmap as an input document for the next steps that will lead to the selection of the final priority domains. The existing research infrastructures are an important guideline for mapping R&amp;D potentials as a necessary element for defining a policy mix in the process of S3 implementation.</w:t>
      </w:r>
    </w:p>
    <w:p w14:paraId="67D56213" w14:textId="77777777" w:rsidR="007947BF" w:rsidRPr="008463F3" w:rsidRDefault="007947BF" w:rsidP="007947BF">
      <w:pPr>
        <w:jc w:val="both"/>
        <w:rPr>
          <w:lang w:val="en-GB"/>
        </w:rPr>
      </w:pPr>
      <w:r w:rsidRPr="008463F3">
        <w:rPr>
          <w:lang w:val="en-GB"/>
        </w:rPr>
        <w:t xml:space="preserve">If North Macedonia wishes to ensure successful implementation of the S3 and to use the existing opportunities, it should provide the upgrade or construction of new research infrastructures and further develop the research-innovation potential. Regarding the investments in projects of national importance, it is also reasonable to invest in RI projects that will contribute to the reduction of the development gap in relation to </w:t>
      </w:r>
      <w:r>
        <w:rPr>
          <w:lang w:val="en-GB"/>
        </w:rPr>
        <w:t xml:space="preserve">developed </w:t>
      </w:r>
      <w:r w:rsidRPr="008463F3">
        <w:rPr>
          <w:lang w:val="en-GB"/>
        </w:rPr>
        <w:t>EU</w:t>
      </w:r>
      <w:r>
        <w:rPr>
          <w:lang w:val="en-GB"/>
        </w:rPr>
        <w:t xml:space="preserve"> MS</w:t>
      </w:r>
      <w:r w:rsidRPr="008463F3">
        <w:rPr>
          <w:lang w:val="en-GB"/>
        </w:rPr>
        <w:t>.</w:t>
      </w:r>
    </w:p>
    <w:p w14:paraId="00205F7A" w14:textId="77777777" w:rsidR="007947BF" w:rsidRPr="008463F3" w:rsidRDefault="007947BF" w:rsidP="007947BF">
      <w:pPr>
        <w:spacing w:after="0"/>
        <w:jc w:val="both"/>
        <w:rPr>
          <w:b/>
          <w:lang w:val="en-GB"/>
        </w:rPr>
      </w:pPr>
      <w:r w:rsidRPr="008463F3">
        <w:rPr>
          <w:b/>
          <w:lang w:val="en-GB"/>
        </w:rPr>
        <w:t>Increase investments in research infrastructures</w:t>
      </w:r>
    </w:p>
    <w:p w14:paraId="74FB865C" w14:textId="77777777" w:rsidR="007947BF" w:rsidRPr="008463F3" w:rsidRDefault="007947BF" w:rsidP="007947BF">
      <w:pPr>
        <w:spacing w:after="0"/>
        <w:jc w:val="both"/>
        <w:rPr>
          <w:lang w:val="en-GB"/>
        </w:rPr>
      </w:pPr>
      <w:r w:rsidRPr="008463F3">
        <w:rPr>
          <w:lang w:val="en-GB"/>
        </w:rPr>
        <w:t xml:space="preserve">According to the current figures, North Macedonia records very modest level of R&amp;D expenditures compared to EU member states </w:t>
      </w:r>
      <w:r>
        <w:rPr>
          <w:lang w:val="en-GB"/>
        </w:rPr>
        <w:t>and the overall situation</w:t>
      </w:r>
      <w:r w:rsidRPr="008463F3">
        <w:rPr>
          <w:lang w:val="en-GB"/>
        </w:rPr>
        <w:t xml:space="preserve"> is even worse considering the declining trend of R&amp;D investments in recent years. If North Macedonia wants to catch up with developed economies, it is necessary to consider greater budget allocation for R&amp;D and creating policy measures that would stimulate higher investments in research activities by the research and business sectors.</w:t>
      </w:r>
    </w:p>
    <w:p w14:paraId="705E7CB8" w14:textId="77777777" w:rsidR="007947BF" w:rsidRPr="008463F3" w:rsidRDefault="007947BF" w:rsidP="007947BF">
      <w:pPr>
        <w:jc w:val="both"/>
        <w:rPr>
          <w:lang w:val="en-GB"/>
        </w:rPr>
      </w:pPr>
      <w:r w:rsidRPr="008463F3">
        <w:rPr>
          <w:lang w:val="en-GB"/>
        </w:rPr>
        <w:t xml:space="preserve">With regards to financing research infrastructures, North Macedonia should consider implementing a second round of support to research laboratories that was originally implemented by the Ministry of Education and Science in 2010. Considering the time lapse of 10 years, research equipment is largely obsolete and additional investment is needed to enable research institutions to operate in accordance with the state of the art research equipment. The second financial support programme would contribute to strengthening the universities and other research institutions with the most modern research equipment, and supporting them in </w:t>
      </w:r>
      <w:r>
        <w:rPr>
          <w:lang w:val="en-GB"/>
        </w:rPr>
        <w:t>implementation</w:t>
      </w:r>
      <w:r w:rsidRPr="008463F3">
        <w:rPr>
          <w:lang w:val="en-GB"/>
        </w:rPr>
        <w:t xml:space="preserve"> of their international scientific projects.</w:t>
      </w:r>
    </w:p>
    <w:p w14:paraId="73E38C76" w14:textId="77777777" w:rsidR="007947BF" w:rsidRPr="008463F3" w:rsidRDefault="007947BF" w:rsidP="007947BF">
      <w:pPr>
        <w:spacing w:after="0"/>
        <w:jc w:val="both"/>
        <w:rPr>
          <w:b/>
          <w:lang w:val="en-GB"/>
        </w:rPr>
      </w:pPr>
      <w:r w:rsidRPr="008463F3">
        <w:rPr>
          <w:b/>
          <w:lang w:val="en-GB"/>
        </w:rPr>
        <w:t>Improve the policy framework</w:t>
      </w:r>
    </w:p>
    <w:p w14:paraId="7B90812D" w14:textId="77777777" w:rsidR="007947BF" w:rsidRPr="008463F3" w:rsidRDefault="007947BF" w:rsidP="007947BF">
      <w:pPr>
        <w:jc w:val="both"/>
        <w:rPr>
          <w:lang w:val="en-GB"/>
        </w:rPr>
      </w:pPr>
      <w:r w:rsidRPr="008463F3">
        <w:rPr>
          <w:lang w:val="en-GB"/>
        </w:rPr>
        <w:t xml:space="preserve">The research system of North Macedonia </w:t>
      </w:r>
      <w:r>
        <w:rPr>
          <w:lang w:val="en-GB"/>
        </w:rPr>
        <w:t xml:space="preserve">is </w:t>
      </w:r>
      <w:r w:rsidRPr="008463F3">
        <w:rPr>
          <w:lang w:val="en-GB"/>
        </w:rPr>
        <w:t>characteri</w:t>
      </w:r>
      <w:r>
        <w:rPr>
          <w:lang w:val="en-GB"/>
        </w:rPr>
        <w:t>s</w:t>
      </w:r>
      <w:r w:rsidRPr="008463F3">
        <w:rPr>
          <w:lang w:val="en-GB"/>
        </w:rPr>
        <w:t>e</w:t>
      </w:r>
      <w:r>
        <w:rPr>
          <w:lang w:val="en-GB"/>
        </w:rPr>
        <w:t>d</w:t>
      </w:r>
      <w:r w:rsidRPr="008463F3">
        <w:rPr>
          <w:lang w:val="en-GB"/>
        </w:rPr>
        <w:t xml:space="preserve"> </w:t>
      </w:r>
      <w:r>
        <w:rPr>
          <w:lang w:val="en-GB"/>
        </w:rPr>
        <w:t xml:space="preserve">by </w:t>
      </w:r>
      <w:r w:rsidRPr="008463F3">
        <w:rPr>
          <w:lang w:val="en-GB"/>
        </w:rPr>
        <w:t>the absence of a science and research development strategy. The review of current strategic documents in the area of R&amp;D has shown that there is no National Program</w:t>
      </w:r>
      <w:r>
        <w:rPr>
          <w:lang w:val="en-GB"/>
        </w:rPr>
        <w:t>me</w:t>
      </w:r>
      <w:r w:rsidRPr="008463F3">
        <w:rPr>
          <w:lang w:val="en-GB"/>
        </w:rPr>
        <w:t xml:space="preserve"> for Scientific and Research Activity</w:t>
      </w:r>
      <w:r>
        <w:rPr>
          <w:lang w:val="en-GB"/>
        </w:rPr>
        <w:t xml:space="preserve"> in place in</w:t>
      </w:r>
      <w:r w:rsidRPr="008463F3">
        <w:rPr>
          <w:lang w:val="en-GB"/>
        </w:rPr>
        <w:t xml:space="preserve"> North Macedonia. The absence of this strategic document represents a certain obstacle in implementing RI Roadmap due to the lack of a strategic basis and framework. Considering the importance of this strategic document for defining strategic directions and priorities and future development of research activities in North Macedonia, the National Council for Higher Education and Scientific Research should develop a National Programme for Scientific and Research Activity of North Macedonia.</w:t>
      </w:r>
    </w:p>
    <w:p w14:paraId="71B8945B" w14:textId="77777777" w:rsidR="007947BF" w:rsidRPr="008463F3" w:rsidRDefault="007947BF" w:rsidP="007947BF">
      <w:pPr>
        <w:jc w:val="both"/>
        <w:rPr>
          <w:lang w:val="en-GB"/>
        </w:rPr>
      </w:pPr>
      <w:r w:rsidRPr="008463F3">
        <w:rPr>
          <w:lang w:val="en-GB"/>
        </w:rPr>
        <w:t>The term “Research Infrastructure” is recogni</w:t>
      </w:r>
      <w:r>
        <w:rPr>
          <w:lang w:val="en-GB"/>
        </w:rPr>
        <w:t>s</w:t>
      </w:r>
      <w:r w:rsidRPr="008463F3">
        <w:rPr>
          <w:lang w:val="en-GB"/>
        </w:rPr>
        <w:t xml:space="preserve">ed and clearly defined in the current version of the Law on Scientific and Research Activity; however, in the next amendment </w:t>
      </w:r>
      <w:r>
        <w:rPr>
          <w:lang w:val="en-GB"/>
        </w:rPr>
        <w:t>to</w:t>
      </w:r>
      <w:r w:rsidRPr="008463F3">
        <w:rPr>
          <w:lang w:val="en-GB"/>
        </w:rPr>
        <w:t xml:space="preserve"> this Law, it is desirable to provide a definition of “RI Roadmap” that would include </w:t>
      </w:r>
      <w:r>
        <w:rPr>
          <w:lang w:val="en-GB"/>
        </w:rPr>
        <w:t xml:space="preserve">its </w:t>
      </w:r>
      <w:r w:rsidRPr="008463F3">
        <w:rPr>
          <w:lang w:val="en-GB"/>
        </w:rPr>
        <w:t xml:space="preserve">clear purpose </w:t>
      </w:r>
      <w:r>
        <w:rPr>
          <w:lang w:val="en-GB"/>
        </w:rPr>
        <w:t>and</w:t>
      </w:r>
      <w:r w:rsidRPr="008463F3">
        <w:rPr>
          <w:lang w:val="en-GB"/>
        </w:rPr>
        <w:t xml:space="preserve"> create a legal basis for development and adoption of this policy document.</w:t>
      </w:r>
    </w:p>
    <w:p w14:paraId="51204E62" w14:textId="77777777" w:rsidR="007947BF" w:rsidRPr="008463F3" w:rsidRDefault="007947BF" w:rsidP="007947BF">
      <w:pPr>
        <w:jc w:val="both"/>
        <w:rPr>
          <w:lang w:val="en-GB"/>
        </w:rPr>
      </w:pPr>
      <w:r w:rsidRPr="008463F3">
        <w:rPr>
          <w:lang w:val="en-GB"/>
        </w:rPr>
        <w:t xml:space="preserve">The Ministry of Education and Science should establish partnership with the NOSCI.mk and jointly work on the inclusion of open science, open access and open infrastructures into the national </w:t>
      </w:r>
      <w:r>
        <w:rPr>
          <w:lang w:val="en-GB"/>
        </w:rPr>
        <w:t>legal framework</w:t>
      </w:r>
      <w:r w:rsidRPr="008463F3">
        <w:rPr>
          <w:lang w:val="en-GB"/>
        </w:rPr>
        <w:t xml:space="preserve"> for research and education. </w:t>
      </w:r>
    </w:p>
    <w:p w14:paraId="5F6BF205" w14:textId="77777777" w:rsidR="007947BF" w:rsidRPr="008463F3" w:rsidRDefault="007947BF" w:rsidP="007947BF">
      <w:pPr>
        <w:jc w:val="both"/>
        <w:rPr>
          <w:b/>
          <w:lang w:val="en-GB"/>
        </w:rPr>
      </w:pPr>
      <w:r w:rsidRPr="008463F3">
        <w:rPr>
          <w:lang w:val="en-GB"/>
        </w:rPr>
        <w:t xml:space="preserve">The Ministry of Education and Science should also consider adapting the national </w:t>
      </w:r>
      <w:r>
        <w:rPr>
          <w:lang w:val="en-GB"/>
        </w:rPr>
        <w:t>legal framework</w:t>
      </w:r>
      <w:r w:rsidRPr="008463F3">
        <w:rPr>
          <w:lang w:val="en-GB"/>
        </w:rPr>
        <w:t xml:space="preserve"> for the assessment of academic advancement and align it with the current EU trends that rely heavily on the open science principles and FAIR data.</w:t>
      </w:r>
    </w:p>
    <w:p w14:paraId="4B30A3A6" w14:textId="77777777" w:rsidR="007947BF" w:rsidRPr="008463F3" w:rsidRDefault="007947BF" w:rsidP="007947BF">
      <w:pPr>
        <w:spacing w:after="0"/>
        <w:jc w:val="both"/>
        <w:rPr>
          <w:b/>
          <w:lang w:val="en-GB"/>
        </w:rPr>
      </w:pPr>
      <w:r w:rsidRPr="008463F3">
        <w:rPr>
          <w:b/>
          <w:lang w:val="en-GB"/>
        </w:rPr>
        <w:t xml:space="preserve">Support the development of e-infrastructure </w:t>
      </w:r>
    </w:p>
    <w:p w14:paraId="2402FE7C" w14:textId="77777777" w:rsidR="007947BF" w:rsidRPr="008463F3" w:rsidRDefault="007947BF" w:rsidP="007947BF">
      <w:pPr>
        <w:jc w:val="both"/>
        <w:rPr>
          <w:lang w:val="en-GB"/>
        </w:rPr>
      </w:pPr>
      <w:r w:rsidRPr="008463F3">
        <w:rPr>
          <w:lang w:val="en-GB"/>
        </w:rPr>
        <w:t xml:space="preserve">Strong and high-quality e-infrastructure is the basis and condition for the future development of research system in North Macedonia. In strategic terms, North Macedonia should do much more in supporting e-infrastructure than it does now. It is necessary to make better plans for the coordinated development of e-infrastructure so that the necessary funds can be </w:t>
      </w:r>
      <w:r>
        <w:rPr>
          <w:lang w:val="en-GB"/>
        </w:rPr>
        <w:t xml:space="preserve">timely </w:t>
      </w:r>
      <w:r w:rsidRPr="008463F3">
        <w:rPr>
          <w:lang w:val="en-GB"/>
        </w:rPr>
        <w:t xml:space="preserve">allocated. North Macedonia should launch measures to encourage research institutions </w:t>
      </w:r>
      <w:r>
        <w:rPr>
          <w:lang w:val="en-GB"/>
        </w:rPr>
        <w:t>to pursue</w:t>
      </w:r>
      <w:r w:rsidRPr="008463F3">
        <w:rPr>
          <w:lang w:val="en-GB"/>
        </w:rPr>
        <w:t xml:space="preserve"> collaborative investment in e-infrastructures where everyone could show their own interest in e-infrastructure development through partnership. </w:t>
      </w:r>
    </w:p>
    <w:p w14:paraId="21E99318" w14:textId="77777777" w:rsidR="007947BF" w:rsidRPr="008463F3" w:rsidRDefault="007947BF" w:rsidP="007947BF">
      <w:pPr>
        <w:jc w:val="both"/>
        <w:rPr>
          <w:lang w:val="en-GB"/>
        </w:rPr>
      </w:pPr>
      <w:r w:rsidRPr="008463F3">
        <w:rPr>
          <w:lang w:val="en-GB"/>
        </w:rPr>
        <w:t>The Ministry of Education and Science should foster the initiative of identifying and digiti</w:t>
      </w:r>
      <w:r>
        <w:rPr>
          <w:lang w:val="en-GB"/>
        </w:rPr>
        <w:t>s</w:t>
      </w:r>
      <w:r w:rsidRPr="008463F3">
        <w:rPr>
          <w:lang w:val="en-GB"/>
        </w:rPr>
        <w:t>ing various collections of records that exist in research centr</w:t>
      </w:r>
      <w:r>
        <w:rPr>
          <w:lang w:val="en-GB"/>
        </w:rPr>
        <w:t>e</w:t>
      </w:r>
      <w:r w:rsidRPr="008463F3">
        <w:rPr>
          <w:lang w:val="en-GB"/>
        </w:rPr>
        <w:t>s.</w:t>
      </w:r>
    </w:p>
    <w:p w14:paraId="18BCD477" w14:textId="77777777" w:rsidR="007947BF" w:rsidRPr="008463F3" w:rsidRDefault="007947BF" w:rsidP="007947BF">
      <w:pPr>
        <w:spacing w:after="0"/>
        <w:jc w:val="both"/>
        <w:rPr>
          <w:lang w:val="en-GB"/>
        </w:rPr>
      </w:pPr>
      <w:r w:rsidRPr="008463F3">
        <w:rPr>
          <w:lang w:val="en-GB"/>
        </w:rPr>
        <w:t xml:space="preserve">Additional recommendations relate to the following: </w:t>
      </w:r>
    </w:p>
    <w:p w14:paraId="1F2F9D6B" w14:textId="77777777" w:rsidR="007947BF" w:rsidRPr="008463F3" w:rsidRDefault="007947BF" w:rsidP="007947BF">
      <w:pPr>
        <w:pStyle w:val="ListParagraph"/>
        <w:numPr>
          <w:ilvl w:val="0"/>
          <w:numId w:val="46"/>
        </w:numPr>
        <w:jc w:val="both"/>
        <w:rPr>
          <w:lang w:val="en-GB"/>
        </w:rPr>
      </w:pPr>
      <w:r w:rsidRPr="008463F3">
        <w:rPr>
          <w:lang w:val="en-GB"/>
        </w:rPr>
        <w:t xml:space="preserve">Intensify digitalisation of research and innovation sector, in particular </w:t>
      </w:r>
      <w:r>
        <w:rPr>
          <w:lang w:val="en-GB"/>
        </w:rPr>
        <w:t xml:space="preserve">the </w:t>
      </w:r>
      <w:r w:rsidRPr="008463F3">
        <w:rPr>
          <w:lang w:val="en-GB"/>
        </w:rPr>
        <w:t xml:space="preserve">process of identification and digitalisation of various collections and other contents of national importance </w:t>
      </w:r>
    </w:p>
    <w:p w14:paraId="00B6D097" w14:textId="77777777" w:rsidR="007947BF" w:rsidRPr="008463F3" w:rsidRDefault="007947BF" w:rsidP="007947BF">
      <w:pPr>
        <w:pStyle w:val="ListParagraph"/>
        <w:numPr>
          <w:ilvl w:val="0"/>
          <w:numId w:val="46"/>
        </w:numPr>
        <w:rPr>
          <w:lang w:val="en-GB"/>
        </w:rPr>
      </w:pPr>
      <w:r w:rsidRPr="008463F3">
        <w:rPr>
          <w:lang w:val="en-GB"/>
        </w:rPr>
        <w:t>It is necessary to intensify the work o</w:t>
      </w:r>
      <w:r>
        <w:rPr>
          <w:lang w:val="en-GB"/>
        </w:rPr>
        <w:t>n</w:t>
      </w:r>
      <w:r w:rsidRPr="008463F3">
        <w:rPr>
          <w:lang w:val="en-GB"/>
        </w:rPr>
        <w:t xml:space="preserve"> creating prerequisites for open access to research data</w:t>
      </w:r>
    </w:p>
    <w:p w14:paraId="006CE59C" w14:textId="77777777" w:rsidR="007947BF" w:rsidRPr="008463F3" w:rsidRDefault="007947BF" w:rsidP="007947BF">
      <w:pPr>
        <w:pStyle w:val="ListParagraph"/>
        <w:numPr>
          <w:ilvl w:val="0"/>
          <w:numId w:val="46"/>
        </w:numPr>
        <w:jc w:val="both"/>
        <w:rPr>
          <w:lang w:val="en-GB"/>
        </w:rPr>
      </w:pPr>
      <w:r w:rsidRPr="008463F3">
        <w:rPr>
          <w:lang w:val="en-GB"/>
        </w:rPr>
        <w:t>Improve information and strengthen user support for open access and maximum use of existing infrastructures.</w:t>
      </w:r>
    </w:p>
    <w:p w14:paraId="6CB1405A" w14:textId="77777777" w:rsidR="007947BF" w:rsidRPr="008463F3" w:rsidRDefault="007947BF" w:rsidP="007947BF">
      <w:pPr>
        <w:spacing w:after="0"/>
        <w:jc w:val="both"/>
        <w:rPr>
          <w:rFonts w:cstheme="minorHAnsi"/>
          <w:b/>
          <w:lang w:val="en-GB"/>
        </w:rPr>
      </w:pPr>
      <w:r w:rsidRPr="008463F3">
        <w:rPr>
          <w:rFonts w:cstheme="minorHAnsi"/>
          <w:b/>
          <w:lang w:val="en-GB"/>
        </w:rPr>
        <w:t>Consider options for more active participation in Large European Research Infrastructures</w:t>
      </w:r>
    </w:p>
    <w:p w14:paraId="66FEA840" w14:textId="77777777" w:rsidR="007947BF" w:rsidRPr="008463F3" w:rsidRDefault="007947BF" w:rsidP="007947BF">
      <w:pPr>
        <w:spacing w:after="0"/>
        <w:jc w:val="both"/>
        <w:rPr>
          <w:lang w:val="en-GB"/>
        </w:rPr>
      </w:pPr>
      <w:r w:rsidRPr="008463F3">
        <w:rPr>
          <w:rFonts w:cstheme="minorHAnsi"/>
          <w:lang w:val="en-GB"/>
        </w:rPr>
        <w:t xml:space="preserve">It is noteworthy to mention that despite the unenviable state of science and research North Macedonia </w:t>
      </w:r>
      <w:r>
        <w:rPr>
          <w:rFonts w:cstheme="minorHAnsi"/>
          <w:lang w:val="en-GB"/>
        </w:rPr>
        <w:t xml:space="preserve">institutions </w:t>
      </w:r>
      <w:r w:rsidRPr="008463F3">
        <w:rPr>
          <w:rFonts w:cstheme="minorHAnsi"/>
          <w:lang w:val="en-GB"/>
        </w:rPr>
        <w:t>have been participating in several European RIs. However</w:t>
      </w:r>
      <w:r>
        <w:rPr>
          <w:rFonts w:cstheme="minorHAnsi"/>
          <w:lang w:val="en-GB"/>
        </w:rPr>
        <w:t>,</w:t>
      </w:r>
      <w:r w:rsidRPr="008463F3">
        <w:rPr>
          <w:rFonts w:cstheme="minorHAnsi"/>
          <w:lang w:val="en-GB"/>
        </w:rPr>
        <w:t xml:space="preserve"> North Macedonia should consider launching policy instruments that would result in increasing participation in large Pan-European research infrastructures. Benefits of accessing large RI for researchers and research institutions are multiple and mostly related to: capacity building, </w:t>
      </w:r>
      <w:r>
        <w:rPr>
          <w:rFonts w:cstheme="minorHAnsi"/>
          <w:lang w:val="en-GB"/>
        </w:rPr>
        <w:t>implementation</w:t>
      </w:r>
      <w:r w:rsidRPr="008463F3">
        <w:rPr>
          <w:rFonts w:cstheme="minorHAnsi"/>
          <w:lang w:val="en-GB"/>
        </w:rPr>
        <w:t xml:space="preserve"> of high-level research projects that </w:t>
      </w:r>
      <w:r>
        <w:rPr>
          <w:rFonts w:cstheme="minorHAnsi"/>
          <w:lang w:val="en-GB"/>
        </w:rPr>
        <w:t>cannot be implemented in-economy</w:t>
      </w:r>
      <w:r w:rsidRPr="008463F3">
        <w:rPr>
          <w:rFonts w:cstheme="minorHAnsi"/>
          <w:lang w:val="en-GB"/>
        </w:rPr>
        <w:t xml:space="preserve"> due to the lack of appropriate equipment, strengthening national scientific excellence</w:t>
      </w:r>
      <w:r>
        <w:rPr>
          <w:rFonts w:cstheme="minorHAnsi"/>
          <w:lang w:val="en-GB"/>
        </w:rPr>
        <w:t>,</w:t>
      </w:r>
      <w:r w:rsidRPr="008463F3">
        <w:rPr>
          <w:rFonts w:cstheme="minorHAnsi"/>
          <w:lang w:val="en-GB"/>
        </w:rPr>
        <w:t xml:space="preserve"> etc.</w:t>
      </w:r>
      <w:r w:rsidRPr="008463F3">
        <w:rPr>
          <w:lang w:val="en-GB"/>
        </w:rPr>
        <w:t xml:space="preserve"> </w:t>
      </w:r>
    </w:p>
    <w:p w14:paraId="528991F7" w14:textId="77777777" w:rsidR="007947BF" w:rsidRPr="008463F3" w:rsidRDefault="007947BF" w:rsidP="007947BF">
      <w:pPr>
        <w:jc w:val="both"/>
        <w:rPr>
          <w:rFonts w:cstheme="minorHAnsi"/>
          <w:color w:val="FF0000"/>
          <w:lang w:val="en-GB"/>
        </w:rPr>
      </w:pPr>
      <w:r w:rsidRPr="008463F3">
        <w:rPr>
          <w:rFonts w:cstheme="minorHAnsi"/>
          <w:lang w:val="en-GB"/>
        </w:rPr>
        <w:t>The relevant ministries should provide financial support for the membership of interested institutions from North Macedonia in Large RIs and associations</w:t>
      </w:r>
      <w:r>
        <w:rPr>
          <w:rFonts w:cstheme="minorHAnsi"/>
          <w:lang w:val="en-GB"/>
        </w:rPr>
        <w:t>,</w:t>
      </w:r>
      <w:r w:rsidRPr="008463F3">
        <w:rPr>
          <w:rFonts w:cstheme="minorHAnsi"/>
          <w:lang w:val="en-GB"/>
        </w:rPr>
        <w:t xml:space="preserve"> </w:t>
      </w:r>
      <w:r>
        <w:rPr>
          <w:rFonts w:cstheme="minorHAnsi"/>
          <w:lang w:val="en-GB"/>
        </w:rPr>
        <w:t>b</w:t>
      </w:r>
      <w:r w:rsidRPr="008463F3">
        <w:rPr>
          <w:rFonts w:cstheme="minorHAnsi"/>
          <w:lang w:val="en-GB"/>
        </w:rPr>
        <w:t xml:space="preserve">efore </w:t>
      </w:r>
      <w:r>
        <w:rPr>
          <w:rFonts w:cstheme="minorHAnsi"/>
          <w:lang w:val="en-GB"/>
        </w:rPr>
        <w:t>which</w:t>
      </w:r>
      <w:r w:rsidRPr="008463F3">
        <w:rPr>
          <w:rFonts w:cstheme="minorHAnsi"/>
          <w:lang w:val="en-GB"/>
        </w:rPr>
        <w:t xml:space="preserve"> it is necessary to identify</w:t>
      </w:r>
      <w:r w:rsidRPr="008463F3">
        <w:rPr>
          <w:lang w:val="en-GB"/>
        </w:rPr>
        <w:t xml:space="preserve"> </w:t>
      </w:r>
      <w:r w:rsidRPr="008463F3">
        <w:rPr>
          <w:rFonts w:cstheme="minorHAnsi"/>
          <w:lang w:val="en-GB"/>
        </w:rPr>
        <w:t>and propose appropriate ESFRI/ERIC RIs for which there is interest and capacity for membership.</w:t>
      </w:r>
    </w:p>
    <w:p w14:paraId="02B18E18" w14:textId="77777777" w:rsidR="007947BF" w:rsidRPr="008463F3" w:rsidRDefault="007947BF" w:rsidP="007947BF">
      <w:pPr>
        <w:spacing w:after="0"/>
        <w:jc w:val="both"/>
        <w:rPr>
          <w:rFonts w:cstheme="minorHAnsi"/>
          <w:b/>
          <w:lang w:val="en-GB"/>
        </w:rPr>
      </w:pPr>
      <w:r w:rsidRPr="008463F3">
        <w:rPr>
          <w:rFonts w:cstheme="minorHAnsi"/>
          <w:b/>
          <w:lang w:val="en-GB"/>
        </w:rPr>
        <w:t>Defining Open Access Policies for research infrastructures</w:t>
      </w:r>
    </w:p>
    <w:p w14:paraId="70A4EEA1" w14:textId="77777777" w:rsidR="007947BF" w:rsidRPr="008463F3" w:rsidRDefault="007947BF" w:rsidP="007947BF">
      <w:pPr>
        <w:spacing w:after="120"/>
        <w:jc w:val="both"/>
        <w:rPr>
          <w:rFonts w:cstheme="minorHAnsi"/>
          <w:lang w:val="en-GB"/>
        </w:rPr>
      </w:pPr>
      <w:r w:rsidRPr="008463F3">
        <w:rPr>
          <w:rFonts w:cstheme="minorHAnsi"/>
          <w:lang w:val="en-GB"/>
        </w:rPr>
        <w:t xml:space="preserve">As a result of Open Access Research Infrastructure in the Western Balkans Support Programme implemented by RCC </w:t>
      </w:r>
      <w:r>
        <w:rPr>
          <w:rFonts w:cstheme="minorHAnsi"/>
          <w:lang w:val="en-GB"/>
        </w:rPr>
        <w:t>S</w:t>
      </w:r>
      <w:r w:rsidRPr="008463F3">
        <w:rPr>
          <w:rFonts w:cstheme="minorHAnsi"/>
          <w:lang w:val="en-GB"/>
        </w:rPr>
        <w:t>ecretariat in 2020, 4 research institutions in North Macedonia have created a document on Open Access Policy to RI. Building on the experience gained in this program</w:t>
      </w:r>
      <w:r>
        <w:rPr>
          <w:rFonts w:cstheme="minorHAnsi"/>
          <w:lang w:val="en-GB"/>
        </w:rPr>
        <w:t>me</w:t>
      </w:r>
      <w:r w:rsidRPr="008463F3">
        <w:rPr>
          <w:rFonts w:cstheme="minorHAnsi"/>
          <w:lang w:val="en-GB"/>
        </w:rPr>
        <w:t xml:space="preserve">, the Ministry of Education and Science should encourage other research institutions to adopt their own Open Access Policy documents. The final deliverables from this Programme could be taken into account when defining policies for providing access to RIs. </w:t>
      </w:r>
    </w:p>
    <w:p w14:paraId="02639460" w14:textId="77777777" w:rsidR="007947BF" w:rsidRPr="008463F3" w:rsidRDefault="007947BF" w:rsidP="007947BF">
      <w:pPr>
        <w:spacing w:after="120"/>
        <w:jc w:val="both"/>
        <w:rPr>
          <w:rFonts w:cstheme="minorHAnsi"/>
          <w:lang w:val="en-GB"/>
        </w:rPr>
      </w:pPr>
      <w:r w:rsidRPr="008463F3">
        <w:rPr>
          <w:rFonts w:cstheme="minorHAnsi"/>
          <w:lang w:val="en-GB"/>
        </w:rPr>
        <w:t xml:space="preserve">Additionally, best practices and </w:t>
      </w:r>
      <w:r>
        <w:rPr>
          <w:rFonts w:cstheme="minorHAnsi"/>
          <w:lang w:val="en-GB"/>
        </w:rPr>
        <w:t>guidelines regarding</w:t>
      </w:r>
      <w:r w:rsidRPr="008463F3">
        <w:rPr>
          <w:rFonts w:cstheme="minorHAnsi"/>
          <w:lang w:val="en-GB"/>
        </w:rPr>
        <w:t xml:space="preserve"> the topics helpful to those responsible for defini</w:t>
      </w:r>
      <w:r>
        <w:rPr>
          <w:rFonts w:cstheme="minorHAnsi"/>
          <w:lang w:val="en-GB"/>
        </w:rPr>
        <w:t>ng</w:t>
      </w:r>
      <w:r w:rsidRPr="008463F3">
        <w:rPr>
          <w:rFonts w:cstheme="minorHAnsi"/>
          <w:lang w:val="en-GB"/>
        </w:rPr>
        <w:t xml:space="preserve"> access policies could be found in the public document </w:t>
      </w:r>
      <w:r>
        <w:rPr>
          <w:rFonts w:cstheme="minorHAnsi"/>
          <w:lang w:val="en-GB"/>
        </w:rPr>
        <w:t>developed</w:t>
      </w:r>
      <w:r w:rsidRPr="008463F3">
        <w:rPr>
          <w:rFonts w:cstheme="minorHAnsi"/>
          <w:lang w:val="en-GB"/>
        </w:rPr>
        <w:t xml:space="preserve"> by </w:t>
      </w:r>
      <w:r>
        <w:rPr>
          <w:rFonts w:cstheme="minorHAnsi"/>
          <w:lang w:val="en-GB"/>
        </w:rPr>
        <w:t xml:space="preserve">the </w:t>
      </w:r>
      <w:r w:rsidRPr="008463F3">
        <w:rPr>
          <w:rFonts w:cstheme="minorHAnsi"/>
          <w:lang w:val="en-GB"/>
        </w:rPr>
        <w:t>EU Commission</w:t>
      </w:r>
      <w:r w:rsidRPr="008463F3">
        <w:rPr>
          <w:rStyle w:val="FootnoteReference"/>
          <w:rFonts w:cstheme="minorHAnsi"/>
          <w:lang w:val="en-GB"/>
        </w:rPr>
        <w:footnoteReference w:id="8"/>
      </w:r>
      <w:r w:rsidRPr="008463F3">
        <w:rPr>
          <w:rFonts w:cstheme="minorHAnsi"/>
          <w:lang w:val="en-GB"/>
        </w:rPr>
        <w:t xml:space="preserve"> that provides the charter for access to research infrastructures which sets out principles and guidelines </w:t>
      </w:r>
      <w:r>
        <w:rPr>
          <w:rFonts w:cstheme="minorHAnsi"/>
          <w:lang w:val="en-GB"/>
        </w:rPr>
        <w:t>for</w:t>
      </w:r>
      <w:r w:rsidRPr="008463F3">
        <w:rPr>
          <w:rFonts w:cstheme="minorHAnsi"/>
          <w:lang w:val="en-GB"/>
        </w:rPr>
        <w:t xml:space="preserve"> defining access policies for RIs.</w:t>
      </w:r>
    </w:p>
    <w:p w14:paraId="413FD10F" w14:textId="77777777" w:rsidR="007947BF" w:rsidRPr="008463F3" w:rsidRDefault="007947BF" w:rsidP="007947BF">
      <w:pPr>
        <w:spacing w:after="120"/>
        <w:jc w:val="both"/>
        <w:rPr>
          <w:rFonts w:cstheme="minorHAnsi"/>
          <w:lang w:val="en-GB"/>
        </w:rPr>
      </w:pPr>
    </w:p>
    <w:p w14:paraId="48441068" w14:textId="77777777" w:rsidR="007947BF" w:rsidRPr="008463F3" w:rsidRDefault="007947BF" w:rsidP="007947BF">
      <w:pPr>
        <w:rPr>
          <w:lang w:val="en-GB"/>
        </w:rPr>
      </w:pPr>
    </w:p>
    <w:p w14:paraId="76363C18" w14:textId="77777777" w:rsidR="007947BF" w:rsidRPr="008463F3" w:rsidRDefault="007947BF" w:rsidP="007947BF">
      <w:pPr>
        <w:rPr>
          <w:lang w:val="en-GB"/>
        </w:rPr>
      </w:pPr>
    </w:p>
    <w:p w14:paraId="19AC6E84" w14:textId="77777777" w:rsidR="007947BF" w:rsidRPr="008463F3" w:rsidRDefault="007947BF" w:rsidP="007947BF">
      <w:pPr>
        <w:pStyle w:val="Heading1"/>
        <w:rPr>
          <w:rFonts w:asciiTheme="minorHAnsi" w:hAnsiTheme="minorHAnsi" w:cstheme="minorHAnsi"/>
          <w:sz w:val="32"/>
        </w:rPr>
        <w:sectPr w:rsidR="007947BF" w:rsidRPr="008463F3" w:rsidSect="0057459F">
          <w:footerReference w:type="default" r:id="rId11"/>
          <w:headerReference w:type="first" r:id="rId12"/>
          <w:footnotePr>
            <w:numFmt w:val="chicago"/>
            <w:numRestart w:val="eachPage"/>
          </w:footnotePr>
          <w:pgSz w:w="11906" w:h="16838"/>
          <w:pgMar w:top="1417" w:right="1417" w:bottom="1417" w:left="1417" w:header="708" w:footer="708" w:gutter="0"/>
          <w:cols w:space="708"/>
          <w:titlePg/>
          <w:docGrid w:linePitch="360"/>
        </w:sectPr>
      </w:pPr>
      <w:bookmarkStart w:id="50" w:name="_Toc63103369"/>
      <w:bookmarkStart w:id="51" w:name="_Toc63107239"/>
      <w:bookmarkStart w:id="52" w:name="_Toc64639529"/>
    </w:p>
    <w:p w14:paraId="071872EE" w14:textId="77777777" w:rsidR="007947BF" w:rsidRPr="008463F3" w:rsidRDefault="007947BF" w:rsidP="007947BF">
      <w:pPr>
        <w:pStyle w:val="Heading1"/>
        <w:rPr>
          <w:rFonts w:asciiTheme="minorHAnsi" w:hAnsiTheme="minorHAnsi" w:cstheme="minorHAnsi"/>
          <w:b w:val="0"/>
          <w:bCs w:val="0"/>
          <w:sz w:val="32"/>
        </w:rPr>
      </w:pPr>
      <w:bookmarkStart w:id="53" w:name="_Toc77322053"/>
      <w:r w:rsidRPr="008463F3">
        <w:rPr>
          <w:rFonts w:asciiTheme="minorHAnsi" w:hAnsiTheme="minorHAnsi" w:cstheme="minorHAnsi"/>
          <w:sz w:val="32"/>
        </w:rPr>
        <w:t xml:space="preserve">APPENDIX 1: List of capital equipment at purchase price higher than 50.000 </w:t>
      </w:r>
      <w:bookmarkEnd w:id="50"/>
      <w:r w:rsidRPr="008463F3">
        <w:rPr>
          <w:rFonts w:asciiTheme="minorHAnsi" w:hAnsiTheme="minorHAnsi" w:cstheme="minorHAnsi"/>
          <w:sz w:val="32"/>
        </w:rPr>
        <w:t>eur</w:t>
      </w:r>
      <w:bookmarkEnd w:id="51"/>
      <w:bookmarkEnd w:id="52"/>
      <w:r w:rsidRPr="008463F3">
        <w:rPr>
          <w:rFonts w:asciiTheme="minorHAnsi" w:hAnsiTheme="minorHAnsi" w:cstheme="minorHAnsi"/>
          <w:sz w:val="32"/>
        </w:rPr>
        <w:t>o</w:t>
      </w:r>
      <w:bookmarkEnd w:id="53"/>
    </w:p>
    <w:p w14:paraId="4FFDD80C" w14:textId="77777777" w:rsidR="007947BF" w:rsidRPr="008463F3" w:rsidRDefault="007947BF" w:rsidP="007947BF">
      <w:pPr>
        <w:rPr>
          <w:lang w:val="en-GB"/>
        </w:rPr>
      </w:pPr>
    </w:p>
    <w:tbl>
      <w:tblPr>
        <w:tblW w:w="14720" w:type="dxa"/>
        <w:tblInd w:w="93" w:type="dxa"/>
        <w:tblCellMar>
          <w:left w:w="28" w:type="dxa"/>
          <w:right w:w="0" w:type="dxa"/>
        </w:tblCellMar>
        <w:tblLook w:val="04A0" w:firstRow="1" w:lastRow="0" w:firstColumn="1" w:lastColumn="0" w:noHBand="0" w:noVBand="1"/>
      </w:tblPr>
      <w:tblGrid>
        <w:gridCol w:w="2312"/>
        <w:gridCol w:w="397"/>
        <w:gridCol w:w="4536"/>
        <w:gridCol w:w="1275"/>
        <w:gridCol w:w="1134"/>
        <w:gridCol w:w="2839"/>
        <w:gridCol w:w="1125"/>
        <w:gridCol w:w="1102"/>
      </w:tblGrid>
      <w:tr w:rsidR="007947BF" w:rsidRPr="008463F3" w14:paraId="303C1D22" w14:textId="77777777" w:rsidTr="00DA2AFC">
        <w:trPr>
          <w:tblHeader/>
        </w:trPr>
        <w:tc>
          <w:tcPr>
            <w:tcW w:w="2312" w:type="dxa"/>
            <w:tcBorders>
              <w:top w:val="single" w:sz="4" w:space="0" w:color="auto"/>
              <w:left w:val="single" w:sz="4" w:space="0" w:color="auto"/>
              <w:bottom w:val="single" w:sz="4" w:space="0" w:color="auto"/>
              <w:right w:val="single" w:sz="4" w:space="0" w:color="auto"/>
            </w:tcBorders>
            <w:shd w:val="clear" w:color="000000" w:fill="D9D9D9"/>
            <w:hideMark/>
          </w:tcPr>
          <w:p w14:paraId="5856180E" w14:textId="77777777" w:rsidR="007947BF" w:rsidRPr="008463F3" w:rsidRDefault="007947BF" w:rsidP="00DA2AFC">
            <w:pPr>
              <w:spacing w:after="0" w:line="240" w:lineRule="auto"/>
              <w:jc w:val="center"/>
              <w:rPr>
                <w:rFonts w:eastAsia="Times New Roman" w:cs="Times New Roman"/>
                <w:b/>
                <w:bCs/>
                <w:color w:val="000000"/>
                <w:sz w:val="20"/>
                <w:szCs w:val="20"/>
                <w:lang w:val="en-GB" w:eastAsia="sr-Latn-RS"/>
              </w:rPr>
            </w:pPr>
            <w:r w:rsidRPr="008463F3">
              <w:rPr>
                <w:rFonts w:eastAsia="Times New Roman" w:cs="Times New Roman"/>
                <w:b/>
                <w:bCs/>
                <w:color w:val="000000"/>
                <w:sz w:val="20"/>
                <w:szCs w:val="20"/>
                <w:lang w:val="en-GB" w:eastAsia="sr-Latn-RS"/>
              </w:rPr>
              <w:t>Institution</w:t>
            </w:r>
          </w:p>
        </w:tc>
        <w:tc>
          <w:tcPr>
            <w:tcW w:w="397" w:type="dxa"/>
            <w:tcBorders>
              <w:top w:val="single" w:sz="4" w:space="0" w:color="auto"/>
              <w:left w:val="nil"/>
              <w:bottom w:val="single" w:sz="4" w:space="0" w:color="auto"/>
              <w:right w:val="single" w:sz="4" w:space="0" w:color="auto"/>
            </w:tcBorders>
            <w:shd w:val="clear" w:color="000000" w:fill="D9D9D9"/>
            <w:hideMark/>
          </w:tcPr>
          <w:p w14:paraId="79E5A6CD" w14:textId="77777777" w:rsidR="007947BF" w:rsidRPr="008463F3" w:rsidRDefault="007947BF" w:rsidP="00DA2AFC">
            <w:pPr>
              <w:spacing w:after="0" w:line="240" w:lineRule="auto"/>
              <w:jc w:val="center"/>
              <w:rPr>
                <w:rFonts w:eastAsia="Times New Roman" w:cs="Times New Roman"/>
                <w:b/>
                <w:bCs/>
                <w:color w:val="000000"/>
                <w:sz w:val="20"/>
                <w:szCs w:val="20"/>
                <w:lang w:val="en-GB" w:eastAsia="sr-Latn-RS"/>
              </w:rPr>
            </w:pPr>
            <w:r w:rsidRPr="008463F3">
              <w:rPr>
                <w:rFonts w:eastAsia="Times New Roman" w:cs="Times New Roman"/>
                <w:b/>
                <w:bCs/>
                <w:color w:val="000000"/>
                <w:sz w:val="20"/>
                <w:szCs w:val="20"/>
                <w:lang w:val="en-GB" w:eastAsia="sr-Latn-RS"/>
              </w:rPr>
              <w:t>no.</w:t>
            </w:r>
          </w:p>
        </w:tc>
        <w:tc>
          <w:tcPr>
            <w:tcW w:w="4536" w:type="dxa"/>
            <w:tcBorders>
              <w:top w:val="single" w:sz="4" w:space="0" w:color="auto"/>
              <w:left w:val="nil"/>
              <w:bottom w:val="single" w:sz="4" w:space="0" w:color="auto"/>
              <w:right w:val="single" w:sz="4" w:space="0" w:color="auto"/>
            </w:tcBorders>
            <w:shd w:val="clear" w:color="000000" w:fill="D9D9D9"/>
            <w:hideMark/>
          </w:tcPr>
          <w:p w14:paraId="7A3CFEE1" w14:textId="77777777" w:rsidR="007947BF" w:rsidRPr="008463F3" w:rsidRDefault="007947BF" w:rsidP="00DA2AFC">
            <w:pPr>
              <w:spacing w:after="0" w:line="240" w:lineRule="auto"/>
              <w:rPr>
                <w:rFonts w:eastAsia="Times New Roman" w:cs="Times New Roman"/>
                <w:b/>
                <w:bCs/>
                <w:color w:val="000000"/>
                <w:sz w:val="20"/>
                <w:szCs w:val="20"/>
                <w:lang w:val="en-GB" w:eastAsia="sr-Latn-RS"/>
              </w:rPr>
            </w:pPr>
            <w:r w:rsidRPr="008463F3">
              <w:rPr>
                <w:rFonts w:eastAsia="Times New Roman" w:cs="Times New Roman"/>
                <w:b/>
                <w:bCs/>
                <w:color w:val="000000"/>
                <w:sz w:val="20"/>
                <w:szCs w:val="20"/>
                <w:lang w:val="en-GB" w:eastAsia="sr-Latn-RS"/>
              </w:rPr>
              <w:t>Name of research equipment</w:t>
            </w:r>
          </w:p>
        </w:tc>
        <w:tc>
          <w:tcPr>
            <w:tcW w:w="1275" w:type="dxa"/>
            <w:tcBorders>
              <w:top w:val="single" w:sz="4" w:space="0" w:color="auto"/>
              <w:left w:val="nil"/>
              <w:bottom w:val="single" w:sz="4" w:space="0" w:color="auto"/>
              <w:right w:val="single" w:sz="4" w:space="0" w:color="auto"/>
            </w:tcBorders>
            <w:shd w:val="clear" w:color="000000" w:fill="D9D9D9"/>
            <w:hideMark/>
          </w:tcPr>
          <w:p w14:paraId="110AFA0C" w14:textId="77777777" w:rsidR="007947BF" w:rsidRPr="008463F3" w:rsidRDefault="007947BF" w:rsidP="00DA2AFC">
            <w:pPr>
              <w:spacing w:after="0" w:line="240" w:lineRule="auto"/>
              <w:jc w:val="center"/>
              <w:rPr>
                <w:rFonts w:eastAsia="Times New Roman" w:cs="Times New Roman"/>
                <w:b/>
                <w:bCs/>
                <w:color w:val="000000"/>
                <w:sz w:val="20"/>
                <w:szCs w:val="20"/>
                <w:lang w:val="en-GB" w:eastAsia="sr-Latn-RS"/>
              </w:rPr>
            </w:pPr>
            <w:r w:rsidRPr="008463F3">
              <w:rPr>
                <w:rFonts w:eastAsia="Times New Roman" w:cs="Times New Roman"/>
                <w:b/>
                <w:bCs/>
                <w:color w:val="000000"/>
                <w:sz w:val="20"/>
                <w:szCs w:val="20"/>
                <w:lang w:val="en-GB" w:eastAsia="sr-Latn-RS"/>
              </w:rPr>
              <w:t>Purchase Price (EUR)</w:t>
            </w:r>
          </w:p>
        </w:tc>
        <w:tc>
          <w:tcPr>
            <w:tcW w:w="1134" w:type="dxa"/>
            <w:tcBorders>
              <w:top w:val="single" w:sz="4" w:space="0" w:color="auto"/>
              <w:left w:val="nil"/>
              <w:bottom w:val="single" w:sz="4" w:space="0" w:color="auto"/>
              <w:right w:val="single" w:sz="4" w:space="0" w:color="auto"/>
            </w:tcBorders>
            <w:shd w:val="clear" w:color="000000" w:fill="D9D9D9"/>
            <w:hideMark/>
          </w:tcPr>
          <w:p w14:paraId="6D275F05" w14:textId="77777777" w:rsidR="007947BF" w:rsidRPr="008463F3" w:rsidRDefault="007947BF" w:rsidP="00DA2AFC">
            <w:pPr>
              <w:spacing w:after="0" w:line="240" w:lineRule="auto"/>
              <w:jc w:val="center"/>
              <w:rPr>
                <w:rFonts w:eastAsia="Times New Roman" w:cs="Times New Roman"/>
                <w:b/>
                <w:bCs/>
                <w:color w:val="000000"/>
                <w:sz w:val="20"/>
                <w:szCs w:val="20"/>
                <w:lang w:val="en-GB" w:eastAsia="sr-Latn-RS"/>
              </w:rPr>
            </w:pPr>
            <w:r w:rsidRPr="008463F3">
              <w:rPr>
                <w:rFonts w:eastAsia="Times New Roman" w:cs="Times New Roman"/>
                <w:b/>
                <w:bCs/>
                <w:color w:val="000000"/>
                <w:sz w:val="20"/>
                <w:szCs w:val="20"/>
                <w:lang w:val="en-GB" w:eastAsia="sr-Latn-RS"/>
              </w:rPr>
              <w:t>Year of Purchase</w:t>
            </w:r>
          </w:p>
        </w:tc>
        <w:tc>
          <w:tcPr>
            <w:tcW w:w="2839" w:type="dxa"/>
            <w:tcBorders>
              <w:top w:val="single" w:sz="4" w:space="0" w:color="auto"/>
              <w:left w:val="nil"/>
              <w:bottom w:val="single" w:sz="4" w:space="0" w:color="auto"/>
              <w:right w:val="single" w:sz="4" w:space="0" w:color="auto"/>
            </w:tcBorders>
            <w:shd w:val="clear" w:color="000000" w:fill="D9D9D9"/>
            <w:hideMark/>
          </w:tcPr>
          <w:p w14:paraId="1A7539A8" w14:textId="77777777" w:rsidR="007947BF" w:rsidRPr="008463F3" w:rsidRDefault="007947BF" w:rsidP="00DA2AFC">
            <w:pPr>
              <w:spacing w:after="0" w:line="240" w:lineRule="auto"/>
              <w:jc w:val="center"/>
              <w:rPr>
                <w:rFonts w:eastAsia="Times New Roman" w:cs="Times New Roman"/>
                <w:b/>
                <w:bCs/>
                <w:color w:val="000000"/>
                <w:sz w:val="20"/>
                <w:szCs w:val="20"/>
                <w:lang w:val="en-GB" w:eastAsia="sr-Latn-RS"/>
              </w:rPr>
            </w:pPr>
            <w:r w:rsidRPr="008463F3">
              <w:rPr>
                <w:rFonts w:eastAsia="Times New Roman" w:cs="Times New Roman"/>
                <w:b/>
                <w:bCs/>
                <w:color w:val="000000"/>
                <w:sz w:val="20"/>
                <w:szCs w:val="20"/>
                <w:lang w:val="en-GB" w:eastAsia="sr-Latn-RS"/>
              </w:rPr>
              <w:t>The source of funds for the purchase of equipment</w:t>
            </w:r>
          </w:p>
        </w:tc>
        <w:tc>
          <w:tcPr>
            <w:tcW w:w="1125" w:type="dxa"/>
            <w:tcBorders>
              <w:top w:val="single" w:sz="4" w:space="0" w:color="auto"/>
              <w:left w:val="nil"/>
              <w:bottom w:val="single" w:sz="4" w:space="0" w:color="auto"/>
              <w:right w:val="single" w:sz="4" w:space="0" w:color="auto"/>
            </w:tcBorders>
            <w:shd w:val="clear" w:color="000000" w:fill="D9D9D9"/>
            <w:vAlign w:val="center"/>
            <w:hideMark/>
          </w:tcPr>
          <w:p w14:paraId="1E3198CE" w14:textId="77777777" w:rsidR="007947BF" w:rsidRPr="008463F3" w:rsidRDefault="007947BF" w:rsidP="00DA2AFC">
            <w:pPr>
              <w:spacing w:after="0" w:line="240" w:lineRule="auto"/>
              <w:jc w:val="center"/>
              <w:rPr>
                <w:rFonts w:eastAsia="Times New Roman" w:cs="Times New Roman"/>
                <w:b/>
                <w:bCs/>
                <w:color w:val="000000"/>
                <w:sz w:val="20"/>
                <w:szCs w:val="20"/>
                <w:lang w:val="en-GB" w:eastAsia="sr-Latn-RS"/>
              </w:rPr>
            </w:pPr>
            <w:r w:rsidRPr="008463F3">
              <w:rPr>
                <w:rFonts w:eastAsia="Times New Roman" w:cs="Times New Roman"/>
                <w:b/>
                <w:bCs/>
                <w:color w:val="000000"/>
                <w:sz w:val="20"/>
                <w:szCs w:val="20"/>
                <w:lang w:val="en-GB" w:eastAsia="sr-Latn-RS"/>
              </w:rPr>
              <w:t>Estimated Duration of Equipment (yrs.)</w:t>
            </w:r>
          </w:p>
        </w:tc>
        <w:tc>
          <w:tcPr>
            <w:tcW w:w="1102" w:type="dxa"/>
            <w:tcBorders>
              <w:top w:val="single" w:sz="4" w:space="0" w:color="auto"/>
              <w:left w:val="nil"/>
              <w:bottom w:val="single" w:sz="4" w:space="0" w:color="auto"/>
              <w:right w:val="single" w:sz="4" w:space="0" w:color="auto"/>
            </w:tcBorders>
            <w:shd w:val="clear" w:color="000000" w:fill="D9D9D9"/>
            <w:vAlign w:val="center"/>
            <w:hideMark/>
          </w:tcPr>
          <w:p w14:paraId="6FBFE835" w14:textId="77777777" w:rsidR="007947BF" w:rsidRPr="008463F3" w:rsidRDefault="007947BF" w:rsidP="00DA2AFC">
            <w:pPr>
              <w:spacing w:after="0" w:line="240" w:lineRule="auto"/>
              <w:jc w:val="center"/>
              <w:rPr>
                <w:rFonts w:eastAsia="Times New Roman" w:cs="Times New Roman"/>
                <w:b/>
                <w:bCs/>
                <w:color w:val="000000"/>
                <w:sz w:val="20"/>
                <w:szCs w:val="20"/>
                <w:lang w:val="en-GB" w:eastAsia="sr-Latn-RS"/>
              </w:rPr>
            </w:pPr>
            <w:r w:rsidRPr="008463F3">
              <w:rPr>
                <w:rFonts w:eastAsia="Times New Roman" w:cs="Times New Roman"/>
                <w:b/>
                <w:bCs/>
                <w:color w:val="000000"/>
                <w:sz w:val="20"/>
                <w:szCs w:val="20"/>
                <w:lang w:val="en-GB" w:eastAsia="sr-Latn-RS"/>
              </w:rPr>
              <w:t xml:space="preserve">Estimated Number of Users </w:t>
            </w:r>
          </w:p>
        </w:tc>
      </w:tr>
      <w:tr w:rsidR="007947BF" w:rsidRPr="008463F3" w14:paraId="08A217CF" w14:textId="77777777" w:rsidTr="00DA2AFC">
        <w:tc>
          <w:tcPr>
            <w:tcW w:w="2312" w:type="dxa"/>
            <w:vMerge w:val="restart"/>
            <w:tcBorders>
              <w:top w:val="nil"/>
              <w:left w:val="single" w:sz="4" w:space="0" w:color="auto"/>
              <w:bottom w:val="single" w:sz="4" w:space="0" w:color="auto"/>
              <w:right w:val="single" w:sz="4" w:space="0" w:color="auto"/>
            </w:tcBorders>
            <w:shd w:val="clear" w:color="auto" w:fill="auto"/>
            <w:vAlign w:val="center"/>
            <w:hideMark/>
          </w:tcPr>
          <w:p w14:paraId="0D368024"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UKIM, Faculty of Technology and Metallurgy, Laboratory for Materials and Nanostructure Analysis</w:t>
            </w:r>
          </w:p>
        </w:tc>
        <w:tc>
          <w:tcPr>
            <w:tcW w:w="397" w:type="dxa"/>
            <w:tcBorders>
              <w:top w:val="nil"/>
              <w:left w:val="nil"/>
              <w:bottom w:val="single" w:sz="4" w:space="0" w:color="auto"/>
              <w:right w:val="single" w:sz="4" w:space="0" w:color="auto"/>
            </w:tcBorders>
            <w:shd w:val="clear" w:color="auto" w:fill="auto"/>
            <w:hideMark/>
          </w:tcPr>
          <w:p w14:paraId="7EDE8FEF"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w:t>
            </w:r>
          </w:p>
        </w:tc>
        <w:tc>
          <w:tcPr>
            <w:tcW w:w="4536" w:type="dxa"/>
            <w:tcBorders>
              <w:top w:val="nil"/>
              <w:left w:val="nil"/>
              <w:bottom w:val="single" w:sz="4" w:space="0" w:color="auto"/>
              <w:right w:val="single" w:sz="4" w:space="0" w:color="auto"/>
            </w:tcBorders>
            <w:shd w:val="clear" w:color="auto" w:fill="auto"/>
            <w:hideMark/>
          </w:tcPr>
          <w:p w14:paraId="3B44C022"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xml:space="preserve">Scanning Electron </w:t>
            </w:r>
            <w:proofErr w:type="spellStart"/>
            <w:r w:rsidRPr="008463F3">
              <w:rPr>
                <w:rFonts w:eastAsia="Times New Roman" w:cs="Times New Roman"/>
                <w:color w:val="000000"/>
                <w:sz w:val="20"/>
                <w:szCs w:val="20"/>
                <w:lang w:val="en-GB" w:eastAsia="sr-Latn-RS"/>
              </w:rPr>
              <w:t>Micrscope</w:t>
            </w:r>
            <w:proofErr w:type="spellEnd"/>
            <w:r w:rsidRPr="008463F3">
              <w:rPr>
                <w:rFonts w:eastAsia="Times New Roman" w:cs="Times New Roman"/>
                <w:color w:val="000000"/>
                <w:sz w:val="20"/>
                <w:szCs w:val="20"/>
                <w:lang w:val="en-GB" w:eastAsia="sr-Latn-RS"/>
              </w:rPr>
              <w:t xml:space="preserve"> – JEOL IT200</w:t>
            </w:r>
          </w:p>
        </w:tc>
        <w:tc>
          <w:tcPr>
            <w:tcW w:w="1275" w:type="dxa"/>
            <w:tcBorders>
              <w:top w:val="nil"/>
              <w:left w:val="nil"/>
              <w:bottom w:val="single" w:sz="4" w:space="0" w:color="auto"/>
              <w:right w:val="single" w:sz="4" w:space="0" w:color="auto"/>
            </w:tcBorders>
            <w:shd w:val="clear" w:color="auto" w:fill="auto"/>
            <w:hideMark/>
          </w:tcPr>
          <w:p w14:paraId="578B9903"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120.000</w:t>
            </w:r>
          </w:p>
        </w:tc>
        <w:tc>
          <w:tcPr>
            <w:tcW w:w="1134" w:type="dxa"/>
            <w:tcBorders>
              <w:top w:val="nil"/>
              <w:left w:val="nil"/>
              <w:bottom w:val="single" w:sz="4" w:space="0" w:color="auto"/>
              <w:right w:val="single" w:sz="4" w:space="0" w:color="auto"/>
            </w:tcBorders>
            <w:shd w:val="clear" w:color="auto" w:fill="auto"/>
            <w:hideMark/>
          </w:tcPr>
          <w:p w14:paraId="2179FEEE"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2020</w:t>
            </w:r>
          </w:p>
        </w:tc>
        <w:tc>
          <w:tcPr>
            <w:tcW w:w="2839" w:type="dxa"/>
            <w:tcBorders>
              <w:top w:val="nil"/>
              <w:left w:val="nil"/>
              <w:bottom w:val="single" w:sz="4" w:space="0" w:color="auto"/>
              <w:right w:val="single" w:sz="4" w:space="0" w:color="auto"/>
            </w:tcBorders>
            <w:shd w:val="clear" w:color="auto" w:fill="auto"/>
            <w:hideMark/>
          </w:tcPr>
          <w:p w14:paraId="6035A715"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xml:space="preserve">Funds / </w:t>
            </w:r>
            <w:r>
              <w:rPr>
                <w:rFonts w:eastAsia="Times New Roman" w:cs="Times New Roman"/>
                <w:color w:val="000000"/>
                <w:sz w:val="20"/>
                <w:szCs w:val="20"/>
                <w:lang w:val="en-GB" w:eastAsia="sr-Latn-RS"/>
              </w:rPr>
              <w:t>international donations</w:t>
            </w:r>
            <w:r w:rsidRPr="008463F3">
              <w:rPr>
                <w:rFonts w:eastAsia="Times New Roman" w:cs="Times New Roman"/>
                <w:color w:val="000000"/>
                <w:sz w:val="20"/>
                <w:szCs w:val="20"/>
                <w:lang w:val="en-GB" w:eastAsia="sr-Latn-RS"/>
              </w:rPr>
              <w:br/>
              <w:t xml:space="preserve">IAEA Agency </w:t>
            </w:r>
            <w:r w:rsidRPr="008463F3">
              <w:rPr>
                <w:rFonts w:eastAsia="Times New Roman" w:cs="Times New Roman"/>
                <w:color w:val="000000"/>
                <w:sz w:val="20"/>
                <w:szCs w:val="20"/>
                <w:lang w:val="en-GB" w:eastAsia="sr-Latn-RS"/>
              </w:rPr>
              <w:br/>
              <w:t>(MAK1003 TC project)</w:t>
            </w:r>
          </w:p>
        </w:tc>
        <w:tc>
          <w:tcPr>
            <w:tcW w:w="1125" w:type="dxa"/>
            <w:tcBorders>
              <w:top w:val="nil"/>
              <w:left w:val="nil"/>
              <w:bottom w:val="single" w:sz="4" w:space="0" w:color="auto"/>
              <w:right w:val="single" w:sz="4" w:space="0" w:color="auto"/>
            </w:tcBorders>
            <w:shd w:val="clear" w:color="auto" w:fill="auto"/>
            <w:noWrap/>
            <w:vAlign w:val="center"/>
            <w:hideMark/>
          </w:tcPr>
          <w:p w14:paraId="0557BA6E"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xml:space="preserve">20-30 </w:t>
            </w:r>
            <w:proofErr w:type="spellStart"/>
            <w:r w:rsidRPr="008463F3">
              <w:rPr>
                <w:rFonts w:eastAsia="Times New Roman" w:cs="Times New Roman"/>
                <w:color w:val="000000"/>
                <w:sz w:val="20"/>
                <w:szCs w:val="20"/>
                <w:lang w:val="en-GB" w:eastAsia="sr-Latn-RS"/>
              </w:rPr>
              <w:t>yrs</w:t>
            </w:r>
            <w:proofErr w:type="spellEnd"/>
          </w:p>
        </w:tc>
        <w:tc>
          <w:tcPr>
            <w:tcW w:w="1102" w:type="dxa"/>
            <w:tcBorders>
              <w:top w:val="nil"/>
              <w:left w:val="nil"/>
              <w:bottom w:val="single" w:sz="4" w:space="0" w:color="auto"/>
              <w:right w:val="single" w:sz="4" w:space="0" w:color="auto"/>
            </w:tcBorders>
            <w:shd w:val="clear" w:color="auto" w:fill="auto"/>
            <w:noWrap/>
            <w:vAlign w:val="center"/>
            <w:hideMark/>
          </w:tcPr>
          <w:p w14:paraId="1197D3B9"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30-50</w:t>
            </w:r>
          </w:p>
        </w:tc>
      </w:tr>
      <w:tr w:rsidR="007947BF" w:rsidRPr="008463F3" w14:paraId="67EFC745" w14:textId="77777777" w:rsidTr="00DA2AFC">
        <w:tc>
          <w:tcPr>
            <w:tcW w:w="2312" w:type="dxa"/>
            <w:vMerge/>
            <w:tcBorders>
              <w:top w:val="nil"/>
              <w:left w:val="single" w:sz="4" w:space="0" w:color="auto"/>
              <w:bottom w:val="single" w:sz="4" w:space="0" w:color="auto"/>
              <w:right w:val="single" w:sz="4" w:space="0" w:color="auto"/>
            </w:tcBorders>
            <w:vAlign w:val="center"/>
            <w:hideMark/>
          </w:tcPr>
          <w:p w14:paraId="4D780B22"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114FF444"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w:t>
            </w:r>
          </w:p>
        </w:tc>
        <w:tc>
          <w:tcPr>
            <w:tcW w:w="4536" w:type="dxa"/>
            <w:tcBorders>
              <w:top w:val="nil"/>
              <w:left w:val="nil"/>
              <w:bottom w:val="single" w:sz="4" w:space="0" w:color="auto"/>
              <w:right w:val="single" w:sz="4" w:space="0" w:color="auto"/>
            </w:tcBorders>
            <w:shd w:val="clear" w:color="auto" w:fill="auto"/>
            <w:hideMark/>
          </w:tcPr>
          <w:p w14:paraId="435A912C"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xml:space="preserve">Raman SPELEC spectrometer with </w:t>
            </w:r>
            <w:proofErr w:type="spellStart"/>
            <w:r w:rsidRPr="008463F3">
              <w:rPr>
                <w:rFonts w:eastAsia="Times New Roman" w:cs="Times New Roman"/>
                <w:color w:val="000000"/>
                <w:sz w:val="20"/>
                <w:szCs w:val="20"/>
                <w:lang w:val="en-GB" w:eastAsia="sr-Latn-RS"/>
              </w:rPr>
              <w:t>potentiostat</w:t>
            </w:r>
            <w:proofErr w:type="spellEnd"/>
            <w:r w:rsidRPr="008463F3">
              <w:rPr>
                <w:rFonts w:eastAsia="Times New Roman" w:cs="Times New Roman"/>
                <w:color w:val="000000"/>
                <w:sz w:val="20"/>
                <w:szCs w:val="20"/>
                <w:lang w:val="en-GB" w:eastAsia="sr-Latn-RS"/>
              </w:rPr>
              <w:t xml:space="preserve"> for cyclic voltammetry and amperometry</w:t>
            </w:r>
          </w:p>
        </w:tc>
        <w:tc>
          <w:tcPr>
            <w:tcW w:w="1275" w:type="dxa"/>
            <w:tcBorders>
              <w:top w:val="nil"/>
              <w:left w:val="nil"/>
              <w:bottom w:val="single" w:sz="4" w:space="0" w:color="auto"/>
              <w:right w:val="single" w:sz="4" w:space="0" w:color="auto"/>
            </w:tcBorders>
            <w:shd w:val="clear" w:color="auto" w:fill="auto"/>
            <w:hideMark/>
          </w:tcPr>
          <w:p w14:paraId="04800EDE"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57.705</w:t>
            </w:r>
          </w:p>
        </w:tc>
        <w:tc>
          <w:tcPr>
            <w:tcW w:w="1134" w:type="dxa"/>
            <w:tcBorders>
              <w:top w:val="nil"/>
              <w:left w:val="nil"/>
              <w:bottom w:val="single" w:sz="4" w:space="0" w:color="auto"/>
              <w:right w:val="single" w:sz="4" w:space="0" w:color="auto"/>
            </w:tcBorders>
            <w:shd w:val="clear" w:color="auto" w:fill="auto"/>
            <w:hideMark/>
          </w:tcPr>
          <w:p w14:paraId="3FC711DF"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2021</w:t>
            </w:r>
          </w:p>
        </w:tc>
        <w:tc>
          <w:tcPr>
            <w:tcW w:w="2839" w:type="dxa"/>
            <w:tcBorders>
              <w:top w:val="nil"/>
              <w:left w:val="nil"/>
              <w:bottom w:val="single" w:sz="4" w:space="0" w:color="auto"/>
              <w:right w:val="single" w:sz="4" w:space="0" w:color="auto"/>
            </w:tcBorders>
            <w:shd w:val="clear" w:color="auto" w:fill="auto"/>
            <w:hideMark/>
          </w:tcPr>
          <w:p w14:paraId="53056CD4"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xml:space="preserve">Funds / </w:t>
            </w:r>
            <w:r>
              <w:rPr>
                <w:rFonts w:eastAsia="Times New Roman" w:cs="Times New Roman"/>
                <w:color w:val="000000"/>
                <w:sz w:val="20"/>
                <w:szCs w:val="20"/>
                <w:lang w:val="en-GB" w:eastAsia="sr-Latn-RS"/>
              </w:rPr>
              <w:t>international donations</w:t>
            </w:r>
            <w:r w:rsidRPr="008463F3">
              <w:rPr>
                <w:rFonts w:eastAsia="Times New Roman" w:cs="Times New Roman"/>
                <w:color w:val="000000"/>
                <w:sz w:val="20"/>
                <w:szCs w:val="20"/>
                <w:lang w:val="en-GB" w:eastAsia="sr-Latn-RS"/>
              </w:rPr>
              <w:br/>
              <w:t xml:space="preserve">IAEA Agency </w:t>
            </w:r>
            <w:r w:rsidRPr="008463F3">
              <w:rPr>
                <w:rFonts w:eastAsia="Times New Roman" w:cs="Times New Roman"/>
                <w:color w:val="000000"/>
                <w:sz w:val="20"/>
                <w:szCs w:val="20"/>
                <w:lang w:val="en-GB" w:eastAsia="sr-Latn-RS"/>
              </w:rPr>
              <w:br/>
              <w:t>(MAK1003 TC project)</w:t>
            </w:r>
          </w:p>
        </w:tc>
        <w:tc>
          <w:tcPr>
            <w:tcW w:w="1125" w:type="dxa"/>
            <w:tcBorders>
              <w:top w:val="nil"/>
              <w:left w:val="nil"/>
              <w:bottom w:val="single" w:sz="4" w:space="0" w:color="auto"/>
              <w:right w:val="single" w:sz="4" w:space="0" w:color="auto"/>
            </w:tcBorders>
            <w:shd w:val="clear" w:color="auto" w:fill="auto"/>
            <w:noWrap/>
            <w:vAlign w:val="center"/>
            <w:hideMark/>
          </w:tcPr>
          <w:p w14:paraId="122CF289"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xml:space="preserve">25-35 </w:t>
            </w:r>
            <w:proofErr w:type="spellStart"/>
            <w:r w:rsidRPr="008463F3">
              <w:rPr>
                <w:rFonts w:eastAsia="Times New Roman" w:cs="Times New Roman"/>
                <w:color w:val="000000"/>
                <w:sz w:val="20"/>
                <w:szCs w:val="20"/>
                <w:lang w:val="en-GB" w:eastAsia="sr-Latn-RS"/>
              </w:rPr>
              <w:t>yrs</w:t>
            </w:r>
            <w:proofErr w:type="spellEnd"/>
          </w:p>
        </w:tc>
        <w:tc>
          <w:tcPr>
            <w:tcW w:w="1102" w:type="dxa"/>
            <w:tcBorders>
              <w:top w:val="nil"/>
              <w:left w:val="nil"/>
              <w:bottom w:val="single" w:sz="4" w:space="0" w:color="auto"/>
              <w:right w:val="single" w:sz="4" w:space="0" w:color="auto"/>
            </w:tcBorders>
            <w:shd w:val="clear" w:color="auto" w:fill="auto"/>
            <w:noWrap/>
            <w:vAlign w:val="center"/>
            <w:hideMark/>
          </w:tcPr>
          <w:p w14:paraId="61612C5D"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50-70</w:t>
            </w:r>
          </w:p>
        </w:tc>
      </w:tr>
      <w:tr w:rsidR="007947BF" w:rsidRPr="008463F3" w14:paraId="24436CB3" w14:textId="77777777" w:rsidTr="00DA2AFC">
        <w:tc>
          <w:tcPr>
            <w:tcW w:w="2312" w:type="dxa"/>
            <w:vMerge/>
            <w:tcBorders>
              <w:top w:val="nil"/>
              <w:left w:val="single" w:sz="4" w:space="0" w:color="auto"/>
              <w:bottom w:val="single" w:sz="4" w:space="0" w:color="auto"/>
              <w:right w:val="single" w:sz="4" w:space="0" w:color="auto"/>
            </w:tcBorders>
            <w:vAlign w:val="center"/>
            <w:hideMark/>
          </w:tcPr>
          <w:p w14:paraId="74BC99F3"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026AF119"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3</w:t>
            </w:r>
          </w:p>
        </w:tc>
        <w:tc>
          <w:tcPr>
            <w:tcW w:w="4536" w:type="dxa"/>
            <w:tcBorders>
              <w:top w:val="nil"/>
              <w:left w:val="nil"/>
              <w:bottom w:val="single" w:sz="4" w:space="0" w:color="auto"/>
              <w:right w:val="single" w:sz="4" w:space="0" w:color="auto"/>
            </w:tcBorders>
            <w:shd w:val="clear" w:color="auto" w:fill="auto"/>
            <w:hideMark/>
          </w:tcPr>
          <w:p w14:paraId="5BAFFC42"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Calorimetric Bomb IKA 600</w:t>
            </w:r>
          </w:p>
        </w:tc>
        <w:tc>
          <w:tcPr>
            <w:tcW w:w="1275" w:type="dxa"/>
            <w:tcBorders>
              <w:top w:val="nil"/>
              <w:left w:val="nil"/>
              <w:bottom w:val="single" w:sz="4" w:space="0" w:color="auto"/>
              <w:right w:val="single" w:sz="4" w:space="0" w:color="auto"/>
            </w:tcBorders>
            <w:shd w:val="clear" w:color="auto" w:fill="auto"/>
            <w:hideMark/>
          </w:tcPr>
          <w:p w14:paraId="096D6851"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44.000</w:t>
            </w:r>
          </w:p>
        </w:tc>
        <w:tc>
          <w:tcPr>
            <w:tcW w:w="1134" w:type="dxa"/>
            <w:tcBorders>
              <w:top w:val="nil"/>
              <w:left w:val="nil"/>
              <w:bottom w:val="single" w:sz="4" w:space="0" w:color="auto"/>
              <w:right w:val="single" w:sz="4" w:space="0" w:color="auto"/>
            </w:tcBorders>
            <w:shd w:val="clear" w:color="auto" w:fill="auto"/>
            <w:noWrap/>
            <w:hideMark/>
          </w:tcPr>
          <w:p w14:paraId="4547AAF7"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2020</w:t>
            </w:r>
          </w:p>
        </w:tc>
        <w:tc>
          <w:tcPr>
            <w:tcW w:w="2839" w:type="dxa"/>
            <w:tcBorders>
              <w:top w:val="nil"/>
              <w:left w:val="nil"/>
              <w:bottom w:val="single" w:sz="4" w:space="0" w:color="auto"/>
              <w:right w:val="single" w:sz="4" w:space="0" w:color="auto"/>
            </w:tcBorders>
            <w:shd w:val="clear" w:color="auto" w:fill="auto"/>
            <w:hideMark/>
          </w:tcPr>
          <w:p w14:paraId="6976A0C4"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xml:space="preserve">Funds / </w:t>
            </w:r>
            <w:r>
              <w:rPr>
                <w:rFonts w:eastAsia="Times New Roman" w:cs="Times New Roman"/>
                <w:color w:val="000000"/>
                <w:sz w:val="20"/>
                <w:szCs w:val="20"/>
                <w:lang w:val="en-GB" w:eastAsia="sr-Latn-RS"/>
              </w:rPr>
              <w:t>international donations</w:t>
            </w:r>
            <w:r w:rsidRPr="008463F3">
              <w:rPr>
                <w:rFonts w:eastAsia="Times New Roman" w:cs="Times New Roman"/>
                <w:color w:val="000000"/>
                <w:sz w:val="20"/>
                <w:szCs w:val="20"/>
                <w:lang w:val="en-GB" w:eastAsia="sr-Latn-RS"/>
              </w:rPr>
              <w:br/>
              <w:t xml:space="preserve">IAEA Agency </w:t>
            </w:r>
            <w:r w:rsidRPr="008463F3">
              <w:rPr>
                <w:rFonts w:eastAsia="Times New Roman" w:cs="Times New Roman"/>
                <w:color w:val="000000"/>
                <w:sz w:val="20"/>
                <w:szCs w:val="20"/>
                <w:lang w:val="en-GB" w:eastAsia="sr-Latn-RS"/>
              </w:rPr>
              <w:br/>
              <w:t>(MAK1003 TC project)</w:t>
            </w:r>
          </w:p>
        </w:tc>
        <w:tc>
          <w:tcPr>
            <w:tcW w:w="1125" w:type="dxa"/>
            <w:tcBorders>
              <w:top w:val="nil"/>
              <w:left w:val="nil"/>
              <w:bottom w:val="single" w:sz="4" w:space="0" w:color="auto"/>
              <w:right w:val="single" w:sz="4" w:space="0" w:color="auto"/>
            </w:tcBorders>
            <w:shd w:val="clear" w:color="auto" w:fill="auto"/>
            <w:noWrap/>
            <w:vAlign w:val="center"/>
            <w:hideMark/>
          </w:tcPr>
          <w:p w14:paraId="070273A5"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xml:space="preserve">25-30 </w:t>
            </w:r>
            <w:proofErr w:type="spellStart"/>
            <w:r w:rsidRPr="008463F3">
              <w:rPr>
                <w:rFonts w:eastAsia="Times New Roman" w:cs="Times New Roman"/>
                <w:color w:val="000000"/>
                <w:sz w:val="20"/>
                <w:szCs w:val="20"/>
                <w:lang w:val="en-GB" w:eastAsia="sr-Latn-RS"/>
              </w:rPr>
              <w:t>yrs</w:t>
            </w:r>
            <w:proofErr w:type="spellEnd"/>
          </w:p>
        </w:tc>
        <w:tc>
          <w:tcPr>
            <w:tcW w:w="1102" w:type="dxa"/>
            <w:tcBorders>
              <w:top w:val="nil"/>
              <w:left w:val="nil"/>
              <w:bottom w:val="single" w:sz="4" w:space="0" w:color="auto"/>
              <w:right w:val="single" w:sz="4" w:space="0" w:color="auto"/>
            </w:tcBorders>
            <w:shd w:val="clear" w:color="auto" w:fill="auto"/>
            <w:noWrap/>
            <w:vAlign w:val="center"/>
            <w:hideMark/>
          </w:tcPr>
          <w:p w14:paraId="041B3EC3"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30-50</w:t>
            </w:r>
          </w:p>
        </w:tc>
      </w:tr>
      <w:tr w:rsidR="007947BF" w:rsidRPr="008463F3" w14:paraId="200FA6C7" w14:textId="77777777" w:rsidTr="00DA2AFC">
        <w:tc>
          <w:tcPr>
            <w:tcW w:w="2312" w:type="dxa"/>
            <w:vMerge/>
            <w:tcBorders>
              <w:top w:val="nil"/>
              <w:left w:val="single" w:sz="4" w:space="0" w:color="auto"/>
              <w:bottom w:val="single" w:sz="4" w:space="0" w:color="auto"/>
              <w:right w:val="single" w:sz="4" w:space="0" w:color="auto"/>
            </w:tcBorders>
            <w:vAlign w:val="center"/>
            <w:hideMark/>
          </w:tcPr>
          <w:p w14:paraId="49ADC8CC"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2AFD15AC"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4</w:t>
            </w:r>
          </w:p>
        </w:tc>
        <w:tc>
          <w:tcPr>
            <w:tcW w:w="4536" w:type="dxa"/>
            <w:tcBorders>
              <w:top w:val="nil"/>
              <w:left w:val="nil"/>
              <w:bottom w:val="single" w:sz="4" w:space="0" w:color="auto"/>
              <w:right w:val="single" w:sz="4" w:space="0" w:color="auto"/>
            </w:tcBorders>
            <w:shd w:val="clear" w:color="auto" w:fill="auto"/>
            <w:hideMark/>
          </w:tcPr>
          <w:p w14:paraId="4A353FF9"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Differential Sca</w:t>
            </w:r>
            <w:r>
              <w:rPr>
                <w:rFonts w:eastAsia="Times New Roman" w:cs="Times New Roman"/>
                <w:color w:val="000000"/>
                <w:sz w:val="20"/>
                <w:szCs w:val="20"/>
                <w:lang w:val="en-GB" w:eastAsia="sr-Latn-RS"/>
              </w:rPr>
              <w:t>n</w:t>
            </w:r>
            <w:r w:rsidRPr="008463F3">
              <w:rPr>
                <w:rFonts w:eastAsia="Times New Roman" w:cs="Times New Roman"/>
                <w:color w:val="000000"/>
                <w:sz w:val="20"/>
                <w:szCs w:val="20"/>
                <w:lang w:val="en-GB" w:eastAsia="sr-Latn-RS"/>
              </w:rPr>
              <w:t>ning Calorimeter with Therm</w:t>
            </w:r>
            <w:r>
              <w:rPr>
                <w:rFonts w:eastAsia="Times New Roman" w:cs="Times New Roman"/>
                <w:color w:val="000000"/>
                <w:sz w:val="20"/>
                <w:szCs w:val="20"/>
                <w:lang w:val="en-GB" w:eastAsia="sr-Latn-RS"/>
              </w:rPr>
              <w:t>o</w:t>
            </w:r>
            <w:r w:rsidRPr="008463F3">
              <w:rPr>
                <w:rFonts w:eastAsia="Times New Roman" w:cs="Times New Roman"/>
                <w:color w:val="000000"/>
                <w:sz w:val="20"/>
                <w:szCs w:val="20"/>
                <w:lang w:val="en-GB" w:eastAsia="sr-Latn-RS"/>
              </w:rPr>
              <w:t xml:space="preserve">gravimetry </w:t>
            </w:r>
          </w:p>
        </w:tc>
        <w:tc>
          <w:tcPr>
            <w:tcW w:w="1275" w:type="dxa"/>
            <w:tcBorders>
              <w:top w:val="nil"/>
              <w:left w:val="nil"/>
              <w:bottom w:val="single" w:sz="4" w:space="0" w:color="auto"/>
              <w:right w:val="single" w:sz="4" w:space="0" w:color="auto"/>
            </w:tcBorders>
            <w:shd w:val="clear" w:color="auto" w:fill="auto"/>
            <w:hideMark/>
          </w:tcPr>
          <w:p w14:paraId="77E42126"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67.000</w:t>
            </w:r>
          </w:p>
        </w:tc>
        <w:tc>
          <w:tcPr>
            <w:tcW w:w="1134" w:type="dxa"/>
            <w:tcBorders>
              <w:top w:val="nil"/>
              <w:left w:val="nil"/>
              <w:bottom w:val="single" w:sz="4" w:space="0" w:color="auto"/>
              <w:right w:val="single" w:sz="4" w:space="0" w:color="auto"/>
            </w:tcBorders>
            <w:shd w:val="clear" w:color="auto" w:fill="auto"/>
            <w:noWrap/>
            <w:hideMark/>
          </w:tcPr>
          <w:p w14:paraId="05D8AC04"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2021</w:t>
            </w:r>
          </w:p>
        </w:tc>
        <w:tc>
          <w:tcPr>
            <w:tcW w:w="2839" w:type="dxa"/>
            <w:tcBorders>
              <w:top w:val="nil"/>
              <w:left w:val="nil"/>
              <w:bottom w:val="single" w:sz="4" w:space="0" w:color="auto"/>
              <w:right w:val="single" w:sz="4" w:space="0" w:color="auto"/>
            </w:tcBorders>
            <w:shd w:val="clear" w:color="auto" w:fill="auto"/>
            <w:hideMark/>
          </w:tcPr>
          <w:p w14:paraId="644BB6A5"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xml:space="preserve">Funds / </w:t>
            </w:r>
            <w:r>
              <w:rPr>
                <w:rFonts w:eastAsia="Times New Roman" w:cs="Times New Roman"/>
                <w:color w:val="000000"/>
                <w:sz w:val="20"/>
                <w:szCs w:val="20"/>
                <w:lang w:val="en-GB" w:eastAsia="sr-Latn-RS"/>
              </w:rPr>
              <w:t>international donations</w:t>
            </w:r>
            <w:r w:rsidRPr="008463F3">
              <w:rPr>
                <w:rFonts w:eastAsia="Times New Roman" w:cs="Times New Roman"/>
                <w:color w:val="000000"/>
                <w:sz w:val="20"/>
                <w:szCs w:val="20"/>
                <w:lang w:val="en-GB" w:eastAsia="sr-Latn-RS"/>
              </w:rPr>
              <w:br/>
              <w:t xml:space="preserve">IAEA Agency </w:t>
            </w:r>
            <w:r w:rsidRPr="008463F3">
              <w:rPr>
                <w:rFonts w:eastAsia="Times New Roman" w:cs="Times New Roman"/>
                <w:color w:val="000000"/>
                <w:sz w:val="20"/>
                <w:szCs w:val="20"/>
                <w:lang w:val="en-GB" w:eastAsia="sr-Latn-RS"/>
              </w:rPr>
              <w:br/>
              <w:t>(MAK1003 TC project)</w:t>
            </w:r>
          </w:p>
        </w:tc>
        <w:tc>
          <w:tcPr>
            <w:tcW w:w="1125" w:type="dxa"/>
            <w:tcBorders>
              <w:top w:val="nil"/>
              <w:left w:val="nil"/>
              <w:bottom w:val="single" w:sz="4" w:space="0" w:color="auto"/>
              <w:right w:val="single" w:sz="4" w:space="0" w:color="auto"/>
            </w:tcBorders>
            <w:shd w:val="clear" w:color="auto" w:fill="auto"/>
            <w:noWrap/>
            <w:vAlign w:val="center"/>
            <w:hideMark/>
          </w:tcPr>
          <w:p w14:paraId="47AAC3B0"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xml:space="preserve">30-35 </w:t>
            </w:r>
            <w:proofErr w:type="spellStart"/>
            <w:r w:rsidRPr="008463F3">
              <w:rPr>
                <w:rFonts w:eastAsia="Times New Roman" w:cs="Times New Roman"/>
                <w:color w:val="000000"/>
                <w:sz w:val="20"/>
                <w:szCs w:val="20"/>
                <w:lang w:val="en-GB" w:eastAsia="sr-Latn-RS"/>
              </w:rPr>
              <w:t>yrs</w:t>
            </w:r>
            <w:proofErr w:type="spellEnd"/>
          </w:p>
        </w:tc>
        <w:tc>
          <w:tcPr>
            <w:tcW w:w="1102" w:type="dxa"/>
            <w:tcBorders>
              <w:top w:val="nil"/>
              <w:left w:val="nil"/>
              <w:bottom w:val="single" w:sz="4" w:space="0" w:color="auto"/>
              <w:right w:val="single" w:sz="4" w:space="0" w:color="auto"/>
            </w:tcBorders>
            <w:shd w:val="clear" w:color="auto" w:fill="auto"/>
            <w:noWrap/>
            <w:vAlign w:val="center"/>
            <w:hideMark/>
          </w:tcPr>
          <w:p w14:paraId="7D22186A"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50-70</w:t>
            </w:r>
          </w:p>
        </w:tc>
      </w:tr>
      <w:tr w:rsidR="007947BF" w:rsidRPr="008463F3" w14:paraId="433BD15C" w14:textId="77777777" w:rsidTr="00DA2AFC">
        <w:tc>
          <w:tcPr>
            <w:tcW w:w="2312" w:type="dxa"/>
            <w:vMerge/>
            <w:tcBorders>
              <w:top w:val="nil"/>
              <w:left w:val="single" w:sz="4" w:space="0" w:color="auto"/>
              <w:bottom w:val="single" w:sz="4" w:space="0" w:color="auto"/>
              <w:right w:val="single" w:sz="4" w:space="0" w:color="auto"/>
            </w:tcBorders>
            <w:vAlign w:val="center"/>
            <w:hideMark/>
          </w:tcPr>
          <w:p w14:paraId="137DD4F8"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5D5FFC2B"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w:t>
            </w:r>
          </w:p>
        </w:tc>
        <w:tc>
          <w:tcPr>
            <w:tcW w:w="4536" w:type="dxa"/>
            <w:tcBorders>
              <w:top w:val="nil"/>
              <w:left w:val="nil"/>
              <w:bottom w:val="single" w:sz="4" w:space="0" w:color="auto"/>
              <w:right w:val="single" w:sz="4" w:space="0" w:color="auto"/>
            </w:tcBorders>
            <w:shd w:val="clear" w:color="auto" w:fill="auto"/>
            <w:hideMark/>
          </w:tcPr>
          <w:p w14:paraId="4659E1CD"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Therm</w:t>
            </w:r>
            <w:r>
              <w:rPr>
                <w:rFonts w:eastAsia="Times New Roman" w:cs="Times New Roman"/>
                <w:color w:val="000000"/>
                <w:sz w:val="20"/>
                <w:szCs w:val="20"/>
                <w:lang w:val="en-GB" w:eastAsia="sr-Latn-RS"/>
              </w:rPr>
              <w:t>o</w:t>
            </w:r>
            <w:r w:rsidRPr="008463F3">
              <w:rPr>
                <w:rFonts w:eastAsia="Times New Roman" w:cs="Times New Roman"/>
                <w:color w:val="000000"/>
                <w:sz w:val="20"/>
                <w:szCs w:val="20"/>
                <w:lang w:val="en-GB" w:eastAsia="sr-Latn-RS"/>
              </w:rPr>
              <w:t>gravimetry and Dynamo-mechanical analysis</w:t>
            </w:r>
          </w:p>
        </w:tc>
        <w:tc>
          <w:tcPr>
            <w:tcW w:w="1275" w:type="dxa"/>
            <w:tcBorders>
              <w:top w:val="nil"/>
              <w:left w:val="nil"/>
              <w:bottom w:val="single" w:sz="4" w:space="0" w:color="auto"/>
              <w:right w:val="single" w:sz="4" w:space="0" w:color="auto"/>
            </w:tcBorders>
            <w:shd w:val="clear" w:color="auto" w:fill="auto"/>
            <w:hideMark/>
          </w:tcPr>
          <w:p w14:paraId="013849B2"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75.000</w:t>
            </w:r>
          </w:p>
        </w:tc>
        <w:tc>
          <w:tcPr>
            <w:tcW w:w="1134" w:type="dxa"/>
            <w:tcBorders>
              <w:top w:val="nil"/>
              <w:left w:val="nil"/>
              <w:bottom w:val="single" w:sz="4" w:space="0" w:color="auto"/>
              <w:right w:val="single" w:sz="4" w:space="0" w:color="auto"/>
            </w:tcBorders>
            <w:shd w:val="clear" w:color="auto" w:fill="auto"/>
            <w:noWrap/>
            <w:hideMark/>
          </w:tcPr>
          <w:p w14:paraId="676FEB6F"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2005</w:t>
            </w:r>
          </w:p>
        </w:tc>
        <w:tc>
          <w:tcPr>
            <w:tcW w:w="2839" w:type="dxa"/>
            <w:tcBorders>
              <w:top w:val="nil"/>
              <w:left w:val="nil"/>
              <w:bottom w:val="single" w:sz="4" w:space="0" w:color="auto"/>
              <w:right w:val="single" w:sz="4" w:space="0" w:color="auto"/>
            </w:tcBorders>
            <w:shd w:val="clear" w:color="auto" w:fill="auto"/>
            <w:hideMark/>
          </w:tcPr>
          <w:p w14:paraId="4BA7DCE3"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Funds from international projects</w:t>
            </w:r>
            <w:r w:rsidRPr="008463F3">
              <w:rPr>
                <w:rFonts w:eastAsia="Times New Roman" w:cs="Times New Roman"/>
                <w:color w:val="000000"/>
                <w:sz w:val="20"/>
                <w:szCs w:val="20"/>
                <w:lang w:val="en-GB" w:eastAsia="sr-Latn-RS"/>
              </w:rPr>
              <w:br/>
              <w:t xml:space="preserve">FP 6 – ECO PCCM project </w:t>
            </w:r>
          </w:p>
        </w:tc>
        <w:tc>
          <w:tcPr>
            <w:tcW w:w="1125" w:type="dxa"/>
            <w:tcBorders>
              <w:top w:val="nil"/>
              <w:left w:val="nil"/>
              <w:bottom w:val="single" w:sz="4" w:space="0" w:color="auto"/>
              <w:right w:val="single" w:sz="4" w:space="0" w:color="auto"/>
            </w:tcBorders>
            <w:shd w:val="clear" w:color="auto" w:fill="auto"/>
            <w:noWrap/>
            <w:vAlign w:val="center"/>
            <w:hideMark/>
          </w:tcPr>
          <w:p w14:paraId="01D1D46C"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xml:space="preserve">30-35 </w:t>
            </w:r>
            <w:proofErr w:type="spellStart"/>
            <w:r w:rsidRPr="008463F3">
              <w:rPr>
                <w:rFonts w:eastAsia="Times New Roman" w:cs="Times New Roman"/>
                <w:color w:val="000000"/>
                <w:sz w:val="20"/>
                <w:szCs w:val="20"/>
                <w:lang w:val="en-GB" w:eastAsia="sr-Latn-RS"/>
              </w:rPr>
              <w:t>yrs</w:t>
            </w:r>
            <w:proofErr w:type="spellEnd"/>
          </w:p>
        </w:tc>
        <w:tc>
          <w:tcPr>
            <w:tcW w:w="1102" w:type="dxa"/>
            <w:tcBorders>
              <w:top w:val="nil"/>
              <w:left w:val="nil"/>
              <w:bottom w:val="single" w:sz="4" w:space="0" w:color="auto"/>
              <w:right w:val="single" w:sz="4" w:space="0" w:color="auto"/>
            </w:tcBorders>
            <w:shd w:val="clear" w:color="auto" w:fill="auto"/>
            <w:noWrap/>
            <w:vAlign w:val="center"/>
            <w:hideMark/>
          </w:tcPr>
          <w:p w14:paraId="69CEF28C"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30-50</w:t>
            </w:r>
          </w:p>
        </w:tc>
      </w:tr>
      <w:tr w:rsidR="007947BF" w:rsidRPr="008463F3" w14:paraId="2D3FD0DF" w14:textId="77777777" w:rsidTr="00DA2AFC">
        <w:tc>
          <w:tcPr>
            <w:tcW w:w="2312" w:type="dxa"/>
            <w:vMerge w:val="restart"/>
            <w:tcBorders>
              <w:top w:val="nil"/>
              <w:left w:val="single" w:sz="4" w:space="0" w:color="auto"/>
              <w:bottom w:val="single" w:sz="4" w:space="0" w:color="auto"/>
              <w:right w:val="single" w:sz="4" w:space="0" w:color="auto"/>
            </w:tcBorders>
            <w:shd w:val="clear" w:color="auto" w:fill="auto"/>
            <w:vAlign w:val="center"/>
            <w:hideMark/>
          </w:tcPr>
          <w:p w14:paraId="68DB817F"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UKIM, Faculty of Technology and Metallurgy, Laboratory for Food Technology and Biotechnology</w:t>
            </w:r>
          </w:p>
        </w:tc>
        <w:tc>
          <w:tcPr>
            <w:tcW w:w="397" w:type="dxa"/>
            <w:tcBorders>
              <w:top w:val="nil"/>
              <w:left w:val="nil"/>
              <w:bottom w:val="single" w:sz="4" w:space="0" w:color="auto"/>
              <w:right w:val="single" w:sz="4" w:space="0" w:color="auto"/>
            </w:tcBorders>
            <w:shd w:val="clear" w:color="auto" w:fill="auto"/>
            <w:hideMark/>
          </w:tcPr>
          <w:p w14:paraId="4803E57D"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6</w:t>
            </w:r>
          </w:p>
        </w:tc>
        <w:tc>
          <w:tcPr>
            <w:tcW w:w="4536" w:type="dxa"/>
            <w:tcBorders>
              <w:top w:val="nil"/>
              <w:left w:val="nil"/>
              <w:bottom w:val="single" w:sz="4" w:space="0" w:color="auto"/>
              <w:right w:val="single" w:sz="4" w:space="0" w:color="auto"/>
            </w:tcBorders>
            <w:shd w:val="clear" w:color="auto" w:fill="auto"/>
            <w:hideMark/>
          </w:tcPr>
          <w:p w14:paraId="5887CC04"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High performance liquid chromatography (HPLC)</w:t>
            </w:r>
          </w:p>
        </w:tc>
        <w:tc>
          <w:tcPr>
            <w:tcW w:w="1275" w:type="dxa"/>
            <w:tcBorders>
              <w:top w:val="nil"/>
              <w:left w:val="nil"/>
              <w:bottom w:val="single" w:sz="4" w:space="0" w:color="auto"/>
              <w:right w:val="single" w:sz="4" w:space="0" w:color="auto"/>
            </w:tcBorders>
            <w:shd w:val="clear" w:color="auto" w:fill="auto"/>
            <w:hideMark/>
          </w:tcPr>
          <w:p w14:paraId="6CAAACF6"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53.000</w:t>
            </w:r>
          </w:p>
        </w:tc>
        <w:tc>
          <w:tcPr>
            <w:tcW w:w="1134" w:type="dxa"/>
            <w:tcBorders>
              <w:top w:val="nil"/>
              <w:left w:val="nil"/>
              <w:bottom w:val="single" w:sz="4" w:space="0" w:color="auto"/>
              <w:right w:val="single" w:sz="4" w:space="0" w:color="auto"/>
            </w:tcBorders>
            <w:shd w:val="clear" w:color="auto" w:fill="auto"/>
            <w:noWrap/>
            <w:hideMark/>
          </w:tcPr>
          <w:p w14:paraId="6ABA4EB4"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2009</w:t>
            </w:r>
          </w:p>
        </w:tc>
        <w:tc>
          <w:tcPr>
            <w:tcW w:w="2839" w:type="dxa"/>
            <w:tcBorders>
              <w:top w:val="nil"/>
              <w:left w:val="nil"/>
              <w:bottom w:val="single" w:sz="4" w:space="0" w:color="auto"/>
              <w:right w:val="single" w:sz="4" w:space="0" w:color="auto"/>
            </w:tcBorders>
            <w:shd w:val="clear" w:color="auto" w:fill="auto"/>
            <w:hideMark/>
          </w:tcPr>
          <w:p w14:paraId="086A3A9E"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Funds from international projects</w:t>
            </w:r>
          </w:p>
        </w:tc>
        <w:tc>
          <w:tcPr>
            <w:tcW w:w="1125" w:type="dxa"/>
            <w:tcBorders>
              <w:top w:val="nil"/>
              <w:left w:val="nil"/>
              <w:bottom w:val="single" w:sz="4" w:space="0" w:color="auto"/>
              <w:right w:val="single" w:sz="4" w:space="0" w:color="auto"/>
            </w:tcBorders>
            <w:shd w:val="clear" w:color="auto" w:fill="auto"/>
            <w:noWrap/>
            <w:vAlign w:val="center"/>
            <w:hideMark/>
          </w:tcPr>
          <w:p w14:paraId="6E577019"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30+</w:t>
            </w:r>
          </w:p>
        </w:tc>
        <w:tc>
          <w:tcPr>
            <w:tcW w:w="1102" w:type="dxa"/>
            <w:tcBorders>
              <w:top w:val="nil"/>
              <w:left w:val="nil"/>
              <w:bottom w:val="single" w:sz="4" w:space="0" w:color="auto"/>
              <w:right w:val="single" w:sz="4" w:space="0" w:color="auto"/>
            </w:tcBorders>
            <w:shd w:val="clear" w:color="auto" w:fill="auto"/>
            <w:noWrap/>
            <w:vAlign w:val="center"/>
            <w:hideMark/>
          </w:tcPr>
          <w:p w14:paraId="2B7471D5"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 per day</w:t>
            </w:r>
          </w:p>
        </w:tc>
      </w:tr>
      <w:tr w:rsidR="007947BF" w:rsidRPr="008463F3" w14:paraId="500CD976" w14:textId="77777777" w:rsidTr="00DA2AFC">
        <w:tc>
          <w:tcPr>
            <w:tcW w:w="2312" w:type="dxa"/>
            <w:vMerge/>
            <w:tcBorders>
              <w:top w:val="nil"/>
              <w:left w:val="single" w:sz="4" w:space="0" w:color="auto"/>
              <w:bottom w:val="single" w:sz="4" w:space="0" w:color="auto"/>
              <w:right w:val="single" w:sz="4" w:space="0" w:color="auto"/>
            </w:tcBorders>
            <w:vAlign w:val="center"/>
            <w:hideMark/>
          </w:tcPr>
          <w:p w14:paraId="043CC259"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29F880D0"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7</w:t>
            </w:r>
          </w:p>
        </w:tc>
        <w:tc>
          <w:tcPr>
            <w:tcW w:w="4536" w:type="dxa"/>
            <w:tcBorders>
              <w:top w:val="nil"/>
              <w:left w:val="nil"/>
              <w:bottom w:val="single" w:sz="4" w:space="0" w:color="auto"/>
              <w:right w:val="single" w:sz="4" w:space="0" w:color="auto"/>
            </w:tcBorders>
            <w:shd w:val="clear" w:color="auto" w:fill="auto"/>
            <w:hideMark/>
          </w:tcPr>
          <w:p w14:paraId="3D72730B"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FISCHER AUTODEST MODEL 800 Vacuum distillation apparatus</w:t>
            </w:r>
          </w:p>
        </w:tc>
        <w:tc>
          <w:tcPr>
            <w:tcW w:w="1275" w:type="dxa"/>
            <w:tcBorders>
              <w:top w:val="nil"/>
              <w:left w:val="nil"/>
              <w:bottom w:val="single" w:sz="4" w:space="0" w:color="auto"/>
              <w:right w:val="single" w:sz="4" w:space="0" w:color="auto"/>
            </w:tcBorders>
            <w:shd w:val="clear" w:color="auto" w:fill="auto"/>
            <w:hideMark/>
          </w:tcPr>
          <w:p w14:paraId="6AB451C6"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200.000</w:t>
            </w:r>
          </w:p>
        </w:tc>
        <w:tc>
          <w:tcPr>
            <w:tcW w:w="1134" w:type="dxa"/>
            <w:tcBorders>
              <w:top w:val="nil"/>
              <w:left w:val="nil"/>
              <w:bottom w:val="single" w:sz="4" w:space="0" w:color="auto"/>
              <w:right w:val="single" w:sz="4" w:space="0" w:color="auto"/>
            </w:tcBorders>
            <w:shd w:val="clear" w:color="auto" w:fill="auto"/>
            <w:noWrap/>
            <w:hideMark/>
          </w:tcPr>
          <w:p w14:paraId="22B1FE89"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w:t>
            </w:r>
          </w:p>
        </w:tc>
        <w:tc>
          <w:tcPr>
            <w:tcW w:w="2839" w:type="dxa"/>
            <w:tcBorders>
              <w:top w:val="nil"/>
              <w:left w:val="nil"/>
              <w:bottom w:val="single" w:sz="4" w:space="0" w:color="auto"/>
              <w:right w:val="single" w:sz="4" w:space="0" w:color="auto"/>
            </w:tcBorders>
            <w:shd w:val="clear" w:color="auto" w:fill="auto"/>
            <w:hideMark/>
          </w:tcPr>
          <w:p w14:paraId="217E8CF0"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w:t>
            </w:r>
          </w:p>
        </w:tc>
        <w:tc>
          <w:tcPr>
            <w:tcW w:w="1125" w:type="dxa"/>
            <w:tcBorders>
              <w:top w:val="nil"/>
              <w:left w:val="nil"/>
              <w:bottom w:val="single" w:sz="4" w:space="0" w:color="auto"/>
              <w:right w:val="single" w:sz="4" w:space="0" w:color="auto"/>
            </w:tcBorders>
            <w:shd w:val="clear" w:color="auto" w:fill="auto"/>
            <w:noWrap/>
            <w:vAlign w:val="center"/>
            <w:hideMark/>
          </w:tcPr>
          <w:p w14:paraId="0EF18B63"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w:t>
            </w:r>
          </w:p>
        </w:tc>
        <w:tc>
          <w:tcPr>
            <w:tcW w:w="1102" w:type="dxa"/>
            <w:tcBorders>
              <w:top w:val="nil"/>
              <w:left w:val="nil"/>
              <w:bottom w:val="single" w:sz="4" w:space="0" w:color="auto"/>
              <w:right w:val="single" w:sz="4" w:space="0" w:color="auto"/>
            </w:tcBorders>
            <w:shd w:val="clear" w:color="auto" w:fill="auto"/>
            <w:noWrap/>
            <w:vAlign w:val="center"/>
            <w:hideMark/>
          </w:tcPr>
          <w:p w14:paraId="637D1148"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w:t>
            </w:r>
          </w:p>
        </w:tc>
      </w:tr>
      <w:tr w:rsidR="007947BF" w:rsidRPr="008463F3" w14:paraId="35B20AE9" w14:textId="77777777" w:rsidTr="00DA2AFC">
        <w:tc>
          <w:tcPr>
            <w:tcW w:w="2312" w:type="dxa"/>
            <w:tcBorders>
              <w:top w:val="nil"/>
              <w:left w:val="single" w:sz="4" w:space="0" w:color="auto"/>
              <w:bottom w:val="single" w:sz="4" w:space="0" w:color="auto"/>
              <w:right w:val="single" w:sz="4" w:space="0" w:color="auto"/>
            </w:tcBorders>
            <w:shd w:val="clear" w:color="auto" w:fill="auto"/>
            <w:vAlign w:val="center"/>
            <w:hideMark/>
          </w:tcPr>
          <w:p w14:paraId="17FF69B3"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xml:space="preserve">UKIM, Faculty of Technology and Metallurgy, Textile </w:t>
            </w:r>
            <w:r>
              <w:rPr>
                <w:rFonts w:eastAsia="Times New Roman" w:cs="Times New Roman"/>
                <w:color w:val="000000"/>
                <w:sz w:val="20"/>
                <w:szCs w:val="20"/>
                <w:lang w:val="en-GB" w:eastAsia="sr-Latn-RS"/>
              </w:rPr>
              <w:t>L</w:t>
            </w:r>
            <w:r w:rsidRPr="008463F3">
              <w:rPr>
                <w:rFonts w:eastAsia="Times New Roman" w:cs="Times New Roman"/>
                <w:color w:val="000000"/>
                <w:sz w:val="20"/>
                <w:szCs w:val="20"/>
                <w:lang w:val="en-GB" w:eastAsia="sr-Latn-RS"/>
              </w:rPr>
              <w:t>aboratory</w:t>
            </w:r>
          </w:p>
        </w:tc>
        <w:tc>
          <w:tcPr>
            <w:tcW w:w="397" w:type="dxa"/>
            <w:tcBorders>
              <w:top w:val="nil"/>
              <w:left w:val="nil"/>
              <w:bottom w:val="single" w:sz="4" w:space="0" w:color="auto"/>
              <w:right w:val="single" w:sz="4" w:space="0" w:color="auto"/>
            </w:tcBorders>
            <w:shd w:val="clear" w:color="auto" w:fill="auto"/>
            <w:hideMark/>
          </w:tcPr>
          <w:p w14:paraId="3C86A5BC"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8</w:t>
            </w:r>
          </w:p>
        </w:tc>
        <w:tc>
          <w:tcPr>
            <w:tcW w:w="4536" w:type="dxa"/>
            <w:tcBorders>
              <w:top w:val="nil"/>
              <w:left w:val="nil"/>
              <w:bottom w:val="single" w:sz="4" w:space="0" w:color="auto"/>
              <w:right w:val="single" w:sz="4" w:space="0" w:color="auto"/>
            </w:tcBorders>
            <w:shd w:val="clear" w:color="auto" w:fill="auto"/>
            <w:hideMark/>
          </w:tcPr>
          <w:p w14:paraId="1490EF7F"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Fabric assurance by simple testing F.A.S.T. 1-4 and press tester</w:t>
            </w:r>
          </w:p>
        </w:tc>
        <w:tc>
          <w:tcPr>
            <w:tcW w:w="1275" w:type="dxa"/>
            <w:tcBorders>
              <w:top w:val="nil"/>
              <w:left w:val="nil"/>
              <w:bottom w:val="single" w:sz="4" w:space="0" w:color="auto"/>
              <w:right w:val="single" w:sz="4" w:space="0" w:color="auto"/>
            </w:tcBorders>
            <w:shd w:val="clear" w:color="auto" w:fill="auto"/>
            <w:hideMark/>
          </w:tcPr>
          <w:p w14:paraId="17409895"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51.000</w:t>
            </w:r>
          </w:p>
        </w:tc>
        <w:tc>
          <w:tcPr>
            <w:tcW w:w="1134" w:type="dxa"/>
            <w:tcBorders>
              <w:top w:val="nil"/>
              <w:left w:val="nil"/>
              <w:bottom w:val="single" w:sz="4" w:space="0" w:color="auto"/>
              <w:right w:val="single" w:sz="4" w:space="0" w:color="auto"/>
            </w:tcBorders>
            <w:shd w:val="clear" w:color="auto" w:fill="auto"/>
            <w:noWrap/>
            <w:hideMark/>
          </w:tcPr>
          <w:p w14:paraId="242A3D82"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2011</w:t>
            </w:r>
          </w:p>
        </w:tc>
        <w:tc>
          <w:tcPr>
            <w:tcW w:w="2839" w:type="dxa"/>
            <w:tcBorders>
              <w:top w:val="nil"/>
              <w:left w:val="nil"/>
              <w:bottom w:val="single" w:sz="4" w:space="0" w:color="auto"/>
              <w:right w:val="single" w:sz="4" w:space="0" w:color="auto"/>
            </w:tcBorders>
            <w:shd w:val="clear" w:color="auto" w:fill="auto"/>
            <w:hideMark/>
          </w:tcPr>
          <w:p w14:paraId="0386729B"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Resources of the Ministry of Education and Science</w:t>
            </w:r>
          </w:p>
        </w:tc>
        <w:tc>
          <w:tcPr>
            <w:tcW w:w="1125" w:type="dxa"/>
            <w:tcBorders>
              <w:top w:val="nil"/>
              <w:left w:val="nil"/>
              <w:bottom w:val="single" w:sz="4" w:space="0" w:color="auto"/>
              <w:right w:val="single" w:sz="4" w:space="0" w:color="auto"/>
            </w:tcBorders>
            <w:shd w:val="clear" w:color="auto" w:fill="auto"/>
            <w:noWrap/>
            <w:vAlign w:val="center"/>
            <w:hideMark/>
          </w:tcPr>
          <w:p w14:paraId="57E757A2"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10</w:t>
            </w:r>
          </w:p>
        </w:tc>
        <w:tc>
          <w:tcPr>
            <w:tcW w:w="1102" w:type="dxa"/>
            <w:tcBorders>
              <w:top w:val="nil"/>
              <w:left w:val="nil"/>
              <w:bottom w:val="single" w:sz="4" w:space="0" w:color="auto"/>
              <w:right w:val="single" w:sz="4" w:space="0" w:color="auto"/>
            </w:tcBorders>
            <w:shd w:val="clear" w:color="auto" w:fill="auto"/>
            <w:noWrap/>
            <w:vAlign w:val="center"/>
            <w:hideMark/>
          </w:tcPr>
          <w:p w14:paraId="6119CBF3"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8</w:t>
            </w:r>
          </w:p>
        </w:tc>
      </w:tr>
      <w:tr w:rsidR="007947BF" w:rsidRPr="008463F3" w14:paraId="3E3F25A8" w14:textId="77777777" w:rsidTr="00DA2AFC">
        <w:tc>
          <w:tcPr>
            <w:tcW w:w="2312" w:type="dxa"/>
            <w:vMerge w:val="restart"/>
            <w:tcBorders>
              <w:top w:val="nil"/>
              <w:left w:val="single" w:sz="4" w:space="0" w:color="auto"/>
              <w:bottom w:val="single" w:sz="4" w:space="0" w:color="auto"/>
              <w:right w:val="single" w:sz="4" w:space="0" w:color="auto"/>
            </w:tcBorders>
            <w:shd w:val="clear" w:color="auto" w:fill="auto"/>
            <w:vAlign w:val="center"/>
            <w:hideMark/>
          </w:tcPr>
          <w:p w14:paraId="0A595A20"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UKIM, Faculty of Computer Science and Engineering, National centr</w:t>
            </w:r>
            <w:r>
              <w:rPr>
                <w:rFonts w:eastAsia="Times New Roman" w:cs="Times New Roman"/>
                <w:color w:val="000000"/>
                <w:sz w:val="20"/>
                <w:szCs w:val="20"/>
                <w:lang w:val="en-GB" w:eastAsia="sr-Latn-RS"/>
              </w:rPr>
              <w:t>e</w:t>
            </w:r>
            <w:r w:rsidRPr="008463F3">
              <w:rPr>
                <w:rFonts w:eastAsia="Times New Roman" w:cs="Times New Roman"/>
                <w:color w:val="000000"/>
                <w:sz w:val="20"/>
                <w:szCs w:val="20"/>
                <w:lang w:val="en-GB" w:eastAsia="sr-Latn-RS"/>
              </w:rPr>
              <w:t xml:space="preserve"> for high performance computing and cloud</w:t>
            </w:r>
          </w:p>
        </w:tc>
        <w:tc>
          <w:tcPr>
            <w:tcW w:w="397" w:type="dxa"/>
            <w:tcBorders>
              <w:top w:val="nil"/>
              <w:left w:val="nil"/>
              <w:bottom w:val="single" w:sz="4" w:space="0" w:color="auto"/>
              <w:right w:val="single" w:sz="4" w:space="0" w:color="auto"/>
            </w:tcBorders>
            <w:shd w:val="clear" w:color="auto" w:fill="auto"/>
            <w:hideMark/>
          </w:tcPr>
          <w:p w14:paraId="20E32A0F"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9</w:t>
            </w:r>
          </w:p>
        </w:tc>
        <w:tc>
          <w:tcPr>
            <w:tcW w:w="4536" w:type="dxa"/>
            <w:tcBorders>
              <w:top w:val="nil"/>
              <w:left w:val="nil"/>
              <w:bottom w:val="single" w:sz="4" w:space="0" w:color="auto"/>
              <w:right w:val="single" w:sz="4" w:space="0" w:color="auto"/>
            </w:tcBorders>
            <w:shd w:val="clear" w:color="auto" w:fill="auto"/>
            <w:hideMark/>
          </w:tcPr>
          <w:p w14:paraId="45D15046"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HPC cluster</w:t>
            </w:r>
          </w:p>
        </w:tc>
        <w:tc>
          <w:tcPr>
            <w:tcW w:w="1275" w:type="dxa"/>
            <w:tcBorders>
              <w:top w:val="nil"/>
              <w:left w:val="nil"/>
              <w:bottom w:val="single" w:sz="4" w:space="0" w:color="auto"/>
              <w:right w:val="single" w:sz="4" w:space="0" w:color="auto"/>
            </w:tcBorders>
            <w:shd w:val="clear" w:color="auto" w:fill="auto"/>
            <w:hideMark/>
          </w:tcPr>
          <w:p w14:paraId="0A016A92"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~1.000.000</w:t>
            </w:r>
          </w:p>
        </w:tc>
        <w:tc>
          <w:tcPr>
            <w:tcW w:w="1134" w:type="dxa"/>
            <w:tcBorders>
              <w:top w:val="nil"/>
              <w:left w:val="nil"/>
              <w:bottom w:val="single" w:sz="4" w:space="0" w:color="auto"/>
              <w:right w:val="single" w:sz="4" w:space="0" w:color="auto"/>
            </w:tcBorders>
            <w:shd w:val="clear" w:color="auto" w:fill="auto"/>
            <w:hideMark/>
          </w:tcPr>
          <w:p w14:paraId="73620E0C"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2010</w:t>
            </w:r>
          </w:p>
        </w:tc>
        <w:tc>
          <w:tcPr>
            <w:tcW w:w="2839" w:type="dxa"/>
            <w:tcBorders>
              <w:top w:val="nil"/>
              <w:left w:val="nil"/>
              <w:bottom w:val="single" w:sz="4" w:space="0" w:color="auto"/>
              <w:right w:val="single" w:sz="4" w:space="0" w:color="auto"/>
            </w:tcBorders>
            <w:shd w:val="clear" w:color="auto" w:fill="auto"/>
            <w:hideMark/>
          </w:tcPr>
          <w:p w14:paraId="13C1C63E"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Resources of the Ministry of Education and Science</w:t>
            </w:r>
          </w:p>
        </w:tc>
        <w:tc>
          <w:tcPr>
            <w:tcW w:w="1125" w:type="dxa"/>
            <w:tcBorders>
              <w:top w:val="nil"/>
              <w:left w:val="nil"/>
              <w:bottom w:val="single" w:sz="4" w:space="0" w:color="auto"/>
              <w:right w:val="single" w:sz="4" w:space="0" w:color="auto"/>
            </w:tcBorders>
            <w:shd w:val="clear" w:color="auto" w:fill="auto"/>
            <w:vAlign w:val="center"/>
            <w:hideMark/>
          </w:tcPr>
          <w:p w14:paraId="0BDEF0F3"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15 years</w:t>
            </w:r>
          </w:p>
        </w:tc>
        <w:tc>
          <w:tcPr>
            <w:tcW w:w="1102" w:type="dxa"/>
            <w:tcBorders>
              <w:top w:val="nil"/>
              <w:left w:val="nil"/>
              <w:bottom w:val="single" w:sz="4" w:space="0" w:color="auto"/>
              <w:right w:val="single" w:sz="4" w:space="0" w:color="auto"/>
            </w:tcBorders>
            <w:shd w:val="clear" w:color="auto" w:fill="auto"/>
            <w:vAlign w:val="center"/>
            <w:hideMark/>
          </w:tcPr>
          <w:p w14:paraId="02CE4524"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&gt;100</w:t>
            </w:r>
          </w:p>
        </w:tc>
      </w:tr>
      <w:tr w:rsidR="007947BF" w:rsidRPr="008463F3" w14:paraId="6062C5AE" w14:textId="77777777" w:rsidTr="00DA2AFC">
        <w:tc>
          <w:tcPr>
            <w:tcW w:w="2312" w:type="dxa"/>
            <w:vMerge/>
            <w:tcBorders>
              <w:top w:val="nil"/>
              <w:left w:val="single" w:sz="4" w:space="0" w:color="auto"/>
              <w:bottom w:val="single" w:sz="4" w:space="0" w:color="auto"/>
              <w:right w:val="single" w:sz="4" w:space="0" w:color="auto"/>
            </w:tcBorders>
            <w:vAlign w:val="center"/>
            <w:hideMark/>
          </w:tcPr>
          <w:p w14:paraId="179484FD"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37BE980E"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10</w:t>
            </w:r>
          </w:p>
        </w:tc>
        <w:tc>
          <w:tcPr>
            <w:tcW w:w="4536" w:type="dxa"/>
            <w:tcBorders>
              <w:top w:val="nil"/>
              <w:left w:val="nil"/>
              <w:bottom w:val="single" w:sz="4" w:space="0" w:color="auto"/>
              <w:right w:val="single" w:sz="4" w:space="0" w:color="auto"/>
            </w:tcBorders>
            <w:shd w:val="clear" w:color="auto" w:fill="auto"/>
            <w:hideMark/>
          </w:tcPr>
          <w:p w14:paraId="25DC2921"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Cloud cluster</w:t>
            </w:r>
          </w:p>
        </w:tc>
        <w:tc>
          <w:tcPr>
            <w:tcW w:w="1275" w:type="dxa"/>
            <w:tcBorders>
              <w:top w:val="nil"/>
              <w:left w:val="nil"/>
              <w:bottom w:val="single" w:sz="4" w:space="0" w:color="auto"/>
              <w:right w:val="single" w:sz="4" w:space="0" w:color="auto"/>
            </w:tcBorders>
            <w:shd w:val="clear" w:color="auto" w:fill="auto"/>
            <w:hideMark/>
          </w:tcPr>
          <w:p w14:paraId="0A229AE0"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~2.500.000</w:t>
            </w:r>
          </w:p>
        </w:tc>
        <w:tc>
          <w:tcPr>
            <w:tcW w:w="1134" w:type="dxa"/>
            <w:tcBorders>
              <w:top w:val="nil"/>
              <w:left w:val="nil"/>
              <w:bottom w:val="single" w:sz="4" w:space="0" w:color="auto"/>
              <w:right w:val="single" w:sz="4" w:space="0" w:color="auto"/>
            </w:tcBorders>
            <w:shd w:val="clear" w:color="auto" w:fill="auto"/>
            <w:hideMark/>
          </w:tcPr>
          <w:p w14:paraId="6C9C4C94"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2018</w:t>
            </w:r>
          </w:p>
        </w:tc>
        <w:tc>
          <w:tcPr>
            <w:tcW w:w="2839" w:type="dxa"/>
            <w:tcBorders>
              <w:top w:val="nil"/>
              <w:left w:val="nil"/>
              <w:bottom w:val="single" w:sz="4" w:space="0" w:color="auto"/>
              <w:right w:val="single" w:sz="4" w:space="0" w:color="auto"/>
            </w:tcBorders>
            <w:shd w:val="clear" w:color="auto" w:fill="auto"/>
            <w:hideMark/>
          </w:tcPr>
          <w:p w14:paraId="4332B55D"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Donation</w:t>
            </w:r>
          </w:p>
        </w:tc>
        <w:tc>
          <w:tcPr>
            <w:tcW w:w="1125" w:type="dxa"/>
            <w:tcBorders>
              <w:top w:val="nil"/>
              <w:left w:val="nil"/>
              <w:bottom w:val="single" w:sz="4" w:space="0" w:color="auto"/>
              <w:right w:val="single" w:sz="4" w:space="0" w:color="auto"/>
            </w:tcBorders>
            <w:shd w:val="clear" w:color="auto" w:fill="auto"/>
            <w:vAlign w:val="center"/>
            <w:hideMark/>
          </w:tcPr>
          <w:p w14:paraId="0B648455"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15 years</w:t>
            </w:r>
          </w:p>
        </w:tc>
        <w:tc>
          <w:tcPr>
            <w:tcW w:w="1102" w:type="dxa"/>
            <w:tcBorders>
              <w:top w:val="nil"/>
              <w:left w:val="nil"/>
              <w:bottom w:val="single" w:sz="4" w:space="0" w:color="auto"/>
              <w:right w:val="single" w:sz="4" w:space="0" w:color="auto"/>
            </w:tcBorders>
            <w:shd w:val="clear" w:color="auto" w:fill="auto"/>
            <w:vAlign w:val="center"/>
            <w:hideMark/>
          </w:tcPr>
          <w:p w14:paraId="2A3578A9"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&gt;100</w:t>
            </w:r>
          </w:p>
        </w:tc>
      </w:tr>
      <w:tr w:rsidR="007947BF" w:rsidRPr="008463F3" w14:paraId="7D2F1C35" w14:textId="77777777" w:rsidTr="00DA2AFC">
        <w:tc>
          <w:tcPr>
            <w:tcW w:w="2312" w:type="dxa"/>
            <w:vMerge/>
            <w:tcBorders>
              <w:top w:val="nil"/>
              <w:left w:val="single" w:sz="4" w:space="0" w:color="auto"/>
              <w:bottom w:val="single" w:sz="4" w:space="0" w:color="auto"/>
              <w:right w:val="single" w:sz="4" w:space="0" w:color="auto"/>
            </w:tcBorders>
            <w:vAlign w:val="center"/>
            <w:hideMark/>
          </w:tcPr>
          <w:p w14:paraId="48469FB1"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58693053"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11</w:t>
            </w:r>
          </w:p>
        </w:tc>
        <w:tc>
          <w:tcPr>
            <w:tcW w:w="4536" w:type="dxa"/>
            <w:tcBorders>
              <w:top w:val="nil"/>
              <w:left w:val="nil"/>
              <w:bottom w:val="single" w:sz="4" w:space="0" w:color="auto"/>
              <w:right w:val="single" w:sz="4" w:space="0" w:color="auto"/>
            </w:tcBorders>
            <w:shd w:val="clear" w:color="auto" w:fill="auto"/>
            <w:hideMark/>
          </w:tcPr>
          <w:p w14:paraId="566FD6FD"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GPGPU cluster</w:t>
            </w:r>
          </w:p>
        </w:tc>
        <w:tc>
          <w:tcPr>
            <w:tcW w:w="1275" w:type="dxa"/>
            <w:tcBorders>
              <w:top w:val="nil"/>
              <w:left w:val="nil"/>
              <w:bottom w:val="single" w:sz="4" w:space="0" w:color="auto"/>
              <w:right w:val="single" w:sz="4" w:space="0" w:color="auto"/>
            </w:tcBorders>
            <w:shd w:val="clear" w:color="auto" w:fill="auto"/>
            <w:hideMark/>
          </w:tcPr>
          <w:p w14:paraId="1B9784E6"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~50.000,00</w:t>
            </w:r>
          </w:p>
        </w:tc>
        <w:tc>
          <w:tcPr>
            <w:tcW w:w="1134" w:type="dxa"/>
            <w:tcBorders>
              <w:top w:val="nil"/>
              <w:left w:val="nil"/>
              <w:bottom w:val="single" w:sz="4" w:space="0" w:color="auto"/>
              <w:right w:val="single" w:sz="4" w:space="0" w:color="auto"/>
            </w:tcBorders>
            <w:shd w:val="clear" w:color="auto" w:fill="auto"/>
            <w:hideMark/>
          </w:tcPr>
          <w:p w14:paraId="1ED22EFE"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2020</w:t>
            </w:r>
          </w:p>
        </w:tc>
        <w:tc>
          <w:tcPr>
            <w:tcW w:w="2839" w:type="dxa"/>
            <w:tcBorders>
              <w:top w:val="nil"/>
              <w:left w:val="nil"/>
              <w:bottom w:val="single" w:sz="4" w:space="0" w:color="auto"/>
              <w:right w:val="single" w:sz="4" w:space="0" w:color="auto"/>
            </w:tcBorders>
            <w:shd w:val="clear" w:color="auto" w:fill="auto"/>
            <w:hideMark/>
          </w:tcPr>
          <w:p w14:paraId="00618C09"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Own funds / Donation</w:t>
            </w:r>
          </w:p>
        </w:tc>
        <w:tc>
          <w:tcPr>
            <w:tcW w:w="1125" w:type="dxa"/>
            <w:tcBorders>
              <w:top w:val="nil"/>
              <w:left w:val="nil"/>
              <w:bottom w:val="single" w:sz="4" w:space="0" w:color="auto"/>
              <w:right w:val="single" w:sz="4" w:space="0" w:color="auto"/>
            </w:tcBorders>
            <w:shd w:val="clear" w:color="auto" w:fill="auto"/>
            <w:vAlign w:val="center"/>
            <w:hideMark/>
          </w:tcPr>
          <w:p w14:paraId="3945ECDE"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10 years</w:t>
            </w:r>
          </w:p>
        </w:tc>
        <w:tc>
          <w:tcPr>
            <w:tcW w:w="1102" w:type="dxa"/>
            <w:tcBorders>
              <w:top w:val="nil"/>
              <w:left w:val="nil"/>
              <w:bottom w:val="single" w:sz="4" w:space="0" w:color="auto"/>
              <w:right w:val="single" w:sz="4" w:space="0" w:color="auto"/>
            </w:tcBorders>
            <w:shd w:val="clear" w:color="auto" w:fill="auto"/>
            <w:vAlign w:val="center"/>
            <w:hideMark/>
          </w:tcPr>
          <w:p w14:paraId="4A9CD1F2"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&gt;50</w:t>
            </w:r>
          </w:p>
        </w:tc>
      </w:tr>
      <w:tr w:rsidR="007947BF" w:rsidRPr="008463F3" w14:paraId="3141CC21" w14:textId="77777777" w:rsidTr="00DA2AFC">
        <w:tc>
          <w:tcPr>
            <w:tcW w:w="2312" w:type="dxa"/>
            <w:vMerge/>
            <w:tcBorders>
              <w:top w:val="nil"/>
              <w:left w:val="single" w:sz="4" w:space="0" w:color="auto"/>
              <w:bottom w:val="single" w:sz="4" w:space="0" w:color="auto"/>
              <w:right w:val="single" w:sz="4" w:space="0" w:color="auto"/>
            </w:tcBorders>
            <w:vAlign w:val="center"/>
            <w:hideMark/>
          </w:tcPr>
          <w:p w14:paraId="135A21A8"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03C9DC03"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12</w:t>
            </w:r>
          </w:p>
        </w:tc>
        <w:tc>
          <w:tcPr>
            <w:tcW w:w="4536" w:type="dxa"/>
            <w:tcBorders>
              <w:top w:val="nil"/>
              <w:left w:val="nil"/>
              <w:bottom w:val="single" w:sz="4" w:space="0" w:color="auto"/>
              <w:right w:val="single" w:sz="4" w:space="0" w:color="auto"/>
            </w:tcBorders>
            <w:shd w:val="clear" w:color="auto" w:fill="auto"/>
            <w:hideMark/>
          </w:tcPr>
          <w:p w14:paraId="720A187B"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IPX (Internet Exchange)</w:t>
            </w:r>
          </w:p>
        </w:tc>
        <w:tc>
          <w:tcPr>
            <w:tcW w:w="1275" w:type="dxa"/>
            <w:tcBorders>
              <w:top w:val="nil"/>
              <w:left w:val="nil"/>
              <w:bottom w:val="single" w:sz="4" w:space="0" w:color="auto"/>
              <w:right w:val="single" w:sz="4" w:space="0" w:color="auto"/>
            </w:tcBorders>
            <w:shd w:val="clear" w:color="auto" w:fill="auto"/>
            <w:hideMark/>
          </w:tcPr>
          <w:p w14:paraId="085A2C22"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~50.000,00</w:t>
            </w:r>
          </w:p>
        </w:tc>
        <w:tc>
          <w:tcPr>
            <w:tcW w:w="1134" w:type="dxa"/>
            <w:tcBorders>
              <w:top w:val="nil"/>
              <w:left w:val="nil"/>
              <w:bottom w:val="single" w:sz="4" w:space="0" w:color="auto"/>
              <w:right w:val="single" w:sz="4" w:space="0" w:color="auto"/>
            </w:tcBorders>
            <w:shd w:val="clear" w:color="auto" w:fill="auto"/>
            <w:hideMark/>
          </w:tcPr>
          <w:p w14:paraId="065BDB2A"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2019</w:t>
            </w:r>
          </w:p>
        </w:tc>
        <w:tc>
          <w:tcPr>
            <w:tcW w:w="2839" w:type="dxa"/>
            <w:tcBorders>
              <w:top w:val="nil"/>
              <w:left w:val="nil"/>
              <w:bottom w:val="single" w:sz="4" w:space="0" w:color="auto"/>
              <w:right w:val="single" w:sz="4" w:space="0" w:color="auto"/>
            </w:tcBorders>
            <w:shd w:val="clear" w:color="auto" w:fill="auto"/>
            <w:hideMark/>
          </w:tcPr>
          <w:p w14:paraId="0CF38053"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Own funds / Donation</w:t>
            </w:r>
          </w:p>
        </w:tc>
        <w:tc>
          <w:tcPr>
            <w:tcW w:w="1125" w:type="dxa"/>
            <w:tcBorders>
              <w:top w:val="nil"/>
              <w:left w:val="nil"/>
              <w:bottom w:val="single" w:sz="4" w:space="0" w:color="auto"/>
              <w:right w:val="single" w:sz="4" w:space="0" w:color="auto"/>
            </w:tcBorders>
            <w:shd w:val="clear" w:color="auto" w:fill="auto"/>
            <w:vAlign w:val="center"/>
            <w:hideMark/>
          </w:tcPr>
          <w:p w14:paraId="748EAE1D"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15 years</w:t>
            </w:r>
          </w:p>
        </w:tc>
        <w:tc>
          <w:tcPr>
            <w:tcW w:w="1102" w:type="dxa"/>
            <w:tcBorders>
              <w:top w:val="nil"/>
              <w:left w:val="nil"/>
              <w:bottom w:val="single" w:sz="4" w:space="0" w:color="auto"/>
              <w:right w:val="single" w:sz="4" w:space="0" w:color="auto"/>
            </w:tcBorders>
            <w:shd w:val="clear" w:color="auto" w:fill="auto"/>
            <w:vAlign w:val="center"/>
            <w:hideMark/>
          </w:tcPr>
          <w:p w14:paraId="20BA970F"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w:t>
            </w:r>
          </w:p>
        </w:tc>
      </w:tr>
      <w:tr w:rsidR="007947BF" w:rsidRPr="008463F3" w14:paraId="00D86DFE" w14:textId="77777777" w:rsidTr="00DA2AFC">
        <w:tc>
          <w:tcPr>
            <w:tcW w:w="2312" w:type="dxa"/>
            <w:vMerge/>
            <w:tcBorders>
              <w:top w:val="nil"/>
              <w:left w:val="single" w:sz="4" w:space="0" w:color="auto"/>
              <w:bottom w:val="single" w:sz="4" w:space="0" w:color="auto"/>
              <w:right w:val="single" w:sz="4" w:space="0" w:color="auto"/>
            </w:tcBorders>
            <w:vAlign w:val="center"/>
            <w:hideMark/>
          </w:tcPr>
          <w:p w14:paraId="4440D1E0"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05C04795"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13</w:t>
            </w:r>
          </w:p>
        </w:tc>
        <w:tc>
          <w:tcPr>
            <w:tcW w:w="4536" w:type="dxa"/>
            <w:tcBorders>
              <w:top w:val="nil"/>
              <w:left w:val="nil"/>
              <w:bottom w:val="single" w:sz="4" w:space="0" w:color="auto"/>
              <w:right w:val="single" w:sz="4" w:space="0" w:color="auto"/>
            </w:tcBorders>
            <w:shd w:val="clear" w:color="auto" w:fill="auto"/>
            <w:noWrap/>
            <w:hideMark/>
          </w:tcPr>
          <w:p w14:paraId="3C86E45D" w14:textId="77777777" w:rsidR="007947BF" w:rsidRPr="008463F3" w:rsidRDefault="007947BF" w:rsidP="00DA2AFC">
            <w:pPr>
              <w:spacing w:after="0" w:line="240" w:lineRule="auto"/>
              <w:rPr>
                <w:rFonts w:eastAsia="Times New Roman" w:cs="Times New Roman"/>
                <w:color w:val="000000"/>
                <w:sz w:val="20"/>
                <w:szCs w:val="20"/>
                <w:lang w:val="en-GB" w:eastAsia="sr-Latn-RS"/>
              </w:rPr>
            </w:pPr>
            <w:proofErr w:type="spellStart"/>
            <w:r w:rsidRPr="008463F3">
              <w:rPr>
                <w:rFonts w:eastAsia="Times New Roman" w:cs="Times New Roman"/>
                <w:color w:val="000000"/>
                <w:sz w:val="20"/>
                <w:szCs w:val="20"/>
                <w:lang w:val="en-GB" w:eastAsia="sr-Latn-RS"/>
              </w:rPr>
              <w:t>Airpointer</w:t>
            </w:r>
            <w:proofErr w:type="spellEnd"/>
            <w:r w:rsidRPr="008463F3">
              <w:rPr>
                <w:rFonts w:eastAsia="Times New Roman" w:cs="Times New Roman"/>
                <w:color w:val="000000"/>
                <w:sz w:val="20"/>
                <w:szCs w:val="20"/>
                <w:lang w:val="en-GB" w:eastAsia="sr-Latn-RS"/>
              </w:rPr>
              <w:t>-MLU Austria</w:t>
            </w:r>
          </w:p>
        </w:tc>
        <w:tc>
          <w:tcPr>
            <w:tcW w:w="1275" w:type="dxa"/>
            <w:tcBorders>
              <w:top w:val="nil"/>
              <w:left w:val="nil"/>
              <w:bottom w:val="single" w:sz="4" w:space="0" w:color="auto"/>
              <w:right w:val="single" w:sz="4" w:space="0" w:color="auto"/>
            </w:tcBorders>
            <w:shd w:val="clear" w:color="auto" w:fill="auto"/>
            <w:hideMark/>
          </w:tcPr>
          <w:p w14:paraId="1DF39755"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90.000</w:t>
            </w:r>
          </w:p>
        </w:tc>
        <w:tc>
          <w:tcPr>
            <w:tcW w:w="1134" w:type="dxa"/>
            <w:tcBorders>
              <w:top w:val="nil"/>
              <w:left w:val="nil"/>
              <w:bottom w:val="single" w:sz="4" w:space="0" w:color="auto"/>
              <w:right w:val="single" w:sz="4" w:space="0" w:color="auto"/>
            </w:tcBorders>
            <w:shd w:val="clear" w:color="auto" w:fill="auto"/>
            <w:noWrap/>
            <w:hideMark/>
          </w:tcPr>
          <w:p w14:paraId="25015FAA"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2011</w:t>
            </w:r>
          </w:p>
        </w:tc>
        <w:tc>
          <w:tcPr>
            <w:tcW w:w="2839" w:type="dxa"/>
            <w:tcBorders>
              <w:top w:val="nil"/>
              <w:left w:val="nil"/>
              <w:bottom w:val="single" w:sz="4" w:space="0" w:color="auto"/>
              <w:right w:val="single" w:sz="4" w:space="0" w:color="auto"/>
            </w:tcBorders>
            <w:shd w:val="clear" w:color="auto" w:fill="auto"/>
            <w:hideMark/>
          </w:tcPr>
          <w:p w14:paraId="40BFB0AF"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Resources of the Ministry of Education and Science</w:t>
            </w:r>
          </w:p>
        </w:tc>
        <w:tc>
          <w:tcPr>
            <w:tcW w:w="1125" w:type="dxa"/>
            <w:tcBorders>
              <w:top w:val="nil"/>
              <w:left w:val="nil"/>
              <w:bottom w:val="single" w:sz="4" w:space="0" w:color="auto"/>
              <w:right w:val="single" w:sz="4" w:space="0" w:color="auto"/>
            </w:tcBorders>
            <w:shd w:val="clear" w:color="auto" w:fill="auto"/>
            <w:noWrap/>
            <w:vAlign w:val="center"/>
            <w:hideMark/>
          </w:tcPr>
          <w:p w14:paraId="14E9FEB2"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15</w:t>
            </w:r>
          </w:p>
        </w:tc>
        <w:tc>
          <w:tcPr>
            <w:tcW w:w="1102" w:type="dxa"/>
            <w:tcBorders>
              <w:top w:val="nil"/>
              <w:left w:val="nil"/>
              <w:bottom w:val="single" w:sz="4" w:space="0" w:color="auto"/>
              <w:right w:val="single" w:sz="4" w:space="0" w:color="auto"/>
            </w:tcBorders>
            <w:shd w:val="clear" w:color="auto" w:fill="auto"/>
            <w:noWrap/>
            <w:vAlign w:val="center"/>
            <w:hideMark/>
          </w:tcPr>
          <w:p w14:paraId="6FDCB353"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w:t>
            </w:r>
          </w:p>
        </w:tc>
      </w:tr>
      <w:tr w:rsidR="007947BF" w:rsidRPr="008463F3" w14:paraId="2662F171" w14:textId="77777777" w:rsidTr="00DA2AFC">
        <w:tc>
          <w:tcPr>
            <w:tcW w:w="2312" w:type="dxa"/>
            <w:vMerge w:val="restart"/>
            <w:tcBorders>
              <w:top w:val="nil"/>
              <w:left w:val="single" w:sz="4" w:space="0" w:color="auto"/>
              <w:bottom w:val="single" w:sz="4" w:space="0" w:color="auto"/>
              <w:right w:val="single" w:sz="4" w:space="0" w:color="auto"/>
            </w:tcBorders>
            <w:shd w:val="clear" w:color="auto" w:fill="auto"/>
            <w:vAlign w:val="center"/>
            <w:hideMark/>
          </w:tcPr>
          <w:p w14:paraId="0A00600D"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xml:space="preserve">UKIM, Faculty of Electrical Engineering and Information Technologies, </w:t>
            </w:r>
            <w:r>
              <w:rPr>
                <w:rFonts w:eastAsia="Times New Roman" w:cs="Times New Roman"/>
                <w:color w:val="000000"/>
                <w:sz w:val="20"/>
                <w:szCs w:val="20"/>
                <w:lang w:val="en-GB" w:eastAsia="sr-Latn-RS"/>
              </w:rPr>
              <w:t xml:space="preserve">Physics </w:t>
            </w:r>
            <w:r w:rsidRPr="008463F3">
              <w:rPr>
                <w:rFonts w:eastAsia="Times New Roman" w:cs="Times New Roman"/>
                <w:color w:val="000000"/>
                <w:sz w:val="20"/>
                <w:szCs w:val="20"/>
                <w:lang w:val="en-GB" w:eastAsia="sr-Latn-RS"/>
              </w:rPr>
              <w:t>Laboratory</w:t>
            </w:r>
          </w:p>
        </w:tc>
        <w:tc>
          <w:tcPr>
            <w:tcW w:w="397" w:type="dxa"/>
            <w:tcBorders>
              <w:top w:val="nil"/>
              <w:left w:val="nil"/>
              <w:bottom w:val="single" w:sz="4" w:space="0" w:color="auto"/>
              <w:right w:val="single" w:sz="4" w:space="0" w:color="auto"/>
            </w:tcBorders>
            <w:shd w:val="clear" w:color="auto" w:fill="auto"/>
            <w:hideMark/>
          </w:tcPr>
          <w:p w14:paraId="4B717DBB"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14</w:t>
            </w:r>
          </w:p>
        </w:tc>
        <w:tc>
          <w:tcPr>
            <w:tcW w:w="4536" w:type="dxa"/>
            <w:tcBorders>
              <w:top w:val="nil"/>
              <w:left w:val="nil"/>
              <w:bottom w:val="single" w:sz="4" w:space="0" w:color="auto"/>
              <w:right w:val="single" w:sz="4" w:space="0" w:color="auto"/>
            </w:tcBorders>
            <w:shd w:val="clear" w:color="auto" w:fill="auto"/>
            <w:noWrap/>
            <w:hideMark/>
          </w:tcPr>
          <w:p w14:paraId="5BF15E50"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xml:space="preserve">Dating system </w:t>
            </w:r>
            <w:proofErr w:type="spellStart"/>
            <w:r w:rsidRPr="008463F3">
              <w:rPr>
                <w:rFonts w:eastAsia="Times New Roman" w:cs="Times New Roman"/>
                <w:color w:val="000000"/>
                <w:sz w:val="20"/>
                <w:szCs w:val="20"/>
                <w:lang w:val="en-GB" w:eastAsia="sr-Latn-RS"/>
              </w:rPr>
              <w:t>Riso</w:t>
            </w:r>
            <w:proofErr w:type="spellEnd"/>
            <w:r w:rsidRPr="008463F3">
              <w:rPr>
                <w:rFonts w:eastAsia="Times New Roman" w:cs="Times New Roman"/>
                <w:color w:val="000000"/>
                <w:sz w:val="20"/>
                <w:szCs w:val="20"/>
                <w:lang w:val="en-GB" w:eastAsia="sr-Latn-RS"/>
              </w:rPr>
              <w:t xml:space="preserve"> TL/OSL</w:t>
            </w:r>
          </w:p>
        </w:tc>
        <w:tc>
          <w:tcPr>
            <w:tcW w:w="1275" w:type="dxa"/>
            <w:tcBorders>
              <w:top w:val="nil"/>
              <w:left w:val="nil"/>
              <w:bottom w:val="single" w:sz="4" w:space="0" w:color="auto"/>
              <w:right w:val="single" w:sz="4" w:space="0" w:color="auto"/>
            </w:tcBorders>
            <w:shd w:val="clear" w:color="auto" w:fill="auto"/>
            <w:hideMark/>
          </w:tcPr>
          <w:p w14:paraId="55BC1075"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88.700</w:t>
            </w:r>
          </w:p>
        </w:tc>
        <w:tc>
          <w:tcPr>
            <w:tcW w:w="1134" w:type="dxa"/>
            <w:tcBorders>
              <w:top w:val="nil"/>
              <w:left w:val="nil"/>
              <w:bottom w:val="single" w:sz="4" w:space="0" w:color="auto"/>
              <w:right w:val="single" w:sz="4" w:space="0" w:color="auto"/>
            </w:tcBorders>
            <w:shd w:val="clear" w:color="auto" w:fill="auto"/>
            <w:noWrap/>
            <w:hideMark/>
          </w:tcPr>
          <w:p w14:paraId="2AD039D6"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2016</w:t>
            </w:r>
          </w:p>
        </w:tc>
        <w:tc>
          <w:tcPr>
            <w:tcW w:w="2839" w:type="dxa"/>
            <w:tcBorders>
              <w:top w:val="nil"/>
              <w:left w:val="nil"/>
              <w:bottom w:val="single" w:sz="4" w:space="0" w:color="auto"/>
              <w:right w:val="single" w:sz="4" w:space="0" w:color="auto"/>
            </w:tcBorders>
            <w:shd w:val="clear" w:color="auto" w:fill="auto"/>
            <w:hideMark/>
          </w:tcPr>
          <w:p w14:paraId="11479EB6"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xml:space="preserve">Funds / </w:t>
            </w:r>
            <w:r>
              <w:rPr>
                <w:rFonts w:eastAsia="Times New Roman" w:cs="Times New Roman"/>
                <w:color w:val="000000"/>
                <w:sz w:val="20"/>
                <w:szCs w:val="20"/>
                <w:lang w:val="en-GB" w:eastAsia="sr-Latn-RS"/>
              </w:rPr>
              <w:t>international donations</w:t>
            </w:r>
            <w:r w:rsidRPr="008463F3">
              <w:rPr>
                <w:rFonts w:eastAsia="Times New Roman" w:cs="Times New Roman"/>
                <w:color w:val="000000"/>
                <w:sz w:val="20"/>
                <w:szCs w:val="20"/>
                <w:lang w:val="en-GB" w:eastAsia="sr-Latn-RS"/>
              </w:rPr>
              <w:br/>
              <w:t>International Atomic Energy Agency – IAEA</w:t>
            </w:r>
          </w:p>
        </w:tc>
        <w:tc>
          <w:tcPr>
            <w:tcW w:w="1125" w:type="dxa"/>
            <w:tcBorders>
              <w:top w:val="nil"/>
              <w:left w:val="nil"/>
              <w:bottom w:val="single" w:sz="4" w:space="0" w:color="auto"/>
              <w:right w:val="single" w:sz="4" w:space="0" w:color="auto"/>
            </w:tcBorders>
            <w:shd w:val="clear" w:color="auto" w:fill="auto"/>
            <w:noWrap/>
            <w:vAlign w:val="center"/>
            <w:hideMark/>
          </w:tcPr>
          <w:p w14:paraId="03A0690A"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15</w:t>
            </w:r>
          </w:p>
        </w:tc>
        <w:tc>
          <w:tcPr>
            <w:tcW w:w="1102" w:type="dxa"/>
            <w:tcBorders>
              <w:top w:val="nil"/>
              <w:left w:val="nil"/>
              <w:bottom w:val="single" w:sz="4" w:space="0" w:color="auto"/>
              <w:right w:val="single" w:sz="4" w:space="0" w:color="auto"/>
            </w:tcBorders>
            <w:shd w:val="clear" w:color="auto" w:fill="auto"/>
            <w:noWrap/>
            <w:vAlign w:val="center"/>
            <w:hideMark/>
          </w:tcPr>
          <w:p w14:paraId="3BEA4B99"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6</w:t>
            </w:r>
          </w:p>
        </w:tc>
      </w:tr>
      <w:tr w:rsidR="007947BF" w:rsidRPr="008463F3" w14:paraId="2384F25F" w14:textId="77777777" w:rsidTr="00DA2AFC">
        <w:tc>
          <w:tcPr>
            <w:tcW w:w="2312" w:type="dxa"/>
            <w:vMerge/>
            <w:tcBorders>
              <w:top w:val="nil"/>
              <w:left w:val="single" w:sz="4" w:space="0" w:color="auto"/>
              <w:bottom w:val="single" w:sz="4" w:space="0" w:color="auto"/>
              <w:right w:val="single" w:sz="4" w:space="0" w:color="auto"/>
            </w:tcBorders>
            <w:vAlign w:val="center"/>
            <w:hideMark/>
          </w:tcPr>
          <w:p w14:paraId="3CD5531E"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5EE28249"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15</w:t>
            </w:r>
          </w:p>
        </w:tc>
        <w:tc>
          <w:tcPr>
            <w:tcW w:w="4536" w:type="dxa"/>
            <w:tcBorders>
              <w:top w:val="nil"/>
              <w:left w:val="nil"/>
              <w:bottom w:val="single" w:sz="4" w:space="0" w:color="auto"/>
              <w:right w:val="single" w:sz="4" w:space="0" w:color="auto"/>
            </w:tcBorders>
            <w:shd w:val="clear" w:color="auto" w:fill="auto"/>
            <w:hideMark/>
          </w:tcPr>
          <w:p w14:paraId="32AD02F0"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Equipment for deposition and stud</w:t>
            </w:r>
            <w:r>
              <w:rPr>
                <w:rFonts w:eastAsia="Times New Roman" w:cs="Times New Roman"/>
                <w:color w:val="000000"/>
                <w:sz w:val="20"/>
                <w:szCs w:val="20"/>
                <w:lang w:val="en-GB" w:eastAsia="sr-Latn-RS"/>
              </w:rPr>
              <w:t>y</w:t>
            </w:r>
            <w:r w:rsidRPr="008463F3">
              <w:rPr>
                <w:rFonts w:eastAsia="Times New Roman" w:cs="Times New Roman"/>
                <w:color w:val="000000"/>
                <w:sz w:val="20"/>
                <w:szCs w:val="20"/>
                <w:lang w:val="en-GB" w:eastAsia="sr-Latn-RS"/>
              </w:rPr>
              <w:t>ing of thin films for solar cells application, including the set of real size PV and ST systems with equipment for stud</w:t>
            </w:r>
            <w:r>
              <w:rPr>
                <w:rFonts w:eastAsia="Times New Roman" w:cs="Times New Roman"/>
                <w:color w:val="000000"/>
                <w:sz w:val="20"/>
                <w:szCs w:val="20"/>
                <w:lang w:val="en-GB" w:eastAsia="sr-Latn-RS"/>
              </w:rPr>
              <w:t>y</w:t>
            </w:r>
            <w:r w:rsidRPr="008463F3">
              <w:rPr>
                <w:rFonts w:eastAsia="Times New Roman" w:cs="Times New Roman"/>
                <w:color w:val="000000"/>
                <w:sz w:val="20"/>
                <w:szCs w:val="20"/>
                <w:lang w:val="en-GB" w:eastAsia="sr-Latn-RS"/>
              </w:rPr>
              <w:t>ing their performance</w:t>
            </w:r>
          </w:p>
        </w:tc>
        <w:tc>
          <w:tcPr>
            <w:tcW w:w="1275" w:type="dxa"/>
            <w:tcBorders>
              <w:top w:val="nil"/>
              <w:left w:val="nil"/>
              <w:bottom w:val="single" w:sz="4" w:space="0" w:color="auto"/>
              <w:right w:val="single" w:sz="4" w:space="0" w:color="auto"/>
            </w:tcBorders>
            <w:shd w:val="clear" w:color="auto" w:fill="auto"/>
            <w:hideMark/>
          </w:tcPr>
          <w:p w14:paraId="3256718D"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52.500</w:t>
            </w:r>
          </w:p>
        </w:tc>
        <w:tc>
          <w:tcPr>
            <w:tcW w:w="1134" w:type="dxa"/>
            <w:tcBorders>
              <w:top w:val="nil"/>
              <w:left w:val="nil"/>
              <w:bottom w:val="single" w:sz="4" w:space="0" w:color="auto"/>
              <w:right w:val="single" w:sz="4" w:space="0" w:color="auto"/>
            </w:tcBorders>
            <w:shd w:val="clear" w:color="auto" w:fill="auto"/>
            <w:noWrap/>
            <w:hideMark/>
          </w:tcPr>
          <w:p w14:paraId="394F0930"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2008-2019</w:t>
            </w:r>
          </w:p>
        </w:tc>
        <w:tc>
          <w:tcPr>
            <w:tcW w:w="2839" w:type="dxa"/>
            <w:tcBorders>
              <w:top w:val="nil"/>
              <w:left w:val="nil"/>
              <w:bottom w:val="single" w:sz="4" w:space="0" w:color="auto"/>
              <w:right w:val="single" w:sz="4" w:space="0" w:color="auto"/>
            </w:tcBorders>
            <w:shd w:val="clear" w:color="auto" w:fill="auto"/>
            <w:hideMark/>
          </w:tcPr>
          <w:p w14:paraId="28203D8C"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Funds from international projects (HORIZON2020)</w:t>
            </w:r>
            <w:r w:rsidRPr="008463F3">
              <w:rPr>
                <w:rFonts w:eastAsia="Times New Roman" w:cs="Times New Roman"/>
                <w:color w:val="000000"/>
                <w:sz w:val="20"/>
                <w:szCs w:val="20"/>
                <w:lang w:val="en-GB" w:eastAsia="sr-Latn-RS"/>
              </w:rPr>
              <w:br/>
              <w:t xml:space="preserve">Funds / </w:t>
            </w:r>
            <w:r>
              <w:rPr>
                <w:rFonts w:eastAsia="Times New Roman" w:cs="Times New Roman"/>
                <w:color w:val="000000"/>
                <w:sz w:val="20"/>
                <w:szCs w:val="20"/>
                <w:lang w:val="en-GB" w:eastAsia="sr-Latn-RS"/>
              </w:rPr>
              <w:t>international donations</w:t>
            </w:r>
            <w:r w:rsidRPr="008463F3">
              <w:rPr>
                <w:rFonts w:eastAsia="Times New Roman" w:cs="Times New Roman"/>
                <w:color w:val="000000"/>
                <w:sz w:val="20"/>
                <w:szCs w:val="20"/>
                <w:lang w:val="en-GB" w:eastAsia="sr-Latn-RS"/>
              </w:rPr>
              <w:br/>
              <w:t>International Atomic Energy Agency – IAEA</w:t>
            </w:r>
          </w:p>
        </w:tc>
        <w:tc>
          <w:tcPr>
            <w:tcW w:w="1125" w:type="dxa"/>
            <w:tcBorders>
              <w:top w:val="nil"/>
              <w:left w:val="nil"/>
              <w:bottom w:val="single" w:sz="4" w:space="0" w:color="auto"/>
              <w:right w:val="single" w:sz="4" w:space="0" w:color="auto"/>
            </w:tcBorders>
            <w:shd w:val="clear" w:color="auto" w:fill="auto"/>
            <w:noWrap/>
            <w:vAlign w:val="center"/>
            <w:hideMark/>
          </w:tcPr>
          <w:p w14:paraId="77E5E5CB"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w:t>
            </w:r>
          </w:p>
        </w:tc>
        <w:tc>
          <w:tcPr>
            <w:tcW w:w="1102" w:type="dxa"/>
            <w:tcBorders>
              <w:top w:val="nil"/>
              <w:left w:val="nil"/>
              <w:bottom w:val="single" w:sz="4" w:space="0" w:color="auto"/>
              <w:right w:val="single" w:sz="4" w:space="0" w:color="auto"/>
            </w:tcBorders>
            <w:shd w:val="clear" w:color="auto" w:fill="auto"/>
            <w:noWrap/>
            <w:vAlign w:val="center"/>
            <w:hideMark/>
          </w:tcPr>
          <w:p w14:paraId="49AD96F4"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6</w:t>
            </w:r>
          </w:p>
        </w:tc>
      </w:tr>
      <w:tr w:rsidR="007947BF" w:rsidRPr="008463F3" w14:paraId="0D18FAA4" w14:textId="77777777" w:rsidTr="00DA2AFC">
        <w:tc>
          <w:tcPr>
            <w:tcW w:w="2312" w:type="dxa"/>
            <w:vMerge/>
            <w:tcBorders>
              <w:top w:val="nil"/>
              <w:left w:val="single" w:sz="4" w:space="0" w:color="auto"/>
              <w:bottom w:val="single" w:sz="4" w:space="0" w:color="auto"/>
              <w:right w:val="single" w:sz="4" w:space="0" w:color="auto"/>
            </w:tcBorders>
            <w:vAlign w:val="center"/>
            <w:hideMark/>
          </w:tcPr>
          <w:p w14:paraId="3E52F749"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0FE57E05"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16</w:t>
            </w:r>
          </w:p>
        </w:tc>
        <w:tc>
          <w:tcPr>
            <w:tcW w:w="4536" w:type="dxa"/>
            <w:tcBorders>
              <w:top w:val="nil"/>
              <w:left w:val="nil"/>
              <w:bottom w:val="single" w:sz="4" w:space="0" w:color="auto"/>
              <w:right w:val="single" w:sz="4" w:space="0" w:color="auto"/>
            </w:tcBorders>
            <w:shd w:val="clear" w:color="auto" w:fill="auto"/>
            <w:hideMark/>
          </w:tcPr>
          <w:p w14:paraId="722038C4"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Set of laboratory exercises for Physics in the first study cycle (consisting of 16 different experiment sets)</w:t>
            </w:r>
          </w:p>
        </w:tc>
        <w:tc>
          <w:tcPr>
            <w:tcW w:w="1275" w:type="dxa"/>
            <w:tcBorders>
              <w:top w:val="nil"/>
              <w:left w:val="nil"/>
              <w:bottom w:val="single" w:sz="4" w:space="0" w:color="auto"/>
              <w:right w:val="single" w:sz="4" w:space="0" w:color="auto"/>
            </w:tcBorders>
            <w:shd w:val="clear" w:color="auto" w:fill="auto"/>
            <w:noWrap/>
            <w:hideMark/>
          </w:tcPr>
          <w:p w14:paraId="592EA4D2"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62.000</w:t>
            </w:r>
          </w:p>
        </w:tc>
        <w:tc>
          <w:tcPr>
            <w:tcW w:w="1134" w:type="dxa"/>
            <w:tcBorders>
              <w:top w:val="nil"/>
              <w:left w:val="nil"/>
              <w:bottom w:val="single" w:sz="4" w:space="0" w:color="auto"/>
              <w:right w:val="single" w:sz="4" w:space="0" w:color="auto"/>
            </w:tcBorders>
            <w:shd w:val="clear" w:color="auto" w:fill="auto"/>
            <w:noWrap/>
            <w:hideMark/>
          </w:tcPr>
          <w:p w14:paraId="6D760299"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1990-2010</w:t>
            </w:r>
          </w:p>
        </w:tc>
        <w:tc>
          <w:tcPr>
            <w:tcW w:w="2839" w:type="dxa"/>
            <w:tcBorders>
              <w:top w:val="nil"/>
              <w:left w:val="nil"/>
              <w:bottom w:val="single" w:sz="4" w:space="0" w:color="auto"/>
              <w:right w:val="single" w:sz="4" w:space="0" w:color="auto"/>
            </w:tcBorders>
            <w:shd w:val="clear" w:color="auto" w:fill="auto"/>
            <w:hideMark/>
          </w:tcPr>
          <w:p w14:paraId="634EA084"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Own funds</w:t>
            </w:r>
            <w:r w:rsidRPr="008463F3">
              <w:rPr>
                <w:rFonts w:eastAsia="Times New Roman" w:cs="Times New Roman"/>
                <w:color w:val="000000"/>
                <w:sz w:val="20"/>
                <w:szCs w:val="20"/>
                <w:lang w:val="en-GB" w:eastAsia="sr-Latn-RS"/>
              </w:rPr>
              <w:br/>
            </w:r>
            <w:proofErr w:type="spellStart"/>
            <w:r w:rsidRPr="008463F3">
              <w:rPr>
                <w:rFonts w:eastAsia="Times New Roman" w:cs="Times New Roman"/>
                <w:color w:val="000000"/>
                <w:sz w:val="20"/>
                <w:szCs w:val="20"/>
                <w:lang w:val="en-GB" w:eastAsia="sr-Latn-RS"/>
              </w:rPr>
              <w:t>Funds</w:t>
            </w:r>
            <w:proofErr w:type="spellEnd"/>
            <w:r w:rsidRPr="008463F3">
              <w:rPr>
                <w:rFonts w:eastAsia="Times New Roman" w:cs="Times New Roman"/>
                <w:color w:val="000000"/>
                <w:sz w:val="20"/>
                <w:szCs w:val="20"/>
                <w:lang w:val="en-GB" w:eastAsia="sr-Latn-RS"/>
              </w:rPr>
              <w:t xml:space="preserve"> / </w:t>
            </w:r>
            <w:r>
              <w:rPr>
                <w:rFonts w:eastAsia="Times New Roman" w:cs="Times New Roman"/>
                <w:color w:val="000000"/>
                <w:sz w:val="20"/>
                <w:szCs w:val="20"/>
                <w:lang w:val="en-GB" w:eastAsia="sr-Latn-RS"/>
              </w:rPr>
              <w:t>international donations</w:t>
            </w:r>
            <w:r w:rsidRPr="008463F3">
              <w:rPr>
                <w:rFonts w:eastAsia="Times New Roman" w:cs="Times New Roman"/>
                <w:color w:val="000000"/>
                <w:sz w:val="20"/>
                <w:szCs w:val="20"/>
                <w:lang w:val="en-GB" w:eastAsia="sr-Latn-RS"/>
              </w:rPr>
              <w:t xml:space="preserve"> (IAEA)</w:t>
            </w:r>
          </w:p>
        </w:tc>
        <w:tc>
          <w:tcPr>
            <w:tcW w:w="1125" w:type="dxa"/>
            <w:tcBorders>
              <w:top w:val="nil"/>
              <w:left w:val="nil"/>
              <w:bottom w:val="single" w:sz="4" w:space="0" w:color="auto"/>
              <w:right w:val="single" w:sz="4" w:space="0" w:color="auto"/>
            </w:tcBorders>
            <w:shd w:val="clear" w:color="auto" w:fill="auto"/>
            <w:noWrap/>
            <w:vAlign w:val="center"/>
            <w:hideMark/>
          </w:tcPr>
          <w:p w14:paraId="5A70C862"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w:t>
            </w:r>
          </w:p>
        </w:tc>
        <w:tc>
          <w:tcPr>
            <w:tcW w:w="1102" w:type="dxa"/>
            <w:tcBorders>
              <w:top w:val="nil"/>
              <w:left w:val="nil"/>
              <w:bottom w:val="single" w:sz="4" w:space="0" w:color="auto"/>
              <w:right w:val="single" w:sz="4" w:space="0" w:color="auto"/>
            </w:tcBorders>
            <w:shd w:val="clear" w:color="auto" w:fill="auto"/>
            <w:noWrap/>
            <w:vAlign w:val="center"/>
            <w:hideMark/>
          </w:tcPr>
          <w:p w14:paraId="33C44F0A"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200 per year</w:t>
            </w:r>
          </w:p>
        </w:tc>
      </w:tr>
      <w:tr w:rsidR="007947BF" w:rsidRPr="008463F3" w14:paraId="715C2AAF" w14:textId="77777777" w:rsidTr="00DA2AFC">
        <w:tc>
          <w:tcPr>
            <w:tcW w:w="2312" w:type="dxa"/>
            <w:vMerge w:val="restart"/>
            <w:tcBorders>
              <w:top w:val="nil"/>
              <w:left w:val="single" w:sz="4" w:space="0" w:color="auto"/>
              <w:bottom w:val="single" w:sz="4" w:space="0" w:color="auto"/>
              <w:right w:val="single" w:sz="4" w:space="0" w:color="auto"/>
            </w:tcBorders>
            <w:shd w:val="clear" w:color="auto" w:fill="auto"/>
            <w:vAlign w:val="center"/>
            <w:hideMark/>
          </w:tcPr>
          <w:p w14:paraId="12542E69"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xml:space="preserve">UKIM, Faculty of Electrical Engineering and Information Technologies, Laboratory for Wireless and </w:t>
            </w:r>
            <w:r>
              <w:rPr>
                <w:rFonts w:eastAsia="Times New Roman" w:cs="Times New Roman"/>
                <w:color w:val="000000"/>
                <w:sz w:val="20"/>
                <w:szCs w:val="20"/>
                <w:lang w:val="en-GB" w:eastAsia="sr-Latn-RS"/>
              </w:rPr>
              <w:t>M</w:t>
            </w:r>
            <w:r w:rsidRPr="008463F3">
              <w:rPr>
                <w:rFonts w:eastAsia="Times New Roman" w:cs="Times New Roman"/>
                <w:color w:val="000000"/>
                <w:sz w:val="20"/>
                <w:szCs w:val="20"/>
                <w:lang w:val="en-GB" w:eastAsia="sr-Latn-RS"/>
              </w:rPr>
              <w:t xml:space="preserve">obile </w:t>
            </w:r>
            <w:r>
              <w:rPr>
                <w:rFonts w:eastAsia="Times New Roman" w:cs="Times New Roman"/>
                <w:color w:val="000000"/>
                <w:sz w:val="20"/>
                <w:szCs w:val="20"/>
                <w:lang w:val="en-GB" w:eastAsia="sr-Latn-RS"/>
              </w:rPr>
              <w:t>N</w:t>
            </w:r>
            <w:r w:rsidRPr="008463F3">
              <w:rPr>
                <w:rFonts w:eastAsia="Times New Roman" w:cs="Times New Roman"/>
                <w:color w:val="000000"/>
                <w:sz w:val="20"/>
                <w:szCs w:val="20"/>
                <w:lang w:val="en-GB" w:eastAsia="sr-Latn-RS"/>
              </w:rPr>
              <w:t>etworks</w:t>
            </w:r>
          </w:p>
        </w:tc>
        <w:tc>
          <w:tcPr>
            <w:tcW w:w="397" w:type="dxa"/>
            <w:tcBorders>
              <w:top w:val="nil"/>
              <w:left w:val="nil"/>
              <w:bottom w:val="single" w:sz="4" w:space="0" w:color="auto"/>
              <w:right w:val="single" w:sz="4" w:space="0" w:color="auto"/>
            </w:tcBorders>
            <w:shd w:val="clear" w:color="auto" w:fill="auto"/>
            <w:hideMark/>
          </w:tcPr>
          <w:p w14:paraId="42853AE6"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17</w:t>
            </w:r>
          </w:p>
        </w:tc>
        <w:tc>
          <w:tcPr>
            <w:tcW w:w="4536" w:type="dxa"/>
            <w:tcBorders>
              <w:top w:val="nil"/>
              <w:left w:val="nil"/>
              <w:bottom w:val="single" w:sz="4" w:space="0" w:color="auto"/>
              <w:right w:val="single" w:sz="4" w:space="0" w:color="auto"/>
            </w:tcBorders>
            <w:shd w:val="clear" w:color="auto" w:fill="auto"/>
            <w:noWrap/>
            <w:hideMark/>
          </w:tcPr>
          <w:p w14:paraId="0C3171B5"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Cloud RAN platform infrastructure</w:t>
            </w:r>
          </w:p>
        </w:tc>
        <w:tc>
          <w:tcPr>
            <w:tcW w:w="1275" w:type="dxa"/>
            <w:tcBorders>
              <w:top w:val="nil"/>
              <w:left w:val="nil"/>
              <w:bottom w:val="single" w:sz="4" w:space="0" w:color="auto"/>
              <w:right w:val="single" w:sz="4" w:space="0" w:color="auto"/>
            </w:tcBorders>
            <w:shd w:val="clear" w:color="auto" w:fill="auto"/>
            <w:noWrap/>
            <w:hideMark/>
          </w:tcPr>
          <w:p w14:paraId="5FE3F2A9"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78.000</w:t>
            </w:r>
          </w:p>
        </w:tc>
        <w:tc>
          <w:tcPr>
            <w:tcW w:w="1134" w:type="dxa"/>
            <w:tcBorders>
              <w:top w:val="nil"/>
              <w:left w:val="nil"/>
              <w:bottom w:val="single" w:sz="4" w:space="0" w:color="auto"/>
              <w:right w:val="single" w:sz="4" w:space="0" w:color="auto"/>
            </w:tcBorders>
            <w:shd w:val="clear" w:color="auto" w:fill="auto"/>
            <w:noWrap/>
            <w:hideMark/>
          </w:tcPr>
          <w:p w14:paraId="46E1294B"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2018</w:t>
            </w:r>
          </w:p>
        </w:tc>
        <w:tc>
          <w:tcPr>
            <w:tcW w:w="2839" w:type="dxa"/>
            <w:tcBorders>
              <w:top w:val="nil"/>
              <w:left w:val="nil"/>
              <w:bottom w:val="single" w:sz="4" w:space="0" w:color="auto"/>
              <w:right w:val="single" w:sz="4" w:space="0" w:color="auto"/>
            </w:tcBorders>
            <w:shd w:val="clear" w:color="auto" w:fill="auto"/>
            <w:hideMark/>
          </w:tcPr>
          <w:p w14:paraId="46F9EB4D"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NATO FALCON project (SPS - G5269)</w:t>
            </w:r>
          </w:p>
        </w:tc>
        <w:tc>
          <w:tcPr>
            <w:tcW w:w="1125" w:type="dxa"/>
            <w:tcBorders>
              <w:top w:val="nil"/>
              <w:left w:val="nil"/>
              <w:bottom w:val="single" w:sz="4" w:space="0" w:color="auto"/>
              <w:right w:val="single" w:sz="4" w:space="0" w:color="auto"/>
            </w:tcBorders>
            <w:shd w:val="clear" w:color="auto" w:fill="auto"/>
            <w:vAlign w:val="center"/>
            <w:hideMark/>
          </w:tcPr>
          <w:p w14:paraId="7CC4C6A1"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 years - 10 years</w:t>
            </w:r>
          </w:p>
        </w:tc>
        <w:tc>
          <w:tcPr>
            <w:tcW w:w="1102" w:type="dxa"/>
            <w:tcBorders>
              <w:top w:val="nil"/>
              <w:left w:val="nil"/>
              <w:bottom w:val="single" w:sz="4" w:space="0" w:color="auto"/>
              <w:right w:val="single" w:sz="4" w:space="0" w:color="auto"/>
            </w:tcBorders>
            <w:shd w:val="clear" w:color="auto" w:fill="auto"/>
            <w:noWrap/>
            <w:vAlign w:val="center"/>
            <w:hideMark/>
          </w:tcPr>
          <w:p w14:paraId="240510A4"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N/A</w:t>
            </w:r>
          </w:p>
        </w:tc>
      </w:tr>
      <w:tr w:rsidR="007947BF" w:rsidRPr="008463F3" w14:paraId="49E7EB39" w14:textId="77777777" w:rsidTr="00DA2AFC">
        <w:tc>
          <w:tcPr>
            <w:tcW w:w="2312" w:type="dxa"/>
            <w:vMerge/>
            <w:tcBorders>
              <w:top w:val="nil"/>
              <w:left w:val="single" w:sz="4" w:space="0" w:color="auto"/>
              <w:bottom w:val="single" w:sz="4" w:space="0" w:color="auto"/>
              <w:right w:val="single" w:sz="4" w:space="0" w:color="auto"/>
            </w:tcBorders>
            <w:vAlign w:val="center"/>
            <w:hideMark/>
          </w:tcPr>
          <w:p w14:paraId="77DE63DF"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29AA5C39"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18</w:t>
            </w:r>
          </w:p>
        </w:tc>
        <w:tc>
          <w:tcPr>
            <w:tcW w:w="4536" w:type="dxa"/>
            <w:tcBorders>
              <w:top w:val="nil"/>
              <w:left w:val="nil"/>
              <w:bottom w:val="single" w:sz="4" w:space="0" w:color="auto"/>
              <w:right w:val="single" w:sz="4" w:space="0" w:color="auto"/>
            </w:tcBorders>
            <w:shd w:val="clear" w:color="auto" w:fill="auto"/>
            <w:hideMark/>
          </w:tcPr>
          <w:p w14:paraId="07A0B414"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Signal and Spectrum Analy</w:t>
            </w:r>
            <w:r>
              <w:rPr>
                <w:rFonts w:eastAsia="Times New Roman" w:cs="Times New Roman"/>
                <w:color w:val="000000"/>
                <w:sz w:val="20"/>
                <w:szCs w:val="20"/>
                <w:lang w:val="en-GB" w:eastAsia="sr-Latn-RS"/>
              </w:rPr>
              <w:t>s</w:t>
            </w:r>
            <w:r w:rsidRPr="008463F3">
              <w:rPr>
                <w:rFonts w:eastAsia="Times New Roman" w:cs="Times New Roman"/>
                <w:color w:val="000000"/>
                <w:sz w:val="20"/>
                <w:szCs w:val="20"/>
                <w:lang w:val="en-GB" w:eastAsia="sr-Latn-RS"/>
              </w:rPr>
              <w:t>er Rohde &amp; Schwarz FSW8</w:t>
            </w:r>
          </w:p>
        </w:tc>
        <w:tc>
          <w:tcPr>
            <w:tcW w:w="1275" w:type="dxa"/>
            <w:tcBorders>
              <w:top w:val="nil"/>
              <w:left w:val="nil"/>
              <w:bottom w:val="single" w:sz="4" w:space="0" w:color="auto"/>
              <w:right w:val="single" w:sz="4" w:space="0" w:color="auto"/>
            </w:tcBorders>
            <w:shd w:val="clear" w:color="auto" w:fill="auto"/>
            <w:hideMark/>
          </w:tcPr>
          <w:p w14:paraId="3B290DAD"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72.389</w:t>
            </w:r>
          </w:p>
        </w:tc>
        <w:tc>
          <w:tcPr>
            <w:tcW w:w="1134" w:type="dxa"/>
            <w:tcBorders>
              <w:top w:val="nil"/>
              <w:left w:val="nil"/>
              <w:bottom w:val="single" w:sz="4" w:space="0" w:color="auto"/>
              <w:right w:val="single" w:sz="4" w:space="0" w:color="auto"/>
            </w:tcBorders>
            <w:shd w:val="clear" w:color="auto" w:fill="auto"/>
            <w:hideMark/>
          </w:tcPr>
          <w:p w14:paraId="30FE7858"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2014</w:t>
            </w:r>
          </w:p>
        </w:tc>
        <w:tc>
          <w:tcPr>
            <w:tcW w:w="2839" w:type="dxa"/>
            <w:tcBorders>
              <w:top w:val="nil"/>
              <w:left w:val="nil"/>
              <w:bottom w:val="single" w:sz="4" w:space="0" w:color="auto"/>
              <w:right w:val="single" w:sz="4" w:space="0" w:color="auto"/>
            </w:tcBorders>
            <w:shd w:val="clear" w:color="auto" w:fill="auto"/>
            <w:hideMark/>
          </w:tcPr>
          <w:p w14:paraId="2D5BA149"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NATO ORCA project (</w:t>
            </w:r>
            <w:proofErr w:type="spellStart"/>
            <w:r w:rsidRPr="008463F3">
              <w:rPr>
                <w:rFonts w:eastAsia="Times New Roman" w:cs="Times New Roman"/>
                <w:color w:val="000000"/>
                <w:sz w:val="20"/>
                <w:szCs w:val="20"/>
                <w:lang w:val="en-GB" w:eastAsia="sr-Latn-RS"/>
              </w:rPr>
              <w:t>SfP</w:t>
            </w:r>
            <w:proofErr w:type="spellEnd"/>
            <w:r w:rsidRPr="008463F3">
              <w:rPr>
                <w:rFonts w:eastAsia="Times New Roman" w:cs="Times New Roman"/>
                <w:color w:val="000000"/>
                <w:sz w:val="20"/>
                <w:szCs w:val="20"/>
                <w:lang w:val="en-GB" w:eastAsia="sr-Latn-RS"/>
              </w:rPr>
              <w:t xml:space="preserve"> 984409)</w:t>
            </w:r>
          </w:p>
        </w:tc>
        <w:tc>
          <w:tcPr>
            <w:tcW w:w="1125" w:type="dxa"/>
            <w:tcBorders>
              <w:top w:val="nil"/>
              <w:left w:val="nil"/>
              <w:bottom w:val="single" w:sz="4" w:space="0" w:color="auto"/>
              <w:right w:val="single" w:sz="4" w:space="0" w:color="auto"/>
            </w:tcBorders>
            <w:shd w:val="clear" w:color="auto" w:fill="auto"/>
            <w:noWrap/>
            <w:vAlign w:val="center"/>
            <w:hideMark/>
          </w:tcPr>
          <w:p w14:paraId="2F4734C7"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&gt; 10 years</w:t>
            </w:r>
          </w:p>
        </w:tc>
        <w:tc>
          <w:tcPr>
            <w:tcW w:w="1102" w:type="dxa"/>
            <w:tcBorders>
              <w:top w:val="nil"/>
              <w:left w:val="nil"/>
              <w:bottom w:val="single" w:sz="4" w:space="0" w:color="auto"/>
              <w:right w:val="single" w:sz="4" w:space="0" w:color="auto"/>
            </w:tcBorders>
            <w:shd w:val="clear" w:color="auto" w:fill="auto"/>
            <w:noWrap/>
            <w:vAlign w:val="center"/>
            <w:hideMark/>
          </w:tcPr>
          <w:p w14:paraId="59C0862A"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N/A</w:t>
            </w:r>
          </w:p>
        </w:tc>
      </w:tr>
      <w:tr w:rsidR="007947BF" w:rsidRPr="008463F3" w14:paraId="6837DB01" w14:textId="77777777" w:rsidTr="00DA2AFC">
        <w:tc>
          <w:tcPr>
            <w:tcW w:w="2312" w:type="dxa"/>
            <w:tcBorders>
              <w:top w:val="nil"/>
              <w:left w:val="single" w:sz="4" w:space="0" w:color="auto"/>
              <w:bottom w:val="single" w:sz="4" w:space="0" w:color="auto"/>
              <w:right w:val="single" w:sz="4" w:space="0" w:color="auto"/>
            </w:tcBorders>
            <w:shd w:val="clear" w:color="auto" w:fill="auto"/>
            <w:vAlign w:val="center"/>
            <w:hideMark/>
          </w:tcPr>
          <w:p w14:paraId="6137CE1C"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UKIM, Faculty of Electrical Engineering and Information Technologies, Laboratory for Electrical Measurements</w:t>
            </w:r>
          </w:p>
        </w:tc>
        <w:tc>
          <w:tcPr>
            <w:tcW w:w="397" w:type="dxa"/>
            <w:tcBorders>
              <w:top w:val="nil"/>
              <w:left w:val="nil"/>
              <w:bottom w:val="single" w:sz="4" w:space="0" w:color="auto"/>
              <w:right w:val="single" w:sz="4" w:space="0" w:color="auto"/>
            </w:tcBorders>
            <w:shd w:val="clear" w:color="auto" w:fill="auto"/>
            <w:hideMark/>
          </w:tcPr>
          <w:p w14:paraId="34EAF14C"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19</w:t>
            </w:r>
          </w:p>
        </w:tc>
        <w:tc>
          <w:tcPr>
            <w:tcW w:w="4536" w:type="dxa"/>
            <w:tcBorders>
              <w:top w:val="nil"/>
              <w:left w:val="nil"/>
              <w:bottom w:val="single" w:sz="4" w:space="0" w:color="auto"/>
              <w:right w:val="single" w:sz="4" w:space="0" w:color="auto"/>
            </w:tcBorders>
            <w:shd w:val="clear" w:color="auto" w:fill="auto"/>
            <w:noWrap/>
            <w:hideMark/>
          </w:tcPr>
          <w:p w14:paraId="3437C461"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Multi-Product Calibrator 5500A Fluke</w:t>
            </w:r>
          </w:p>
        </w:tc>
        <w:tc>
          <w:tcPr>
            <w:tcW w:w="1275" w:type="dxa"/>
            <w:tcBorders>
              <w:top w:val="nil"/>
              <w:left w:val="nil"/>
              <w:bottom w:val="single" w:sz="4" w:space="0" w:color="auto"/>
              <w:right w:val="single" w:sz="4" w:space="0" w:color="auto"/>
            </w:tcBorders>
            <w:shd w:val="clear" w:color="auto" w:fill="auto"/>
            <w:noWrap/>
            <w:hideMark/>
          </w:tcPr>
          <w:p w14:paraId="5A7599EC"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60.000</w:t>
            </w:r>
          </w:p>
        </w:tc>
        <w:tc>
          <w:tcPr>
            <w:tcW w:w="1134" w:type="dxa"/>
            <w:tcBorders>
              <w:top w:val="nil"/>
              <w:left w:val="nil"/>
              <w:bottom w:val="single" w:sz="4" w:space="0" w:color="auto"/>
              <w:right w:val="single" w:sz="4" w:space="0" w:color="auto"/>
            </w:tcBorders>
            <w:shd w:val="clear" w:color="auto" w:fill="auto"/>
            <w:noWrap/>
            <w:hideMark/>
          </w:tcPr>
          <w:p w14:paraId="6C9EE705"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1996</w:t>
            </w:r>
          </w:p>
        </w:tc>
        <w:tc>
          <w:tcPr>
            <w:tcW w:w="2839" w:type="dxa"/>
            <w:tcBorders>
              <w:top w:val="nil"/>
              <w:left w:val="nil"/>
              <w:bottom w:val="single" w:sz="4" w:space="0" w:color="auto"/>
              <w:right w:val="single" w:sz="4" w:space="0" w:color="auto"/>
            </w:tcBorders>
            <w:shd w:val="clear" w:color="auto" w:fill="auto"/>
            <w:hideMark/>
          </w:tcPr>
          <w:p w14:paraId="2711A76D"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Ministry of Science of R. North Macedonia</w:t>
            </w:r>
          </w:p>
        </w:tc>
        <w:tc>
          <w:tcPr>
            <w:tcW w:w="1125" w:type="dxa"/>
            <w:tcBorders>
              <w:top w:val="nil"/>
              <w:left w:val="nil"/>
              <w:bottom w:val="single" w:sz="4" w:space="0" w:color="auto"/>
              <w:right w:val="single" w:sz="4" w:space="0" w:color="auto"/>
            </w:tcBorders>
            <w:shd w:val="clear" w:color="auto" w:fill="auto"/>
            <w:noWrap/>
            <w:vAlign w:val="center"/>
            <w:hideMark/>
          </w:tcPr>
          <w:p w14:paraId="6B50B6C5"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30</w:t>
            </w:r>
          </w:p>
        </w:tc>
        <w:tc>
          <w:tcPr>
            <w:tcW w:w="1102" w:type="dxa"/>
            <w:tcBorders>
              <w:top w:val="nil"/>
              <w:left w:val="nil"/>
              <w:bottom w:val="single" w:sz="4" w:space="0" w:color="auto"/>
              <w:right w:val="single" w:sz="4" w:space="0" w:color="auto"/>
            </w:tcBorders>
            <w:shd w:val="clear" w:color="auto" w:fill="auto"/>
            <w:noWrap/>
            <w:vAlign w:val="center"/>
            <w:hideMark/>
          </w:tcPr>
          <w:p w14:paraId="128089EC"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w:t>
            </w:r>
          </w:p>
        </w:tc>
      </w:tr>
      <w:tr w:rsidR="007947BF" w:rsidRPr="008463F3" w14:paraId="12571B79" w14:textId="77777777" w:rsidTr="00DA2AFC">
        <w:tc>
          <w:tcPr>
            <w:tcW w:w="2312" w:type="dxa"/>
            <w:tcBorders>
              <w:top w:val="nil"/>
              <w:left w:val="single" w:sz="4" w:space="0" w:color="auto"/>
              <w:bottom w:val="single" w:sz="4" w:space="0" w:color="auto"/>
              <w:right w:val="single" w:sz="4" w:space="0" w:color="auto"/>
            </w:tcBorders>
            <w:shd w:val="clear" w:color="auto" w:fill="auto"/>
            <w:vAlign w:val="center"/>
            <w:hideMark/>
          </w:tcPr>
          <w:p w14:paraId="41D99F03"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xml:space="preserve">UKIM, Faculty of Electrical Engineering and Information Technologies, Laboratory for </w:t>
            </w:r>
            <w:r>
              <w:rPr>
                <w:rFonts w:eastAsia="Times New Roman" w:cs="Times New Roman"/>
                <w:color w:val="000000"/>
                <w:sz w:val="20"/>
                <w:szCs w:val="20"/>
                <w:lang w:val="en-GB" w:eastAsia="sr-Latn-RS"/>
              </w:rPr>
              <w:t>D</w:t>
            </w:r>
            <w:r w:rsidRPr="008463F3">
              <w:rPr>
                <w:rFonts w:eastAsia="Times New Roman" w:cs="Times New Roman"/>
                <w:color w:val="000000"/>
                <w:sz w:val="20"/>
                <w:szCs w:val="20"/>
                <w:lang w:val="en-GB" w:eastAsia="sr-Latn-RS"/>
              </w:rPr>
              <w:t xml:space="preserve">etection of </w:t>
            </w:r>
            <w:r>
              <w:rPr>
                <w:rFonts w:eastAsia="Times New Roman" w:cs="Times New Roman"/>
                <w:color w:val="000000"/>
                <w:sz w:val="20"/>
                <w:szCs w:val="20"/>
                <w:lang w:val="en-GB" w:eastAsia="sr-Latn-RS"/>
              </w:rPr>
              <w:t>I</w:t>
            </w:r>
            <w:r w:rsidRPr="008463F3">
              <w:rPr>
                <w:rFonts w:eastAsia="Times New Roman" w:cs="Times New Roman"/>
                <w:color w:val="000000"/>
                <w:sz w:val="20"/>
                <w:szCs w:val="20"/>
                <w:lang w:val="en-GB" w:eastAsia="sr-Latn-RS"/>
              </w:rPr>
              <w:t xml:space="preserve">rradiated </w:t>
            </w:r>
            <w:r>
              <w:rPr>
                <w:rFonts w:eastAsia="Times New Roman" w:cs="Times New Roman"/>
                <w:color w:val="000000"/>
                <w:sz w:val="20"/>
                <w:szCs w:val="20"/>
                <w:lang w:val="en-GB" w:eastAsia="sr-Latn-RS"/>
              </w:rPr>
              <w:t>F</w:t>
            </w:r>
            <w:r w:rsidRPr="008463F3">
              <w:rPr>
                <w:rFonts w:eastAsia="Times New Roman" w:cs="Times New Roman"/>
                <w:color w:val="000000"/>
                <w:sz w:val="20"/>
                <w:szCs w:val="20"/>
                <w:lang w:val="en-GB" w:eastAsia="sr-Latn-RS"/>
              </w:rPr>
              <w:t>ood (LDIF)</w:t>
            </w:r>
          </w:p>
        </w:tc>
        <w:tc>
          <w:tcPr>
            <w:tcW w:w="397" w:type="dxa"/>
            <w:tcBorders>
              <w:top w:val="nil"/>
              <w:left w:val="nil"/>
              <w:bottom w:val="single" w:sz="4" w:space="0" w:color="auto"/>
              <w:right w:val="single" w:sz="4" w:space="0" w:color="auto"/>
            </w:tcBorders>
            <w:shd w:val="clear" w:color="auto" w:fill="auto"/>
            <w:hideMark/>
          </w:tcPr>
          <w:p w14:paraId="54B61446"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w:t>
            </w:r>
          </w:p>
        </w:tc>
        <w:tc>
          <w:tcPr>
            <w:tcW w:w="4536" w:type="dxa"/>
            <w:tcBorders>
              <w:top w:val="nil"/>
              <w:left w:val="nil"/>
              <w:bottom w:val="single" w:sz="4" w:space="0" w:color="auto"/>
              <w:right w:val="single" w:sz="4" w:space="0" w:color="auto"/>
            </w:tcBorders>
            <w:shd w:val="clear" w:color="auto" w:fill="auto"/>
            <w:noWrap/>
            <w:hideMark/>
          </w:tcPr>
          <w:p w14:paraId="6834A7A1" w14:textId="77777777" w:rsidR="007947BF" w:rsidRPr="008463F3" w:rsidRDefault="007947BF" w:rsidP="00DA2AFC">
            <w:pPr>
              <w:spacing w:after="0" w:line="240" w:lineRule="auto"/>
              <w:rPr>
                <w:rFonts w:eastAsia="Times New Roman" w:cs="Times New Roman"/>
                <w:color w:val="000000"/>
                <w:sz w:val="20"/>
                <w:szCs w:val="20"/>
                <w:lang w:val="en-GB" w:eastAsia="sr-Latn-RS"/>
              </w:rPr>
            </w:pPr>
            <w:proofErr w:type="spellStart"/>
            <w:r w:rsidRPr="008463F3">
              <w:rPr>
                <w:rFonts w:eastAsia="Times New Roman" w:cs="Times New Roman"/>
                <w:color w:val="000000"/>
                <w:sz w:val="20"/>
                <w:szCs w:val="20"/>
                <w:lang w:val="en-GB" w:eastAsia="sr-Latn-RS"/>
              </w:rPr>
              <w:t>Riso</w:t>
            </w:r>
            <w:proofErr w:type="spellEnd"/>
            <w:r w:rsidRPr="008463F3">
              <w:rPr>
                <w:rFonts w:eastAsia="Times New Roman" w:cs="Times New Roman"/>
                <w:color w:val="000000"/>
                <w:sz w:val="20"/>
                <w:szCs w:val="20"/>
                <w:lang w:val="en-GB" w:eastAsia="sr-Latn-RS"/>
              </w:rPr>
              <w:t xml:space="preserve"> TL/OSL dating system DA-20</w:t>
            </w:r>
          </w:p>
        </w:tc>
        <w:tc>
          <w:tcPr>
            <w:tcW w:w="1275" w:type="dxa"/>
            <w:tcBorders>
              <w:top w:val="nil"/>
              <w:left w:val="nil"/>
              <w:bottom w:val="single" w:sz="4" w:space="0" w:color="auto"/>
              <w:right w:val="single" w:sz="4" w:space="0" w:color="auto"/>
            </w:tcBorders>
            <w:shd w:val="clear" w:color="auto" w:fill="auto"/>
            <w:noWrap/>
            <w:hideMark/>
          </w:tcPr>
          <w:p w14:paraId="470FC266"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90.000</w:t>
            </w:r>
          </w:p>
        </w:tc>
        <w:tc>
          <w:tcPr>
            <w:tcW w:w="1134" w:type="dxa"/>
            <w:tcBorders>
              <w:top w:val="nil"/>
              <w:left w:val="nil"/>
              <w:bottom w:val="single" w:sz="4" w:space="0" w:color="auto"/>
              <w:right w:val="single" w:sz="4" w:space="0" w:color="auto"/>
            </w:tcBorders>
            <w:shd w:val="clear" w:color="auto" w:fill="auto"/>
            <w:noWrap/>
            <w:hideMark/>
          </w:tcPr>
          <w:p w14:paraId="42A1A702"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2016</w:t>
            </w:r>
          </w:p>
        </w:tc>
        <w:tc>
          <w:tcPr>
            <w:tcW w:w="2839" w:type="dxa"/>
            <w:tcBorders>
              <w:top w:val="nil"/>
              <w:left w:val="nil"/>
              <w:bottom w:val="single" w:sz="4" w:space="0" w:color="auto"/>
              <w:right w:val="single" w:sz="4" w:space="0" w:color="auto"/>
            </w:tcBorders>
            <w:shd w:val="clear" w:color="auto" w:fill="auto"/>
            <w:hideMark/>
          </w:tcPr>
          <w:p w14:paraId="4E90DD67"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Funds/</w:t>
            </w:r>
            <w:r>
              <w:rPr>
                <w:rFonts w:eastAsia="Times New Roman" w:cs="Times New Roman"/>
                <w:color w:val="000000"/>
                <w:sz w:val="20"/>
                <w:szCs w:val="20"/>
                <w:lang w:val="en-GB" w:eastAsia="sr-Latn-RS"/>
              </w:rPr>
              <w:t>international donations</w:t>
            </w:r>
            <w:r w:rsidRPr="008463F3">
              <w:rPr>
                <w:rFonts w:eastAsia="Times New Roman" w:cs="Times New Roman"/>
                <w:color w:val="000000"/>
                <w:sz w:val="20"/>
                <w:szCs w:val="20"/>
                <w:lang w:val="en-GB" w:eastAsia="sr-Latn-RS"/>
              </w:rPr>
              <w:t xml:space="preserve"> (funds from international institutions in national projects)</w:t>
            </w:r>
          </w:p>
        </w:tc>
        <w:tc>
          <w:tcPr>
            <w:tcW w:w="1125" w:type="dxa"/>
            <w:tcBorders>
              <w:top w:val="nil"/>
              <w:left w:val="nil"/>
              <w:bottom w:val="single" w:sz="4" w:space="0" w:color="auto"/>
              <w:right w:val="single" w:sz="4" w:space="0" w:color="auto"/>
            </w:tcBorders>
            <w:shd w:val="clear" w:color="auto" w:fill="auto"/>
            <w:noWrap/>
            <w:vAlign w:val="center"/>
            <w:hideMark/>
          </w:tcPr>
          <w:p w14:paraId="268AA4EA"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15</w:t>
            </w:r>
          </w:p>
        </w:tc>
        <w:tc>
          <w:tcPr>
            <w:tcW w:w="1102" w:type="dxa"/>
            <w:tcBorders>
              <w:top w:val="nil"/>
              <w:left w:val="nil"/>
              <w:bottom w:val="single" w:sz="4" w:space="0" w:color="auto"/>
              <w:right w:val="single" w:sz="4" w:space="0" w:color="auto"/>
            </w:tcBorders>
            <w:shd w:val="clear" w:color="auto" w:fill="auto"/>
            <w:noWrap/>
            <w:vAlign w:val="center"/>
            <w:hideMark/>
          </w:tcPr>
          <w:p w14:paraId="2FE57F73"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6</w:t>
            </w:r>
          </w:p>
        </w:tc>
      </w:tr>
      <w:tr w:rsidR="007947BF" w:rsidRPr="008463F3" w14:paraId="029F14E5" w14:textId="77777777" w:rsidTr="00DA2AFC">
        <w:tc>
          <w:tcPr>
            <w:tcW w:w="2312" w:type="dxa"/>
            <w:vMerge w:val="restart"/>
            <w:tcBorders>
              <w:top w:val="nil"/>
              <w:left w:val="single" w:sz="4" w:space="0" w:color="auto"/>
              <w:bottom w:val="single" w:sz="4" w:space="0" w:color="auto"/>
              <w:right w:val="single" w:sz="4" w:space="0" w:color="auto"/>
            </w:tcBorders>
            <w:shd w:val="clear" w:color="auto" w:fill="auto"/>
            <w:vAlign w:val="center"/>
            <w:hideMark/>
          </w:tcPr>
          <w:p w14:paraId="32C5A961"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UKIM, Faculty of Natural Sciences and Mathematics, Institute of Chemistry</w:t>
            </w:r>
          </w:p>
        </w:tc>
        <w:tc>
          <w:tcPr>
            <w:tcW w:w="397" w:type="dxa"/>
            <w:tcBorders>
              <w:top w:val="nil"/>
              <w:left w:val="nil"/>
              <w:bottom w:val="single" w:sz="4" w:space="0" w:color="auto"/>
              <w:right w:val="single" w:sz="4" w:space="0" w:color="auto"/>
            </w:tcBorders>
            <w:shd w:val="clear" w:color="auto" w:fill="auto"/>
            <w:hideMark/>
          </w:tcPr>
          <w:p w14:paraId="63FFBF75"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21</w:t>
            </w:r>
          </w:p>
        </w:tc>
        <w:tc>
          <w:tcPr>
            <w:tcW w:w="4536" w:type="dxa"/>
            <w:tcBorders>
              <w:top w:val="nil"/>
              <w:left w:val="nil"/>
              <w:bottom w:val="single" w:sz="4" w:space="0" w:color="auto"/>
              <w:right w:val="single" w:sz="4" w:space="0" w:color="auto"/>
            </w:tcBorders>
            <w:shd w:val="clear" w:color="auto" w:fill="auto"/>
            <w:noWrap/>
            <w:hideMark/>
          </w:tcPr>
          <w:p w14:paraId="6560E7CF"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Gas chromatograph GC/FID/ECD</w:t>
            </w:r>
          </w:p>
        </w:tc>
        <w:tc>
          <w:tcPr>
            <w:tcW w:w="1275" w:type="dxa"/>
            <w:tcBorders>
              <w:top w:val="nil"/>
              <w:left w:val="nil"/>
              <w:bottom w:val="single" w:sz="4" w:space="0" w:color="auto"/>
              <w:right w:val="single" w:sz="4" w:space="0" w:color="auto"/>
            </w:tcBorders>
            <w:shd w:val="clear" w:color="auto" w:fill="auto"/>
            <w:noWrap/>
            <w:hideMark/>
          </w:tcPr>
          <w:p w14:paraId="51A9D726"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60.000</w:t>
            </w:r>
          </w:p>
        </w:tc>
        <w:tc>
          <w:tcPr>
            <w:tcW w:w="1134" w:type="dxa"/>
            <w:tcBorders>
              <w:top w:val="nil"/>
              <w:left w:val="nil"/>
              <w:bottom w:val="single" w:sz="4" w:space="0" w:color="auto"/>
              <w:right w:val="single" w:sz="4" w:space="0" w:color="auto"/>
            </w:tcBorders>
            <w:shd w:val="clear" w:color="auto" w:fill="auto"/>
            <w:noWrap/>
            <w:hideMark/>
          </w:tcPr>
          <w:p w14:paraId="7BAFBCAB"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2020</w:t>
            </w:r>
          </w:p>
        </w:tc>
        <w:tc>
          <w:tcPr>
            <w:tcW w:w="2839" w:type="dxa"/>
            <w:tcBorders>
              <w:top w:val="nil"/>
              <w:left w:val="nil"/>
              <w:bottom w:val="single" w:sz="4" w:space="0" w:color="auto"/>
              <w:right w:val="single" w:sz="4" w:space="0" w:color="auto"/>
            </w:tcBorders>
            <w:shd w:val="clear" w:color="auto" w:fill="auto"/>
            <w:hideMark/>
          </w:tcPr>
          <w:p w14:paraId="1FE5F398"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Donation from Norway (UNOPS project)</w:t>
            </w:r>
          </w:p>
        </w:tc>
        <w:tc>
          <w:tcPr>
            <w:tcW w:w="1125" w:type="dxa"/>
            <w:tcBorders>
              <w:top w:val="nil"/>
              <w:left w:val="nil"/>
              <w:bottom w:val="single" w:sz="4" w:space="0" w:color="auto"/>
              <w:right w:val="single" w:sz="4" w:space="0" w:color="auto"/>
            </w:tcBorders>
            <w:shd w:val="clear" w:color="auto" w:fill="auto"/>
            <w:noWrap/>
            <w:vAlign w:val="center"/>
            <w:hideMark/>
          </w:tcPr>
          <w:p w14:paraId="53BED147"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10</w:t>
            </w:r>
          </w:p>
        </w:tc>
        <w:tc>
          <w:tcPr>
            <w:tcW w:w="1102" w:type="dxa"/>
            <w:tcBorders>
              <w:top w:val="nil"/>
              <w:left w:val="nil"/>
              <w:bottom w:val="single" w:sz="4" w:space="0" w:color="auto"/>
              <w:right w:val="single" w:sz="4" w:space="0" w:color="auto"/>
            </w:tcBorders>
            <w:shd w:val="clear" w:color="auto" w:fill="auto"/>
            <w:noWrap/>
            <w:vAlign w:val="center"/>
            <w:hideMark/>
          </w:tcPr>
          <w:p w14:paraId="5A6F806F"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7</w:t>
            </w:r>
          </w:p>
        </w:tc>
      </w:tr>
      <w:tr w:rsidR="007947BF" w:rsidRPr="008463F3" w14:paraId="7DFE697C" w14:textId="77777777" w:rsidTr="00DA2AFC">
        <w:tc>
          <w:tcPr>
            <w:tcW w:w="2312" w:type="dxa"/>
            <w:vMerge/>
            <w:tcBorders>
              <w:top w:val="nil"/>
              <w:left w:val="single" w:sz="4" w:space="0" w:color="auto"/>
              <w:bottom w:val="single" w:sz="4" w:space="0" w:color="auto"/>
              <w:right w:val="single" w:sz="4" w:space="0" w:color="auto"/>
            </w:tcBorders>
            <w:vAlign w:val="center"/>
            <w:hideMark/>
          </w:tcPr>
          <w:p w14:paraId="2BF13E41"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60EE0BC5"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22</w:t>
            </w:r>
          </w:p>
        </w:tc>
        <w:tc>
          <w:tcPr>
            <w:tcW w:w="4536" w:type="dxa"/>
            <w:tcBorders>
              <w:top w:val="nil"/>
              <w:left w:val="nil"/>
              <w:bottom w:val="single" w:sz="4" w:space="0" w:color="auto"/>
              <w:right w:val="single" w:sz="4" w:space="0" w:color="auto"/>
            </w:tcBorders>
            <w:shd w:val="clear" w:color="auto" w:fill="auto"/>
            <w:noWrap/>
            <w:hideMark/>
          </w:tcPr>
          <w:p w14:paraId="27467257"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xml:space="preserve">Gas chromatograph </w:t>
            </w:r>
            <w:proofErr w:type="spellStart"/>
            <w:r w:rsidRPr="008463F3">
              <w:rPr>
                <w:rFonts w:eastAsia="Times New Roman" w:cs="Times New Roman"/>
                <w:color w:val="000000"/>
                <w:sz w:val="20"/>
                <w:szCs w:val="20"/>
                <w:lang w:val="en-GB" w:eastAsia="sr-Latn-RS"/>
              </w:rPr>
              <w:t>GCxGC</w:t>
            </w:r>
            <w:proofErr w:type="spellEnd"/>
            <w:r w:rsidRPr="008463F3">
              <w:rPr>
                <w:rFonts w:eastAsia="Times New Roman" w:cs="Times New Roman"/>
                <w:color w:val="000000"/>
                <w:sz w:val="20"/>
                <w:szCs w:val="20"/>
                <w:lang w:val="en-GB" w:eastAsia="sr-Latn-RS"/>
              </w:rPr>
              <w:t>/TOF-MS</w:t>
            </w:r>
          </w:p>
        </w:tc>
        <w:tc>
          <w:tcPr>
            <w:tcW w:w="1275" w:type="dxa"/>
            <w:tcBorders>
              <w:top w:val="nil"/>
              <w:left w:val="nil"/>
              <w:bottom w:val="single" w:sz="4" w:space="0" w:color="auto"/>
              <w:right w:val="single" w:sz="4" w:space="0" w:color="auto"/>
            </w:tcBorders>
            <w:shd w:val="clear" w:color="auto" w:fill="auto"/>
            <w:noWrap/>
            <w:hideMark/>
          </w:tcPr>
          <w:p w14:paraId="549D2B0D"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300.000</w:t>
            </w:r>
          </w:p>
        </w:tc>
        <w:tc>
          <w:tcPr>
            <w:tcW w:w="1134" w:type="dxa"/>
            <w:tcBorders>
              <w:top w:val="nil"/>
              <w:left w:val="nil"/>
              <w:bottom w:val="single" w:sz="4" w:space="0" w:color="auto"/>
              <w:right w:val="single" w:sz="4" w:space="0" w:color="auto"/>
            </w:tcBorders>
            <w:shd w:val="clear" w:color="auto" w:fill="auto"/>
            <w:noWrap/>
            <w:hideMark/>
          </w:tcPr>
          <w:p w14:paraId="2C897B73"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2010</w:t>
            </w:r>
          </w:p>
        </w:tc>
        <w:tc>
          <w:tcPr>
            <w:tcW w:w="2839" w:type="dxa"/>
            <w:tcBorders>
              <w:top w:val="nil"/>
              <w:left w:val="nil"/>
              <w:bottom w:val="single" w:sz="4" w:space="0" w:color="auto"/>
              <w:right w:val="single" w:sz="4" w:space="0" w:color="auto"/>
            </w:tcBorders>
            <w:shd w:val="clear" w:color="auto" w:fill="auto"/>
            <w:noWrap/>
            <w:hideMark/>
          </w:tcPr>
          <w:p w14:paraId="3151A992"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Government project</w:t>
            </w:r>
          </w:p>
        </w:tc>
        <w:tc>
          <w:tcPr>
            <w:tcW w:w="1125" w:type="dxa"/>
            <w:tcBorders>
              <w:top w:val="nil"/>
              <w:left w:val="nil"/>
              <w:bottom w:val="single" w:sz="4" w:space="0" w:color="auto"/>
              <w:right w:val="single" w:sz="4" w:space="0" w:color="auto"/>
            </w:tcBorders>
            <w:shd w:val="clear" w:color="auto" w:fill="auto"/>
            <w:noWrap/>
            <w:vAlign w:val="center"/>
            <w:hideMark/>
          </w:tcPr>
          <w:p w14:paraId="24E301C2"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10</w:t>
            </w:r>
          </w:p>
        </w:tc>
        <w:tc>
          <w:tcPr>
            <w:tcW w:w="1102" w:type="dxa"/>
            <w:tcBorders>
              <w:top w:val="nil"/>
              <w:left w:val="nil"/>
              <w:bottom w:val="single" w:sz="4" w:space="0" w:color="auto"/>
              <w:right w:val="single" w:sz="4" w:space="0" w:color="auto"/>
            </w:tcBorders>
            <w:shd w:val="clear" w:color="auto" w:fill="auto"/>
            <w:noWrap/>
            <w:vAlign w:val="center"/>
            <w:hideMark/>
          </w:tcPr>
          <w:p w14:paraId="33C74066"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w:t>
            </w:r>
          </w:p>
        </w:tc>
      </w:tr>
      <w:tr w:rsidR="007947BF" w:rsidRPr="008463F3" w14:paraId="10513A2E" w14:textId="77777777" w:rsidTr="00DA2AFC">
        <w:tc>
          <w:tcPr>
            <w:tcW w:w="2312" w:type="dxa"/>
            <w:vMerge/>
            <w:tcBorders>
              <w:top w:val="nil"/>
              <w:left w:val="single" w:sz="4" w:space="0" w:color="auto"/>
              <w:bottom w:val="single" w:sz="4" w:space="0" w:color="auto"/>
              <w:right w:val="single" w:sz="4" w:space="0" w:color="auto"/>
            </w:tcBorders>
            <w:vAlign w:val="center"/>
            <w:hideMark/>
          </w:tcPr>
          <w:p w14:paraId="2421B17C"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3BA2AA34"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23</w:t>
            </w:r>
          </w:p>
        </w:tc>
        <w:tc>
          <w:tcPr>
            <w:tcW w:w="4536" w:type="dxa"/>
            <w:tcBorders>
              <w:top w:val="nil"/>
              <w:left w:val="nil"/>
              <w:bottom w:val="single" w:sz="4" w:space="0" w:color="auto"/>
              <w:right w:val="single" w:sz="4" w:space="0" w:color="auto"/>
            </w:tcBorders>
            <w:shd w:val="clear" w:color="auto" w:fill="auto"/>
            <w:noWrap/>
            <w:hideMark/>
          </w:tcPr>
          <w:p w14:paraId="6A6863A8"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Gas chromatograph GC/MS</w:t>
            </w:r>
          </w:p>
        </w:tc>
        <w:tc>
          <w:tcPr>
            <w:tcW w:w="1275" w:type="dxa"/>
            <w:tcBorders>
              <w:top w:val="nil"/>
              <w:left w:val="nil"/>
              <w:bottom w:val="single" w:sz="4" w:space="0" w:color="auto"/>
              <w:right w:val="single" w:sz="4" w:space="0" w:color="auto"/>
            </w:tcBorders>
            <w:shd w:val="clear" w:color="auto" w:fill="auto"/>
            <w:noWrap/>
            <w:hideMark/>
          </w:tcPr>
          <w:p w14:paraId="41C40AE8"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106.000</w:t>
            </w:r>
          </w:p>
        </w:tc>
        <w:tc>
          <w:tcPr>
            <w:tcW w:w="1134" w:type="dxa"/>
            <w:tcBorders>
              <w:top w:val="nil"/>
              <w:left w:val="nil"/>
              <w:bottom w:val="single" w:sz="4" w:space="0" w:color="auto"/>
              <w:right w:val="single" w:sz="4" w:space="0" w:color="auto"/>
            </w:tcBorders>
            <w:shd w:val="clear" w:color="auto" w:fill="auto"/>
            <w:noWrap/>
            <w:hideMark/>
          </w:tcPr>
          <w:p w14:paraId="18E34F2F"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2007</w:t>
            </w:r>
          </w:p>
        </w:tc>
        <w:tc>
          <w:tcPr>
            <w:tcW w:w="2839" w:type="dxa"/>
            <w:tcBorders>
              <w:top w:val="nil"/>
              <w:left w:val="nil"/>
              <w:bottom w:val="single" w:sz="4" w:space="0" w:color="auto"/>
              <w:right w:val="single" w:sz="4" w:space="0" w:color="auto"/>
            </w:tcBorders>
            <w:shd w:val="clear" w:color="auto" w:fill="auto"/>
            <w:noWrap/>
            <w:hideMark/>
          </w:tcPr>
          <w:p w14:paraId="63617CF0"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Donation from OPCW</w:t>
            </w:r>
          </w:p>
        </w:tc>
        <w:tc>
          <w:tcPr>
            <w:tcW w:w="1125" w:type="dxa"/>
            <w:tcBorders>
              <w:top w:val="nil"/>
              <w:left w:val="nil"/>
              <w:bottom w:val="single" w:sz="4" w:space="0" w:color="auto"/>
              <w:right w:val="single" w:sz="4" w:space="0" w:color="auto"/>
            </w:tcBorders>
            <w:shd w:val="clear" w:color="auto" w:fill="auto"/>
            <w:noWrap/>
            <w:vAlign w:val="center"/>
            <w:hideMark/>
          </w:tcPr>
          <w:p w14:paraId="2E02EC3D"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10</w:t>
            </w:r>
          </w:p>
        </w:tc>
        <w:tc>
          <w:tcPr>
            <w:tcW w:w="1102" w:type="dxa"/>
            <w:tcBorders>
              <w:top w:val="nil"/>
              <w:left w:val="nil"/>
              <w:bottom w:val="single" w:sz="4" w:space="0" w:color="auto"/>
              <w:right w:val="single" w:sz="4" w:space="0" w:color="auto"/>
            </w:tcBorders>
            <w:shd w:val="clear" w:color="auto" w:fill="auto"/>
            <w:noWrap/>
            <w:vAlign w:val="center"/>
            <w:hideMark/>
          </w:tcPr>
          <w:p w14:paraId="412DACF6"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w:t>
            </w:r>
          </w:p>
        </w:tc>
      </w:tr>
      <w:tr w:rsidR="007947BF" w:rsidRPr="008463F3" w14:paraId="4E5865F8" w14:textId="77777777" w:rsidTr="00DA2AFC">
        <w:tc>
          <w:tcPr>
            <w:tcW w:w="2312" w:type="dxa"/>
            <w:vMerge/>
            <w:tcBorders>
              <w:top w:val="nil"/>
              <w:left w:val="single" w:sz="4" w:space="0" w:color="auto"/>
              <w:bottom w:val="single" w:sz="4" w:space="0" w:color="auto"/>
              <w:right w:val="single" w:sz="4" w:space="0" w:color="auto"/>
            </w:tcBorders>
            <w:vAlign w:val="center"/>
            <w:hideMark/>
          </w:tcPr>
          <w:p w14:paraId="17319DE7"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65835A51"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24</w:t>
            </w:r>
          </w:p>
        </w:tc>
        <w:tc>
          <w:tcPr>
            <w:tcW w:w="4536" w:type="dxa"/>
            <w:tcBorders>
              <w:top w:val="nil"/>
              <w:left w:val="nil"/>
              <w:bottom w:val="single" w:sz="4" w:space="0" w:color="auto"/>
              <w:right w:val="single" w:sz="4" w:space="0" w:color="auto"/>
            </w:tcBorders>
            <w:shd w:val="clear" w:color="auto" w:fill="auto"/>
            <w:noWrap/>
            <w:hideMark/>
          </w:tcPr>
          <w:p w14:paraId="7B2CC67D"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Liquid chromatograph HPLC/DAD/MS</w:t>
            </w:r>
          </w:p>
        </w:tc>
        <w:tc>
          <w:tcPr>
            <w:tcW w:w="1275" w:type="dxa"/>
            <w:tcBorders>
              <w:top w:val="nil"/>
              <w:left w:val="nil"/>
              <w:bottom w:val="single" w:sz="4" w:space="0" w:color="auto"/>
              <w:right w:val="single" w:sz="4" w:space="0" w:color="auto"/>
            </w:tcBorders>
            <w:shd w:val="clear" w:color="auto" w:fill="auto"/>
            <w:noWrap/>
            <w:hideMark/>
          </w:tcPr>
          <w:p w14:paraId="7FC7AD48"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180.000</w:t>
            </w:r>
          </w:p>
        </w:tc>
        <w:tc>
          <w:tcPr>
            <w:tcW w:w="1134" w:type="dxa"/>
            <w:tcBorders>
              <w:top w:val="nil"/>
              <w:left w:val="nil"/>
              <w:bottom w:val="single" w:sz="4" w:space="0" w:color="auto"/>
              <w:right w:val="single" w:sz="4" w:space="0" w:color="auto"/>
            </w:tcBorders>
            <w:shd w:val="clear" w:color="auto" w:fill="auto"/>
            <w:noWrap/>
            <w:hideMark/>
          </w:tcPr>
          <w:p w14:paraId="2A4F975F"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2008</w:t>
            </w:r>
          </w:p>
        </w:tc>
        <w:tc>
          <w:tcPr>
            <w:tcW w:w="2839" w:type="dxa"/>
            <w:tcBorders>
              <w:top w:val="nil"/>
              <w:left w:val="nil"/>
              <w:bottom w:val="single" w:sz="4" w:space="0" w:color="auto"/>
              <w:right w:val="single" w:sz="4" w:space="0" w:color="auto"/>
            </w:tcBorders>
            <w:shd w:val="clear" w:color="auto" w:fill="auto"/>
            <w:hideMark/>
          </w:tcPr>
          <w:p w14:paraId="4A6EE6DC"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Funds from FP7 project, European Commission</w:t>
            </w:r>
          </w:p>
        </w:tc>
        <w:tc>
          <w:tcPr>
            <w:tcW w:w="1125" w:type="dxa"/>
            <w:tcBorders>
              <w:top w:val="nil"/>
              <w:left w:val="nil"/>
              <w:bottom w:val="single" w:sz="4" w:space="0" w:color="auto"/>
              <w:right w:val="single" w:sz="4" w:space="0" w:color="auto"/>
            </w:tcBorders>
            <w:shd w:val="clear" w:color="auto" w:fill="auto"/>
            <w:noWrap/>
            <w:vAlign w:val="center"/>
            <w:hideMark/>
          </w:tcPr>
          <w:p w14:paraId="1B9B6D7A"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10</w:t>
            </w:r>
          </w:p>
        </w:tc>
        <w:tc>
          <w:tcPr>
            <w:tcW w:w="1102" w:type="dxa"/>
            <w:tcBorders>
              <w:top w:val="nil"/>
              <w:left w:val="nil"/>
              <w:bottom w:val="single" w:sz="4" w:space="0" w:color="auto"/>
              <w:right w:val="single" w:sz="4" w:space="0" w:color="auto"/>
            </w:tcBorders>
            <w:shd w:val="clear" w:color="auto" w:fill="auto"/>
            <w:noWrap/>
            <w:vAlign w:val="center"/>
            <w:hideMark/>
          </w:tcPr>
          <w:p w14:paraId="34C395D9"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7</w:t>
            </w:r>
          </w:p>
        </w:tc>
      </w:tr>
      <w:tr w:rsidR="007947BF" w:rsidRPr="008463F3" w14:paraId="7907D497" w14:textId="77777777" w:rsidTr="00DA2AFC">
        <w:tc>
          <w:tcPr>
            <w:tcW w:w="2312" w:type="dxa"/>
            <w:vMerge w:val="restart"/>
            <w:tcBorders>
              <w:top w:val="nil"/>
              <w:left w:val="single" w:sz="4" w:space="0" w:color="auto"/>
              <w:bottom w:val="single" w:sz="4" w:space="0" w:color="000000"/>
              <w:right w:val="single" w:sz="4" w:space="0" w:color="auto"/>
            </w:tcBorders>
            <w:shd w:val="clear" w:color="auto" w:fill="auto"/>
            <w:vAlign w:val="center"/>
            <w:hideMark/>
          </w:tcPr>
          <w:p w14:paraId="304CC784"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UKIM, Faculty of Medicine, Institute of Pathology</w:t>
            </w:r>
          </w:p>
        </w:tc>
        <w:tc>
          <w:tcPr>
            <w:tcW w:w="397" w:type="dxa"/>
            <w:tcBorders>
              <w:top w:val="nil"/>
              <w:left w:val="nil"/>
              <w:bottom w:val="single" w:sz="4" w:space="0" w:color="auto"/>
              <w:right w:val="single" w:sz="4" w:space="0" w:color="auto"/>
            </w:tcBorders>
            <w:shd w:val="clear" w:color="auto" w:fill="auto"/>
            <w:hideMark/>
          </w:tcPr>
          <w:p w14:paraId="0C8EE66D"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25</w:t>
            </w:r>
          </w:p>
        </w:tc>
        <w:tc>
          <w:tcPr>
            <w:tcW w:w="4536" w:type="dxa"/>
            <w:tcBorders>
              <w:top w:val="nil"/>
              <w:left w:val="nil"/>
              <w:bottom w:val="single" w:sz="4" w:space="0" w:color="auto"/>
              <w:right w:val="single" w:sz="4" w:space="0" w:color="auto"/>
            </w:tcBorders>
            <w:shd w:val="clear" w:color="auto" w:fill="auto"/>
            <w:noWrap/>
            <w:hideMark/>
          </w:tcPr>
          <w:p w14:paraId="612AA469"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xml:space="preserve"> </w:t>
            </w:r>
            <w:proofErr w:type="spellStart"/>
            <w:r w:rsidRPr="008463F3">
              <w:rPr>
                <w:rFonts w:eastAsia="Times New Roman" w:cs="Times New Roman"/>
                <w:color w:val="000000"/>
                <w:sz w:val="20"/>
                <w:szCs w:val="20"/>
                <w:lang w:val="en-GB" w:eastAsia="sr-Latn-RS"/>
              </w:rPr>
              <w:t>Autostainer</w:t>
            </w:r>
            <w:proofErr w:type="spellEnd"/>
            <w:r w:rsidRPr="008463F3">
              <w:rPr>
                <w:rFonts w:eastAsia="Times New Roman" w:cs="Times New Roman"/>
                <w:color w:val="000000"/>
                <w:sz w:val="20"/>
                <w:szCs w:val="20"/>
                <w:lang w:val="en-GB" w:eastAsia="sr-Latn-RS"/>
              </w:rPr>
              <w:t xml:space="preserve"> PT Link 48</w:t>
            </w:r>
          </w:p>
        </w:tc>
        <w:tc>
          <w:tcPr>
            <w:tcW w:w="1275" w:type="dxa"/>
            <w:tcBorders>
              <w:top w:val="nil"/>
              <w:left w:val="nil"/>
              <w:bottom w:val="single" w:sz="4" w:space="0" w:color="auto"/>
              <w:right w:val="single" w:sz="4" w:space="0" w:color="auto"/>
            </w:tcBorders>
            <w:shd w:val="clear" w:color="auto" w:fill="auto"/>
            <w:noWrap/>
            <w:hideMark/>
          </w:tcPr>
          <w:p w14:paraId="3BF22E8E"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50.000</w:t>
            </w:r>
          </w:p>
        </w:tc>
        <w:tc>
          <w:tcPr>
            <w:tcW w:w="1134" w:type="dxa"/>
            <w:tcBorders>
              <w:top w:val="nil"/>
              <w:left w:val="nil"/>
              <w:bottom w:val="single" w:sz="4" w:space="0" w:color="auto"/>
              <w:right w:val="single" w:sz="4" w:space="0" w:color="auto"/>
            </w:tcBorders>
            <w:shd w:val="clear" w:color="auto" w:fill="auto"/>
            <w:noWrap/>
            <w:hideMark/>
          </w:tcPr>
          <w:p w14:paraId="54F0D254"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2017</w:t>
            </w:r>
          </w:p>
        </w:tc>
        <w:tc>
          <w:tcPr>
            <w:tcW w:w="2839" w:type="dxa"/>
            <w:tcBorders>
              <w:top w:val="nil"/>
              <w:left w:val="nil"/>
              <w:bottom w:val="single" w:sz="4" w:space="0" w:color="auto"/>
              <w:right w:val="single" w:sz="4" w:space="0" w:color="auto"/>
            </w:tcBorders>
            <w:shd w:val="clear" w:color="auto" w:fill="auto"/>
            <w:noWrap/>
            <w:hideMark/>
          </w:tcPr>
          <w:p w14:paraId="35C1CB11"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Own funds</w:t>
            </w:r>
          </w:p>
        </w:tc>
        <w:tc>
          <w:tcPr>
            <w:tcW w:w="1125" w:type="dxa"/>
            <w:tcBorders>
              <w:top w:val="nil"/>
              <w:left w:val="nil"/>
              <w:bottom w:val="single" w:sz="4" w:space="0" w:color="auto"/>
              <w:right w:val="single" w:sz="4" w:space="0" w:color="auto"/>
            </w:tcBorders>
            <w:shd w:val="clear" w:color="auto" w:fill="auto"/>
            <w:noWrap/>
            <w:vAlign w:val="center"/>
            <w:hideMark/>
          </w:tcPr>
          <w:p w14:paraId="669809E4"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10 years</w:t>
            </w:r>
          </w:p>
        </w:tc>
        <w:tc>
          <w:tcPr>
            <w:tcW w:w="1102" w:type="dxa"/>
            <w:tcBorders>
              <w:top w:val="nil"/>
              <w:left w:val="nil"/>
              <w:bottom w:val="single" w:sz="4" w:space="0" w:color="auto"/>
              <w:right w:val="single" w:sz="4" w:space="0" w:color="auto"/>
            </w:tcBorders>
            <w:shd w:val="clear" w:color="auto" w:fill="auto"/>
            <w:noWrap/>
            <w:vAlign w:val="center"/>
            <w:hideMark/>
          </w:tcPr>
          <w:p w14:paraId="71C04AF0"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30/year</w:t>
            </w:r>
          </w:p>
        </w:tc>
      </w:tr>
      <w:tr w:rsidR="007947BF" w:rsidRPr="008463F3" w14:paraId="02CC4ECD" w14:textId="77777777" w:rsidTr="00DA2AFC">
        <w:tc>
          <w:tcPr>
            <w:tcW w:w="2312" w:type="dxa"/>
            <w:vMerge/>
            <w:tcBorders>
              <w:top w:val="nil"/>
              <w:left w:val="single" w:sz="4" w:space="0" w:color="auto"/>
              <w:bottom w:val="single" w:sz="4" w:space="0" w:color="000000"/>
              <w:right w:val="single" w:sz="4" w:space="0" w:color="auto"/>
            </w:tcBorders>
            <w:vAlign w:val="center"/>
            <w:hideMark/>
          </w:tcPr>
          <w:p w14:paraId="3C73AB5A"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3C817755"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26</w:t>
            </w:r>
          </w:p>
        </w:tc>
        <w:tc>
          <w:tcPr>
            <w:tcW w:w="4536" w:type="dxa"/>
            <w:tcBorders>
              <w:top w:val="nil"/>
              <w:left w:val="nil"/>
              <w:bottom w:val="single" w:sz="4" w:space="0" w:color="auto"/>
              <w:right w:val="single" w:sz="4" w:space="0" w:color="auto"/>
            </w:tcBorders>
            <w:shd w:val="clear" w:color="auto" w:fill="auto"/>
            <w:noWrap/>
            <w:hideMark/>
          </w:tcPr>
          <w:p w14:paraId="4DCBD756" w14:textId="77777777" w:rsidR="007947BF" w:rsidRPr="008463F3" w:rsidRDefault="007947BF" w:rsidP="00DA2AFC">
            <w:pPr>
              <w:spacing w:after="0" w:line="240" w:lineRule="auto"/>
              <w:rPr>
                <w:rFonts w:eastAsia="Times New Roman" w:cs="Times New Roman"/>
                <w:color w:val="000000"/>
                <w:sz w:val="20"/>
                <w:szCs w:val="20"/>
                <w:lang w:val="en-GB" w:eastAsia="sr-Latn-RS"/>
              </w:rPr>
            </w:pPr>
            <w:proofErr w:type="spellStart"/>
            <w:r w:rsidRPr="008463F3">
              <w:rPr>
                <w:rFonts w:eastAsia="Times New Roman" w:cs="Times New Roman"/>
                <w:color w:val="000000"/>
                <w:sz w:val="20"/>
                <w:szCs w:val="20"/>
                <w:lang w:val="en-GB" w:eastAsia="sr-Latn-RS"/>
              </w:rPr>
              <w:t>BenchMark</w:t>
            </w:r>
            <w:proofErr w:type="spellEnd"/>
            <w:r w:rsidRPr="008463F3">
              <w:rPr>
                <w:rFonts w:eastAsia="Times New Roman" w:cs="Times New Roman"/>
                <w:color w:val="000000"/>
                <w:sz w:val="20"/>
                <w:szCs w:val="20"/>
                <w:lang w:val="en-GB" w:eastAsia="sr-Latn-RS"/>
              </w:rPr>
              <w:t xml:space="preserve"> Ultra</w:t>
            </w:r>
          </w:p>
        </w:tc>
        <w:tc>
          <w:tcPr>
            <w:tcW w:w="1275" w:type="dxa"/>
            <w:tcBorders>
              <w:top w:val="nil"/>
              <w:left w:val="nil"/>
              <w:bottom w:val="single" w:sz="4" w:space="0" w:color="auto"/>
              <w:right w:val="single" w:sz="4" w:space="0" w:color="auto"/>
            </w:tcBorders>
            <w:shd w:val="clear" w:color="auto" w:fill="auto"/>
            <w:noWrap/>
            <w:hideMark/>
          </w:tcPr>
          <w:p w14:paraId="2010E7D2"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50.000</w:t>
            </w:r>
          </w:p>
        </w:tc>
        <w:tc>
          <w:tcPr>
            <w:tcW w:w="1134" w:type="dxa"/>
            <w:tcBorders>
              <w:top w:val="nil"/>
              <w:left w:val="nil"/>
              <w:bottom w:val="single" w:sz="4" w:space="0" w:color="auto"/>
              <w:right w:val="single" w:sz="4" w:space="0" w:color="auto"/>
            </w:tcBorders>
            <w:shd w:val="clear" w:color="auto" w:fill="auto"/>
            <w:noWrap/>
            <w:hideMark/>
          </w:tcPr>
          <w:p w14:paraId="439A1424"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2021</w:t>
            </w:r>
          </w:p>
        </w:tc>
        <w:tc>
          <w:tcPr>
            <w:tcW w:w="2839" w:type="dxa"/>
            <w:tcBorders>
              <w:top w:val="nil"/>
              <w:left w:val="nil"/>
              <w:bottom w:val="single" w:sz="4" w:space="0" w:color="auto"/>
              <w:right w:val="single" w:sz="4" w:space="0" w:color="auto"/>
            </w:tcBorders>
            <w:shd w:val="clear" w:color="auto" w:fill="auto"/>
            <w:noWrap/>
            <w:hideMark/>
          </w:tcPr>
          <w:p w14:paraId="09039368"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Donation</w:t>
            </w:r>
          </w:p>
        </w:tc>
        <w:tc>
          <w:tcPr>
            <w:tcW w:w="1125" w:type="dxa"/>
            <w:tcBorders>
              <w:top w:val="nil"/>
              <w:left w:val="nil"/>
              <w:bottom w:val="single" w:sz="4" w:space="0" w:color="auto"/>
              <w:right w:val="single" w:sz="4" w:space="0" w:color="auto"/>
            </w:tcBorders>
            <w:shd w:val="clear" w:color="auto" w:fill="auto"/>
            <w:noWrap/>
            <w:vAlign w:val="center"/>
            <w:hideMark/>
          </w:tcPr>
          <w:p w14:paraId="693AA697"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10 years</w:t>
            </w:r>
          </w:p>
        </w:tc>
        <w:tc>
          <w:tcPr>
            <w:tcW w:w="1102" w:type="dxa"/>
            <w:tcBorders>
              <w:top w:val="nil"/>
              <w:left w:val="nil"/>
              <w:bottom w:val="single" w:sz="4" w:space="0" w:color="auto"/>
              <w:right w:val="single" w:sz="4" w:space="0" w:color="auto"/>
            </w:tcBorders>
            <w:shd w:val="clear" w:color="auto" w:fill="auto"/>
            <w:noWrap/>
            <w:vAlign w:val="center"/>
            <w:hideMark/>
          </w:tcPr>
          <w:p w14:paraId="0A15D656"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30/year</w:t>
            </w:r>
          </w:p>
        </w:tc>
      </w:tr>
      <w:tr w:rsidR="007947BF" w:rsidRPr="008463F3" w14:paraId="083C088A" w14:textId="77777777" w:rsidTr="00DA2AFC">
        <w:tc>
          <w:tcPr>
            <w:tcW w:w="2312" w:type="dxa"/>
            <w:vMerge/>
            <w:tcBorders>
              <w:top w:val="nil"/>
              <w:left w:val="single" w:sz="4" w:space="0" w:color="auto"/>
              <w:bottom w:val="single" w:sz="4" w:space="0" w:color="000000"/>
              <w:right w:val="single" w:sz="4" w:space="0" w:color="auto"/>
            </w:tcBorders>
            <w:vAlign w:val="center"/>
            <w:hideMark/>
          </w:tcPr>
          <w:p w14:paraId="72F7D2BB"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285C3BFC"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27</w:t>
            </w:r>
          </w:p>
        </w:tc>
        <w:tc>
          <w:tcPr>
            <w:tcW w:w="4536" w:type="dxa"/>
            <w:tcBorders>
              <w:top w:val="nil"/>
              <w:left w:val="nil"/>
              <w:bottom w:val="single" w:sz="4" w:space="0" w:color="auto"/>
              <w:right w:val="single" w:sz="4" w:space="0" w:color="auto"/>
            </w:tcBorders>
            <w:shd w:val="clear" w:color="auto" w:fill="auto"/>
            <w:noWrap/>
            <w:hideMark/>
          </w:tcPr>
          <w:p w14:paraId="7575FA40"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Transmission electron microscopy JEOL 1400 and supportive technique</w:t>
            </w:r>
          </w:p>
        </w:tc>
        <w:tc>
          <w:tcPr>
            <w:tcW w:w="1275" w:type="dxa"/>
            <w:tcBorders>
              <w:top w:val="nil"/>
              <w:left w:val="nil"/>
              <w:bottom w:val="single" w:sz="4" w:space="0" w:color="auto"/>
              <w:right w:val="single" w:sz="4" w:space="0" w:color="auto"/>
            </w:tcBorders>
            <w:shd w:val="clear" w:color="auto" w:fill="auto"/>
            <w:noWrap/>
            <w:hideMark/>
          </w:tcPr>
          <w:p w14:paraId="4A0E62EF"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800.000</w:t>
            </w:r>
          </w:p>
        </w:tc>
        <w:tc>
          <w:tcPr>
            <w:tcW w:w="1134" w:type="dxa"/>
            <w:tcBorders>
              <w:top w:val="nil"/>
              <w:left w:val="nil"/>
              <w:bottom w:val="single" w:sz="4" w:space="0" w:color="auto"/>
              <w:right w:val="single" w:sz="4" w:space="0" w:color="auto"/>
            </w:tcBorders>
            <w:shd w:val="clear" w:color="auto" w:fill="auto"/>
            <w:noWrap/>
            <w:hideMark/>
          </w:tcPr>
          <w:p w14:paraId="24F64411"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2011</w:t>
            </w:r>
          </w:p>
        </w:tc>
        <w:tc>
          <w:tcPr>
            <w:tcW w:w="2839" w:type="dxa"/>
            <w:tcBorders>
              <w:top w:val="nil"/>
              <w:left w:val="nil"/>
              <w:bottom w:val="single" w:sz="4" w:space="0" w:color="auto"/>
              <w:right w:val="single" w:sz="4" w:space="0" w:color="auto"/>
            </w:tcBorders>
            <w:shd w:val="clear" w:color="auto" w:fill="auto"/>
            <w:hideMark/>
          </w:tcPr>
          <w:p w14:paraId="169E0078"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Resources of the Ministry of Education and Science</w:t>
            </w:r>
          </w:p>
        </w:tc>
        <w:tc>
          <w:tcPr>
            <w:tcW w:w="1125" w:type="dxa"/>
            <w:tcBorders>
              <w:top w:val="nil"/>
              <w:left w:val="nil"/>
              <w:bottom w:val="single" w:sz="4" w:space="0" w:color="auto"/>
              <w:right w:val="single" w:sz="4" w:space="0" w:color="auto"/>
            </w:tcBorders>
            <w:shd w:val="clear" w:color="auto" w:fill="auto"/>
            <w:noWrap/>
            <w:vAlign w:val="center"/>
            <w:hideMark/>
          </w:tcPr>
          <w:p w14:paraId="4684A93A"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30 years</w:t>
            </w:r>
          </w:p>
        </w:tc>
        <w:tc>
          <w:tcPr>
            <w:tcW w:w="1102" w:type="dxa"/>
            <w:tcBorders>
              <w:top w:val="nil"/>
              <w:left w:val="nil"/>
              <w:bottom w:val="single" w:sz="4" w:space="0" w:color="auto"/>
              <w:right w:val="single" w:sz="4" w:space="0" w:color="auto"/>
            </w:tcBorders>
            <w:shd w:val="clear" w:color="auto" w:fill="auto"/>
            <w:noWrap/>
            <w:vAlign w:val="center"/>
            <w:hideMark/>
          </w:tcPr>
          <w:p w14:paraId="6A5CE14C"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xml:space="preserve">10/per year </w:t>
            </w:r>
          </w:p>
        </w:tc>
      </w:tr>
      <w:tr w:rsidR="007947BF" w:rsidRPr="008463F3" w14:paraId="2C594C7C" w14:textId="77777777" w:rsidTr="00DA2AFC">
        <w:tc>
          <w:tcPr>
            <w:tcW w:w="2312" w:type="dxa"/>
            <w:vMerge/>
            <w:tcBorders>
              <w:top w:val="nil"/>
              <w:left w:val="single" w:sz="4" w:space="0" w:color="auto"/>
              <w:bottom w:val="single" w:sz="4" w:space="0" w:color="000000"/>
              <w:right w:val="single" w:sz="4" w:space="0" w:color="auto"/>
            </w:tcBorders>
            <w:vAlign w:val="center"/>
            <w:hideMark/>
          </w:tcPr>
          <w:p w14:paraId="02204724"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2B55DB9D"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28</w:t>
            </w:r>
          </w:p>
        </w:tc>
        <w:tc>
          <w:tcPr>
            <w:tcW w:w="4536" w:type="dxa"/>
            <w:tcBorders>
              <w:top w:val="nil"/>
              <w:left w:val="nil"/>
              <w:bottom w:val="single" w:sz="4" w:space="0" w:color="auto"/>
              <w:right w:val="single" w:sz="4" w:space="0" w:color="auto"/>
            </w:tcBorders>
            <w:shd w:val="clear" w:color="auto" w:fill="auto"/>
            <w:noWrap/>
            <w:hideMark/>
          </w:tcPr>
          <w:p w14:paraId="17D6DDF9"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xml:space="preserve">NGS </w:t>
            </w:r>
            <w:proofErr w:type="spellStart"/>
            <w:r w:rsidRPr="008463F3">
              <w:rPr>
                <w:rFonts w:eastAsia="Times New Roman" w:cs="Times New Roman"/>
                <w:color w:val="000000"/>
                <w:sz w:val="20"/>
                <w:szCs w:val="20"/>
                <w:lang w:val="en-GB" w:eastAsia="sr-Latn-RS"/>
              </w:rPr>
              <w:t>MySeQ</w:t>
            </w:r>
            <w:proofErr w:type="spellEnd"/>
            <w:r w:rsidRPr="008463F3">
              <w:rPr>
                <w:rFonts w:eastAsia="Times New Roman" w:cs="Times New Roman"/>
                <w:color w:val="000000"/>
                <w:sz w:val="20"/>
                <w:szCs w:val="20"/>
                <w:lang w:val="en-GB" w:eastAsia="sr-Latn-RS"/>
              </w:rPr>
              <w:t xml:space="preserve"> DX</w:t>
            </w:r>
          </w:p>
        </w:tc>
        <w:tc>
          <w:tcPr>
            <w:tcW w:w="1275" w:type="dxa"/>
            <w:tcBorders>
              <w:top w:val="nil"/>
              <w:left w:val="nil"/>
              <w:bottom w:val="single" w:sz="4" w:space="0" w:color="auto"/>
              <w:right w:val="single" w:sz="4" w:space="0" w:color="auto"/>
            </w:tcBorders>
            <w:shd w:val="clear" w:color="auto" w:fill="auto"/>
            <w:noWrap/>
            <w:hideMark/>
          </w:tcPr>
          <w:p w14:paraId="290E4BF6"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100.000</w:t>
            </w:r>
          </w:p>
        </w:tc>
        <w:tc>
          <w:tcPr>
            <w:tcW w:w="1134" w:type="dxa"/>
            <w:tcBorders>
              <w:top w:val="nil"/>
              <w:left w:val="nil"/>
              <w:bottom w:val="single" w:sz="4" w:space="0" w:color="auto"/>
              <w:right w:val="single" w:sz="4" w:space="0" w:color="auto"/>
            </w:tcBorders>
            <w:shd w:val="clear" w:color="auto" w:fill="auto"/>
            <w:noWrap/>
            <w:hideMark/>
          </w:tcPr>
          <w:p w14:paraId="2484E02E"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2017</w:t>
            </w:r>
          </w:p>
        </w:tc>
        <w:tc>
          <w:tcPr>
            <w:tcW w:w="2839" w:type="dxa"/>
            <w:tcBorders>
              <w:top w:val="nil"/>
              <w:left w:val="nil"/>
              <w:bottom w:val="single" w:sz="4" w:space="0" w:color="auto"/>
              <w:right w:val="single" w:sz="4" w:space="0" w:color="auto"/>
            </w:tcBorders>
            <w:shd w:val="clear" w:color="auto" w:fill="auto"/>
            <w:noWrap/>
            <w:hideMark/>
          </w:tcPr>
          <w:p w14:paraId="189906F3"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Own funds</w:t>
            </w:r>
          </w:p>
        </w:tc>
        <w:tc>
          <w:tcPr>
            <w:tcW w:w="1125" w:type="dxa"/>
            <w:tcBorders>
              <w:top w:val="nil"/>
              <w:left w:val="nil"/>
              <w:bottom w:val="single" w:sz="4" w:space="0" w:color="auto"/>
              <w:right w:val="single" w:sz="4" w:space="0" w:color="auto"/>
            </w:tcBorders>
            <w:shd w:val="clear" w:color="auto" w:fill="auto"/>
            <w:noWrap/>
            <w:vAlign w:val="center"/>
            <w:hideMark/>
          </w:tcPr>
          <w:p w14:paraId="41AC61A2"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10 years</w:t>
            </w:r>
          </w:p>
        </w:tc>
        <w:tc>
          <w:tcPr>
            <w:tcW w:w="1102" w:type="dxa"/>
            <w:tcBorders>
              <w:top w:val="nil"/>
              <w:left w:val="nil"/>
              <w:bottom w:val="single" w:sz="4" w:space="0" w:color="auto"/>
              <w:right w:val="single" w:sz="4" w:space="0" w:color="auto"/>
            </w:tcBorders>
            <w:shd w:val="clear" w:color="auto" w:fill="auto"/>
            <w:noWrap/>
            <w:vAlign w:val="center"/>
            <w:hideMark/>
          </w:tcPr>
          <w:p w14:paraId="0D2A5707"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xml:space="preserve">3/per year </w:t>
            </w:r>
          </w:p>
        </w:tc>
      </w:tr>
      <w:tr w:rsidR="007947BF" w:rsidRPr="008463F3" w14:paraId="7C458A0A" w14:textId="77777777" w:rsidTr="00DA2AFC">
        <w:tc>
          <w:tcPr>
            <w:tcW w:w="2312" w:type="dxa"/>
            <w:vMerge/>
            <w:tcBorders>
              <w:top w:val="nil"/>
              <w:left w:val="single" w:sz="4" w:space="0" w:color="auto"/>
              <w:bottom w:val="single" w:sz="4" w:space="0" w:color="000000"/>
              <w:right w:val="single" w:sz="4" w:space="0" w:color="auto"/>
            </w:tcBorders>
            <w:vAlign w:val="center"/>
            <w:hideMark/>
          </w:tcPr>
          <w:p w14:paraId="78D7F993"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108E7604"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29</w:t>
            </w:r>
          </w:p>
        </w:tc>
        <w:tc>
          <w:tcPr>
            <w:tcW w:w="4536" w:type="dxa"/>
            <w:tcBorders>
              <w:top w:val="nil"/>
              <w:left w:val="nil"/>
              <w:bottom w:val="single" w:sz="4" w:space="0" w:color="auto"/>
              <w:right w:val="single" w:sz="4" w:space="0" w:color="auto"/>
            </w:tcBorders>
            <w:shd w:val="clear" w:color="auto" w:fill="auto"/>
            <w:noWrap/>
            <w:hideMark/>
          </w:tcPr>
          <w:p w14:paraId="44522370"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ABI 310</w:t>
            </w:r>
          </w:p>
        </w:tc>
        <w:tc>
          <w:tcPr>
            <w:tcW w:w="1275" w:type="dxa"/>
            <w:tcBorders>
              <w:top w:val="nil"/>
              <w:left w:val="nil"/>
              <w:bottom w:val="single" w:sz="4" w:space="0" w:color="auto"/>
              <w:right w:val="single" w:sz="4" w:space="0" w:color="auto"/>
            </w:tcBorders>
            <w:shd w:val="clear" w:color="auto" w:fill="auto"/>
            <w:noWrap/>
            <w:hideMark/>
          </w:tcPr>
          <w:p w14:paraId="1E264B11"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150.000</w:t>
            </w:r>
          </w:p>
        </w:tc>
        <w:tc>
          <w:tcPr>
            <w:tcW w:w="1134" w:type="dxa"/>
            <w:tcBorders>
              <w:top w:val="nil"/>
              <w:left w:val="nil"/>
              <w:bottom w:val="single" w:sz="4" w:space="0" w:color="auto"/>
              <w:right w:val="single" w:sz="4" w:space="0" w:color="auto"/>
            </w:tcBorders>
            <w:shd w:val="clear" w:color="auto" w:fill="auto"/>
            <w:noWrap/>
            <w:hideMark/>
          </w:tcPr>
          <w:p w14:paraId="3E1A9AAD"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2011</w:t>
            </w:r>
          </w:p>
        </w:tc>
        <w:tc>
          <w:tcPr>
            <w:tcW w:w="2839" w:type="dxa"/>
            <w:tcBorders>
              <w:top w:val="nil"/>
              <w:left w:val="nil"/>
              <w:bottom w:val="single" w:sz="4" w:space="0" w:color="auto"/>
              <w:right w:val="single" w:sz="4" w:space="0" w:color="auto"/>
            </w:tcBorders>
            <w:shd w:val="clear" w:color="auto" w:fill="auto"/>
            <w:hideMark/>
          </w:tcPr>
          <w:p w14:paraId="1DACADF9"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Resources of the Ministry of Education and Science</w:t>
            </w:r>
          </w:p>
        </w:tc>
        <w:tc>
          <w:tcPr>
            <w:tcW w:w="1125" w:type="dxa"/>
            <w:tcBorders>
              <w:top w:val="nil"/>
              <w:left w:val="nil"/>
              <w:bottom w:val="single" w:sz="4" w:space="0" w:color="auto"/>
              <w:right w:val="single" w:sz="4" w:space="0" w:color="auto"/>
            </w:tcBorders>
            <w:shd w:val="clear" w:color="auto" w:fill="auto"/>
            <w:noWrap/>
            <w:vAlign w:val="center"/>
            <w:hideMark/>
          </w:tcPr>
          <w:p w14:paraId="049AFC1B"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10 years</w:t>
            </w:r>
          </w:p>
        </w:tc>
        <w:tc>
          <w:tcPr>
            <w:tcW w:w="1102" w:type="dxa"/>
            <w:tcBorders>
              <w:top w:val="nil"/>
              <w:left w:val="nil"/>
              <w:bottom w:val="single" w:sz="4" w:space="0" w:color="auto"/>
              <w:right w:val="single" w:sz="4" w:space="0" w:color="auto"/>
            </w:tcBorders>
            <w:shd w:val="clear" w:color="auto" w:fill="auto"/>
            <w:vAlign w:val="center"/>
            <w:hideMark/>
          </w:tcPr>
          <w:p w14:paraId="48C658B2"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p>
        </w:tc>
      </w:tr>
      <w:tr w:rsidR="007947BF" w:rsidRPr="008463F3" w14:paraId="4B7A38B1" w14:textId="77777777" w:rsidTr="00DA2AFC">
        <w:tc>
          <w:tcPr>
            <w:tcW w:w="2312" w:type="dxa"/>
            <w:vMerge w:val="restart"/>
            <w:tcBorders>
              <w:top w:val="nil"/>
              <w:left w:val="single" w:sz="4" w:space="0" w:color="auto"/>
              <w:bottom w:val="single" w:sz="4" w:space="0" w:color="000000"/>
              <w:right w:val="single" w:sz="4" w:space="0" w:color="auto"/>
            </w:tcBorders>
            <w:shd w:val="clear" w:color="auto" w:fill="auto"/>
            <w:vAlign w:val="center"/>
            <w:hideMark/>
          </w:tcPr>
          <w:p w14:paraId="12CD989F"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UKIM, Faculty of Medicine, Institute of Microbiology and Parasitology</w:t>
            </w:r>
          </w:p>
        </w:tc>
        <w:tc>
          <w:tcPr>
            <w:tcW w:w="397" w:type="dxa"/>
            <w:tcBorders>
              <w:top w:val="nil"/>
              <w:left w:val="nil"/>
              <w:bottom w:val="single" w:sz="4" w:space="0" w:color="auto"/>
              <w:right w:val="single" w:sz="4" w:space="0" w:color="auto"/>
            </w:tcBorders>
            <w:shd w:val="clear" w:color="auto" w:fill="auto"/>
            <w:hideMark/>
          </w:tcPr>
          <w:p w14:paraId="7464D051"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30</w:t>
            </w:r>
          </w:p>
        </w:tc>
        <w:tc>
          <w:tcPr>
            <w:tcW w:w="4536" w:type="dxa"/>
            <w:tcBorders>
              <w:top w:val="nil"/>
              <w:left w:val="nil"/>
              <w:bottom w:val="single" w:sz="4" w:space="0" w:color="auto"/>
              <w:right w:val="single" w:sz="4" w:space="0" w:color="auto"/>
            </w:tcBorders>
            <w:shd w:val="clear" w:color="auto" w:fill="auto"/>
            <w:noWrap/>
            <w:hideMark/>
          </w:tcPr>
          <w:p w14:paraId="5A98BB58" w14:textId="77777777" w:rsidR="007947BF" w:rsidRPr="008463F3" w:rsidRDefault="007947BF" w:rsidP="00DA2AFC">
            <w:pPr>
              <w:spacing w:after="0" w:line="240" w:lineRule="auto"/>
              <w:rPr>
                <w:rFonts w:eastAsia="Times New Roman" w:cs="Times New Roman"/>
                <w:color w:val="000000"/>
                <w:sz w:val="20"/>
                <w:szCs w:val="20"/>
                <w:lang w:val="en-GB" w:eastAsia="sr-Latn-RS"/>
              </w:rPr>
            </w:pPr>
            <w:proofErr w:type="spellStart"/>
            <w:r w:rsidRPr="008463F3">
              <w:rPr>
                <w:rFonts w:eastAsia="Times New Roman" w:cs="Times New Roman"/>
                <w:color w:val="000000"/>
                <w:sz w:val="20"/>
                <w:szCs w:val="20"/>
                <w:lang w:val="en-GB" w:eastAsia="sr-Latn-RS"/>
              </w:rPr>
              <w:t>Bact</w:t>
            </w:r>
            <w:proofErr w:type="spellEnd"/>
            <w:r w:rsidRPr="008463F3">
              <w:rPr>
                <w:rFonts w:eastAsia="Times New Roman" w:cs="Times New Roman"/>
                <w:color w:val="000000"/>
                <w:sz w:val="20"/>
                <w:szCs w:val="20"/>
                <w:lang w:val="en-GB" w:eastAsia="sr-Latn-RS"/>
              </w:rPr>
              <w:t>/Alert</w:t>
            </w:r>
          </w:p>
        </w:tc>
        <w:tc>
          <w:tcPr>
            <w:tcW w:w="1275" w:type="dxa"/>
            <w:tcBorders>
              <w:top w:val="nil"/>
              <w:left w:val="nil"/>
              <w:bottom w:val="single" w:sz="4" w:space="0" w:color="auto"/>
              <w:right w:val="single" w:sz="4" w:space="0" w:color="auto"/>
            </w:tcBorders>
            <w:shd w:val="clear" w:color="auto" w:fill="auto"/>
            <w:noWrap/>
            <w:hideMark/>
          </w:tcPr>
          <w:p w14:paraId="30580BFE"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50.000</w:t>
            </w:r>
          </w:p>
        </w:tc>
        <w:tc>
          <w:tcPr>
            <w:tcW w:w="1134" w:type="dxa"/>
            <w:tcBorders>
              <w:top w:val="nil"/>
              <w:left w:val="nil"/>
              <w:bottom w:val="single" w:sz="4" w:space="0" w:color="auto"/>
              <w:right w:val="single" w:sz="4" w:space="0" w:color="auto"/>
            </w:tcBorders>
            <w:shd w:val="clear" w:color="auto" w:fill="auto"/>
            <w:noWrap/>
            <w:hideMark/>
          </w:tcPr>
          <w:p w14:paraId="3CD0CDC4"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2017</w:t>
            </w:r>
          </w:p>
        </w:tc>
        <w:tc>
          <w:tcPr>
            <w:tcW w:w="2839" w:type="dxa"/>
            <w:tcBorders>
              <w:top w:val="nil"/>
              <w:left w:val="nil"/>
              <w:bottom w:val="single" w:sz="4" w:space="0" w:color="auto"/>
              <w:right w:val="single" w:sz="4" w:space="0" w:color="auto"/>
            </w:tcBorders>
            <w:shd w:val="clear" w:color="auto" w:fill="auto"/>
            <w:noWrap/>
            <w:hideMark/>
          </w:tcPr>
          <w:p w14:paraId="31729E6A"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Own funds</w:t>
            </w:r>
          </w:p>
        </w:tc>
        <w:tc>
          <w:tcPr>
            <w:tcW w:w="1125" w:type="dxa"/>
            <w:tcBorders>
              <w:top w:val="nil"/>
              <w:left w:val="nil"/>
              <w:bottom w:val="single" w:sz="4" w:space="0" w:color="auto"/>
              <w:right w:val="single" w:sz="4" w:space="0" w:color="auto"/>
            </w:tcBorders>
            <w:shd w:val="clear" w:color="auto" w:fill="auto"/>
            <w:noWrap/>
            <w:vAlign w:val="center"/>
            <w:hideMark/>
          </w:tcPr>
          <w:p w14:paraId="1534038E"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10 year</w:t>
            </w:r>
          </w:p>
        </w:tc>
        <w:tc>
          <w:tcPr>
            <w:tcW w:w="1102" w:type="dxa"/>
            <w:tcBorders>
              <w:top w:val="nil"/>
              <w:left w:val="nil"/>
              <w:bottom w:val="single" w:sz="4" w:space="0" w:color="auto"/>
              <w:right w:val="single" w:sz="4" w:space="0" w:color="auto"/>
            </w:tcBorders>
            <w:shd w:val="clear" w:color="auto" w:fill="auto"/>
            <w:noWrap/>
            <w:vAlign w:val="center"/>
            <w:hideMark/>
          </w:tcPr>
          <w:p w14:paraId="07791729"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w:t>
            </w:r>
          </w:p>
        </w:tc>
      </w:tr>
      <w:tr w:rsidR="007947BF" w:rsidRPr="008463F3" w14:paraId="79D6368D" w14:textId="77777777" w:rsidTr="00DA2AFC">
        <w:tc>
          <w:tcPr>
            <w:tcW w:w="2312" w:type="dxa"/>
            <w:vMerge/>
            <w:tcBorders>
              <w:top w:val="nil"/>
              <w:left w:val="single" w:sz="4" w:space="0" w:color="auto"/>
              <w:bottom w:val="single" w:sz="4" w:space="0" w:color="000000"/>
              <w:right w:val="single" w:sz="4" w:space="0" w:color="auto"/>
            </w:tcBorders>
            <w:vAlign w:val="center"/>
            <w:hideMark/>
          </w:tcPr>
          <w:p w14:paraId="2ADDAC01"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151C63B4"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31</w:t>
            </w:r>
          </w:p>
        </w:tc>
        <w:tc>
          <w:tcPr>
            <w:tcW w:w="4536" w:type="dxa"/>
            <w:tcBorders>
              <w:top w:val="nil"/>
              <w:left w:val="nil"/>
              <w:bottom w:val="single" w:sz="4" w:space="0" w:color="auto"/>
              <w:right w:val="single" w:sz="4" w:space="0" w:color="auto"/>
            </w:tcBorders>
            <w:shd w:val="clear" w:color="auto" w:fill="auto"/>
            <w:noWrap/>
            <w:hideMark/>
          </w:tcPr>
          <w:p w14:paraId="7D29B2D9" w14:textId="77777777" w:rsidR="007947BF" w:rsidRPr="008463F3" w:rsidRDefault="007947BF" w:rsidP="00DA2AFC">
            <w:pPr>
              <w:spacing w:after="0" w:line="240" w:lineRule="auto"/>
              <w:rPr>
                <w:rFonts w:eastAsia="Times New Roman" w:cs="Times New Roman"/>
                <w:color w:val="000000"/>
                <w:sz w:val="20"/>
                <w:szCs w:val="20"/>
                <w:lang w:val="en-GB" w:eastAsia="sr-Latn-RS"/>
              </w:rPr>
            </w:pPr>
            <w:proofErr w:type="spellStart"/>
            <w:r w:rsidRPr="008463F3">
              <w:rPr>
                <w:rFonts w:eastAsia="Times New Roman" w:cs="Times New Roman"/>
                <w:color w:val="000000"/>
                <w:sz w:val="20"/>
                <w:szCs w:val="20"/>
                <w:lang w:val="en-GB" w:eastAsia="sr-Latn-RS"/>
              </w:rPr>
              <w:t>Imunnolite</w:t>
            </w:r>
            <w:proofErr w:type="spellEnd"/>
          </w:p>
        </w:tc>
        <w:tc>
          <w:tcPr>
            <w:tcW w:w="1275" w:type="dxa"/>
            <w:tcBorders>
              <w:top w:val="nil"/>
              <w:left w:val="nil"/>
              <w:bottom w:val="single" w:sz="4" w:space="0" w:color="auto"/>
              <w:right w:val="single" w:sz="4" w:space="0" w:color="auto"/>
            </w:tcBorders>
            <w:shd w:val="clear" w:color="auto" w:fill="auto"/>
            <w:noWrap/>
            <w:hideMark/>
          </w:tcPr>
          <w:p w14:paraId="43BF3375"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50.000</w:t>
            </w:r>
          </w:p>
        </w:tc>
        <w:tc>
          <w:tcPr>
            <w:tcW w:w="1134" w:type="dxa"/>
            <w:tcBorders>
              <w:top w:val="nil"/>
              <w:left w:val="nil"/>
              <w:bottom w:val="single" w:sz="4" w:space="0" w:color="auto"/>
              <w:right w:val="single" w:sz="4" w:space="0" w:color="auto"/>
            </w:tcBorders>
            <w:shd w:val="clear" w:color="auto" w:fill="auto"/>
            <w:noWrap/>
            <w:hideMark/>
          </w:tcPr>
          <w:p w14:paraId="1925D677"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2018</w:t>
            </w:r>
          </w:p>
        </w:tc>
        <w:tc>
          <w:tcPr>
            <w:tcW w:w="2839" w:type="dxa"/>
            <w:tcBorders>
              <w:top w:val="nil"/>
              <w:left w:val="nil"/>
              <w:bottom w:val="single" w:sz="4" w:space="0" w:color="auto"/>
              <w:right w:val="single" w:sz="4" w:space="0" w:color="auto"/>
            </w:tcBorders>
            <w:shd w:val="clear" w:color="auto" w:fill="auto"/>
            <w:noWrap/>
            <w:hideMark/>
          </w:tcPr>
          <w:p w14:paraId="5BA1473B"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Own funds</w:t>
            </w:r>
          </w:p>
        </w:tc>
        <w:tc>
          <w:tcPr>
            <w:tcW w:w="1125" w:type="dxa"/>
            <w:tcBorders>
              <w:top w:val="nil"/>
              <w:left w:val="nil"/>
              <w:bottom w:val="single" w:sz="4" w:space="0" w:color="auto"/>
              <w:right w:val="single" w:sz="4" w:space="0" w:color="auto"/>
            </w:tcBorders>
            <w:shd w:val="clear" w:color="auto" w:fill="auto"/>
            <w:noWrap/>
            <w:vAlign w:val="center"/>
            <w:hideMark/>
          </w:tcPr>
          <w:p w14:paraId="55367E85"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w:t>
            </w:r>
          </w:p>
        </w:tc>
        <w:tc>
          <w:tcPr>
            <w:tcW w:w="1102" w:type="dxa"/>
            <w:tcBorders>
              <w:top w:val="nil"/>
              <w:left w:val="nil"/>
              <w:bottom w:val="single" w:sz="4" w:space="0" w:color="auto"/>
              <w:right w:val="single" w:sz="4" w:space="0" w:color="auto"/>
            </w:tcBorders>
            <w:shd w:val="clear" w:color="auto" w:fill="auto"/>
            <w:noWrap/>
            <w:vAlign w:val="center"/>
            <w:hideMark/>
          </w:tcPr>
          <w:p w14:paraId="26A09739"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w:t>
            </w:r>
          </w:p>
        </w:tc>
      </w:tr>
      <w:tr w:rsidR="007947BF" w:rsidRPr="008463F3" w14:paraId="3F32D45A" w14:textId="77777777" w:rsidTr="00DA2AFC">
        <w:tc>
          <w:tcPr>
            <w:tcW w:w="2312" w:type="dxa"/>
            <w:vMerge/>
            <w:tcBorders>
              <w:top w:val="nil"/>
              <w:left w:val="single" w:sz="4" w:space="0" w:color="auto"/>
              <w:bottom w:val="single" w:sz="4" w:space="0" w:color="000000"/>
              <w:right w:val="single" w:sz="4" w:space="0" w:color="auto"/>
            </w:tcBorders>
            <w:vAlign w:val="center"/>
            <w:hideMark/>
          </w:tcPr>
          <w:p w14:paraId="29F7BF0D"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20692B11"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32</w:t>
            </w:r>
          </w:p>
        </w:tc>
        <w:tc>
          <w:tcPr>
            <w:tcW w:w="4536" w:type="dxa"/>
            <w:tcBorders>
              <w:top w:val="nil"/>
              <w:left w:val="nil"/>
              <w:bottom w:val="single" w:sz="4" w:space="0" w:color="auto"/>
              <w:right w:val="single" w:sz="4" w:space="0" w:color="auto"/>
            </w:tcBorders>
            <w:shd w:val="clear" w:color="auto" w:fill="auto"/>
            <w:noWrap/>
            <w:hideMark/>
          </w:tcPr>
          <w:p w14:paraId="7DA600BE" w14:textId="77777777" w:rsidR="007947BF" w:rsidRPr="008463F3" w:rsidRDefault="007947BF" w:rsidP="00DA2AFC">
            <w:pPr>
              <w:spacing w:after="0" w:line="240" w:lineRule="auto"/>
              <w:rPr>
                <w:rFonts w:eastAsia="Times New Roman" w:cs="Times New Roman"/>
                <w:color w:val="000000"/>
                <w:sz w:val="20"/>
                <w:szCs w:val="20"/>
                <w:lang w:val="en-GB" w:eastAsia="sr-Latn-RS"/>
              </w:rPr>
            </w:pPr>
            <w:proofErr w:type="spellStart"/>
            <w:r w:rsidRPr="008463F3">
              <w:rPr>
                <w:rFonts w:eastAsia="Times New Roman" w:cs="Times New Roman"/>
                <w:color w:val="000000"/>
                <w:sz w:val="20"/>
                <w:szCs w:val="20"/>
                <w:lang w:val="en-GB" w:eastAsia="sr-Latn-RS"/>
              </w:rPr>
              <w:t>Amplex</w:t>
            </w:r>
            <w:proofErr w:type="spellEnd"/>
          </w:p>
        </w:tc>
        <w:tc>
          <w:tcPr>
            <w:tcW w:w="1275" w:type="dxa"/>
            <w:tcBorders>
              <w:top w:val="nil"/>
              <w:left w:val="nil"/>
              <w:bottom w:val="single" w:sz="4" w:space="0" w:color="auto"/>
              <w:right w:val="single" w:sz="4" w:space="0" w:color="auto"/>
            </w:tcBorders>
            <w:shd w:val="clear" w:color="auto" w:fill="auto"/>
            <w:noWrap/>
            <w:hideMark/>
          </w:tcPr>
          <w:p w14:paraId="6477637F"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50.000</w:t>
            </w:r>
          </w:p>
        </w:tc>
        <w:tc>
          <w:tcPr>
            <w:tcW w:w="1134" w:type="dxa"/>
            <w:tcBorders>
              <w:top w:val="nil"/>
              <w:left w:val="nil"/>
              <w:bottom w:val="single" w:sz="4" w:space="0" w:color="auto"/>
              <w:right w:val="single" w:sz="4" w:space="0" w:color="auto"/>
            </w:tcBorders>
            <w:shd w:val="clear" w:color="auto" w:fill="auto"/>
            <w:noWrap/>
            <w:hideMark/>
          </w:tcPr>
          <w:p w14:paraId="5330DD52"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2019</w:t>
            </w:r>
          </w:p>
        </w:tc>
        <w:tc>
          <w:tcPr>
            <w:tcW w:w="2839" w:type="dxa"/>
            <w:tcBorders>
              <w:top w:val="nil"/>
              <w:left w:val="nil"/>
              <w:bottom w:val="single" w:sz="4" w:space="0" w:color="auto"/>
              <w:right w:val="single" w:sz="4" w:space="0" w:color="auto"/>
            </w:tcBorders>
            <w:shd w:val="clear" w:color="auto" w:fill="auto"/>
            <w:noWrap/>
            <w:hideMark/>
          </w:tcPr>
          <w:p w14:paraId="14A778FF"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Donation</w:t>
            </w:r>
          </w:p>
        </w:tc>
        <w:tc>
          <w:tcPr>
            <w:tcW w:w="1125" w:type="dxa"/>
            <w:tcBorders>
              <w:top w:val="nil"/>
              <w:left w:val="nil"/>
              <w:bottom w:val="single" w:sz="4" w:space="0" w:color="auto"/>
              <w:right w:val="single" w:sz="4" w:space="0" w:color="auto"/>
            </w:tcBorders>
            <w:shd w:val="clear" w:color="auto" w:fill="auto"/>
            <w:noWrap/>
            <w:vAlign w:val="center"/>
            <w:hideMark/>
          </w:tcPr>
          <w:p w14:paraId="77D978D1"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10 year</w:t>
            </w:r>
          </w:p>
        </w:tc>
        <w:tc>
          <w:tcPr>
            <w:tcW w:w="1102" w:type="dxa"/>
            <w:tcBorders>
              <w:top w:val="nil"/>
              <w:left w:val="nil"/>
              <w:bottom w:val="single" w:sz="4" w:space="0" w:color="auto"/>
              <w:right w:val="single" w:sz="4" w:space="0" w:color="auto"/>
            </w:tcBorders>
            <w:shd w:val="clear" w:color="auto" w:fill="auto"/>
            <w:noWrap/>
            <w:vAlign w:val="center"/>
            <w:hideMark/>
          </w:tcPr>
          <w:p w14:paraId="6CFCF43E"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w:t>
            </w:r>
          </w:p>
        </w:tc>
      </w:tr>
      <w:tr w:rsidR="007947BF" w:rsidRPr="008463F3" w14:paraId="495D13F3" w14:textId="77777777" w:rsidTr="00DA2AFC">
        <w:tc>
          <w:tcPr>
            <w:tcW w:w="2312" w:type="dxa"/>
            <w:vMerge/>
            <w:tcBorders>
              <w:top w:val="nil"/>
              <w:left w:val="single" w:sz="4" w:space="0" w:color="auto"/>
              <w:bottom w:val="single" w:sz="4" w:space="0" w:color="000000"/>
              <w:right w:val="single" w:sz="4" w:space="0" w:color="auto"/>
            </w:tcBorders>
            <w:vAlign w:val="center"/>
            <w:hideMark/>
          </w:tcPr>
          <w:p w14:paraId="1C0954D8"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2D089546"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33</w:t>
            </w:r>
          </w:p>
        </w:tc>
        <w:tc>
          <w:tcPr>
            <w:tcW w:w="4536" w:type="dxa"/>
            <w:tcBorders>
              <w:top w:val="nil"/>
              <w:left w:val="nil"/>
              <w:bottom w:val="single" w:sz="4" w:space="0" w:color="auto"/>
              <w:right w:val="single" w:sz="4" w:space="0" w:color="auto"/>
            </w:tcBorders>
            <w:shd w:val="clear" w:color="auto" w:fill="auto"/>
            <w:noWrap/>
            <w:hideMark/>
          </w:tcPr>
          <w:p w14:paraId="3D5357C0"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Real Time PCR</w:t>
            </w:r>
          </w:p>
        </w:tc>
        <w:tc>
          <w:tcPr>
            <w:tcW w:w="1275" w:type="dxa"/>
            <w:tcBorders>
              <w:top w:val="nil"/>
              <w:left w:val="nil"/>
              <w:bottom w:val="single" w:sz="4" w:space="0" w:color="auto"/>
              <w:right w:val="single" w:sz="4" w:space="0" w:color="auto"/>
            </w:tcBorders>
            <w:shd w:val="clear" w:color="auto" w:fill="auto"/>
            <w:noWrap/>
            <w:hideMark/>
          </w:tcPr>
          <w:p w14:paraId="415A38DE"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50.000</w:t>
            </w:r>
          </w:p>
        </w:tc>
        <w:tc>
          <w:tcPr>
            <w:tcW w:w="1134" w:type="dxa"/>
            <w:tcBorders>
              <w:top w:val="nil"/>
              <w:left w:val="nil"/>
              <w:bottom w:val="single" w:sz="4" w:space="0" w:color="auto"/>
              <w:right w:val="single" w:sz="4" w:space="0" w:color="auto"/>
            </w:tcBorders>
            <w:shd w:val="clear" w:color="auto" w:fill="auto"/>
            <w:noWrap/>
            <w:hideMark/>
          </w:tcPr>
          <w:p w14:paraId="3D446781"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2010</w:t>
            </w:r>
          </w:p>
        </w:tc>
        <w:tc>
          <w:tcPr>
            <w:tcW w:w="2839" w:type="dxa"/>
            <w:tcBorders>
              <w:top w:val="nil"/>
              <w:left w:val="nil"/>
              <w:bottom w:val="single" w:sz="4" w:space="0" w:color="auto"/>
              <w:right w:val="single" w:sz="4" w:space="0" w:color="auto"/>
            </w:tcBorders>
            <w:shd w:val="clear" w:color="auto" w:fill="auto"/>
            <w:hideMark/>
          </w:tcPr>
          <w:p w14:paraId="044384F3"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Resources of the Ministry of Education and Science</w:t>
            </w:r>
          </w:p>
        </w:tc>
        <w:tc>
          <w:tcPr>
            <w:tcW w:w="1125" w:type="dxa"/>
            <w:tcBorders>
              <w:top w:val="nil"/>
              <w:left w:val="nil"/>
              <w:bottom w:val="single" w:sz="4" w:space="0" w:color="auto"/>
              <w:right w:val="single" w:sz="4" w:space="0" w:color="auto"/>
            </w:tcBorders>
            <w:shd w:val="clear" w:color="auto" w:fill="auto"/>
            <w:noWrap/>
            <w:vAlign w:val="center"/>
            <w:hideMark/>
          </w:tcPr>
          <w:p w14:paraId="2D5023E3"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10 year</w:t>
            </w:r>
          </w:p>
        </w:tc>
        <w:tc>
          <w:tcPr>
            <w:tcW w:w="1102" w:type="dxa"/>
            <w:tcBorders>
              <w:top w:val="nil"/>
              <w:left w:val="nil"/>
              <w:bottom w:val="single" w:sz="4" w:space="0" w:color="auto"/>
              <w:right w:val="single" w:sz="4" w:space="0" w:color="auto"/>
            </w:tcBorders>
            <w:shd w:val="clear" w:color="auto" w:fill="auto"/>
            <w:noWrap/>
            <w:vAlign w:val="center"/>
            <w:hideMark/>
          </w:tcPr>
          <w:p w14:paraId="767D8B7C"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w:t>
            </w:r>
          </w:p>
        </w:tc>
      </w:tr>
      <w:tr w:rsidR="007947BF" w:rsidRPr="008463F3" w14:paraId="1C44EBD3" w14:textId="77777777" w:rsidTr="00DA2AFC">
        <w:tc>
          <w:tcPr>
            <w:tcW w:w="2312" w:type="dxa"/>
            <w:vMerge/>
            <w:tcBorders>
              <w:top w:val="nil"/>
              <w:left w:val="single" w:sz="4" w:space="0" w:color="auto"/>
              <w:bottom w:val="single" w:sz="4" w:space="0" w:color="000000"/>
              <w:right w:val="single" w:sz="4" w:space="0" w:color="auto"/>
            </w:tcBorders>
            <w:vAlign w:val="center"/>
            <w:hideMark/>
          </w:tcPr>
          <w:p w14:paraId="12D32D84"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4A85EB6E"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34</w:t>
            </w:r>
          </w:p>
        </w:tc>
        <w:tc>
          <w:tcPr>
            <w:tcW w:w="4536" w:type="dxa"/>
            <w:tcBorders>
              <w:top w:val="nil"/>
              <w:left w:val="nil"/>
              <w:bottom w:val="single" w:sz="4" w:space="0" w:color="auto"/>
              <w:right w:val="single" w:sz="4" w:space="0" w:color="auto"/>
            </w:tcBorders>
            <w:shd w:val="clear" w:color="auto" w:fill="auto"/>
            <w:noWrap/>
            <w:hideMark/>
          </w:tcPr>
          <w:p w14:paraId="0EA5C9EF"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VITEK</w:t>
            </w:r>
          </w:p>
        </w:tc>
        <w:tc>
          <w:tcPr>
            <w:tcW w:w="1275" w:type="dxa"/>
            <w:tcBorders>
              <w:top w:val="nil"/>
              <w:left w:val="nil"/>
              <w:bottom w:val="single" w:sz="4" w:space="0" w:color="auto"/>
              <w:right w:val="single" w:sz="4" w:space="0" w:color="auto"/>
            </w:tcBorders>
            <w:shd w:val="clear" w:color="auto" w:fill="auto"/>
            <w:noWrap/>
            <w:hideMark/>
          </w:tcPr>
          <w:p w14:paraId="094089AE"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50.000</w:t>
            </w:r>
          </w:p>
        </w:tc>
        <w:tc>
          <w:tcPr>
            <w:tcW w:w="1134" w:type="dxa"/>
            <w:tcBorders>
              <w:top w:val="nil"/>
              <w:left w:val="nil"/>
              <w:bottom w:val="single" w:sz="4" w:space="0" w:color="auto"/>
              <w:right w:val="single" w:sz="4" w:space="0" w:color="auto"/>
            </w:tcBorders>
            <w:shd w:val="clear" w:color="auto" w:fill="auto"/>
            <w:noWrap/>
            <w:hideMark/>
          </w:tcPr>
          <w:p w14:paraId="0BEE8000"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2003</w:t>
            </w:r>
          </w:p>
        </w:tc>
        <w:tc>
          <w:tcPr>
            <w:tcW w:w="2839" w:type="dxa"/>
            <w:tcBorders>
              <w:top w:val="nil"/>
              <w:left w:val="nil"/>
              <w:bottom w:val="single" w:sz="4" w:space="0" w:color="auto"/>
              <w:right w:val="single" w:sz="4" w:space="0" w:color="auto"/>
            </w:tcBorders>
            <w:shd w:val="clear" w:color="auto" w:fill="auto"/>
            <w:noWrap/>
            <w:hideMark/>
          </w:tcPr>
          <w:p w14:paraId="57B144C8"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Own funds</w:t>
            </w:r>
          </w:p>
        </w:tc>
        <w:tc>
          <w:tcPr>
            <w:tcW w:w="1125" w:type="dxa"/>
            <w:tcBorders>
              <w:top w:val="nil"/>
              <w:left w:val="nil"/>
              <w:bottom w:val="single" w:sz="4" w:space="0" w:color="auto"/>
              <w:right w:val="single" w:sz="4" w:space="0" w:color="auto"/>
            </w:tcBorders>
            <w:shd w:val="clear" w:color="auto" w:fill="auto"/>
            <w:noWrap/>
            <w:vAlign w:val="center"/>
            <w:hideMark/>
          </w:tcPr>
          <w:p w14:paraId="46A8A31E"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1-2 year</w:t>
            </w:r>
          </w:p>
        </w:tc>
        <w:tc>
          <w:tcPr>
            <w:tcW w:w="1102" w:type="dxa"/>
            <w:tcBorders>
              <w:top w:val="nil"/>
              <w:left w:val="nil"/>
              <w:bottom w:val="single" w:sz="4" w:space="0" w:color="auto"/>
              <w:right w:val="single" w:sz="4" w:space="0" w:color="auto"/>
            </w:tcBorders>
            <w:shd w:val="clear" w:color="auto" w:fill="auto"/>
            <w:noWrap/>
            <w:vAlign w:val="center"/>
            <w:hideMark/>
          </w:tcPr>
          <w:p w14:paraId="4E869668"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w:t>
            </w:r>
          </w:p>
        </w:tc>
      </w:tr>
      <w:tr w:rsidR="007947BF" w:rsidRPr="008463F3" w14:paraId="605697E7" w14:textId="77777777" w:rsidTr="00DA2AFC">
        <w:tc>
          <w:tcPr>
            <w:tcW w:w="2312" w:type="dxa"/>
            <w:vMerge/>
            <w:tcBorders>
              <w:top w:val="nil"/>
              <w:left w:val="single" w:sz="4" w:space="0" w:color="auto"/>
              <w:bottom w:val="single" w:sz="4" w:space="0" w:color="000000"/>
              <w:right w:val="single" w:sz="4" w:space="0" w:color="auto"/>
            </w:tcBorders>
            <w:vAlign w:val="center"/>
            <w:hideMark/>
          </w:tcPr>
          <w:p w14:paraId="1B17C18A"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79689456"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35</w:t>
            </w:r>
          </w:p>
        </w:tc>
        <w:tc>
          <w:tcPr>
            <w:tcW w:w="4536" w:type="dxa"/>
            <w:tcBorders>
              <w:top w:val="nil"/>
              <w:left w:val="nil"/>
              <w:bottom w:val="single" w:sz="4" w:space="0" w:color="auto"/>
              <w:right w:val="single" w:sz="4" w:space="0" w:color="auto"/>
            </w:tcBorders>
            <w:shd w:val="clear" w:color="auto" w:fill="auto"/>
            <w:noWrap/>
            <w:hideMark/>
          </w:tcPr>
          <w:p w14:paraId="3C0F92D7"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VIDAS</w:t>
            </w:r>
          </w:p>
        </w:tc>
        <w:tc>
          <w:tcPr>
            <w:tcW w:w="1275" w:type="dxa"/>
            <w:tcBorders>
              <w:top w:val="nil"/>
              <w:left w:val="nil"/>
              <w:bottom w:val="single" w:sz="4" w:space="0" w:color="auto"/>
              <w:right w:val="single" w:sz="4" w:space="0" w:color="auto"/>
            </w:tcBorders>
            <w:shd w:val="clear" w:color="auto" w:fill="auto"/>
            <w:noWrap/>
            <w:hideMark/>
          </w:tcPr>
          <w:p w14:paraId="3C8115A7"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50.000</w:t>
            </w:r>
          </w:p>
        </w:tc>
        <w:tc>
          <w:tcPr>
            <w:tcW w:w="1134" w:type="dxa"/>
            <w:tcBorders>
              <w:top w:val="nil"/>
              <w:left w:val="nil"/>
              <w:bottom w:val="single" w:sz="4" w:space="0" w:color="auto"/>
              <w:right w:val="single" w:sz="4" w:space="0" w:color="auto"/>
            </w:tcBorders>
            <w:shd w:val="clear" w:color="auto" w:fill="auto"/>
            <w:noWrap/>
            <w:hideMark/>
          </w:tcPr>
          <w:p w14:paraId="3F286F73"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2000</w:t>
            </w:r>
          </w:p>
        </w:tc>
        <w:tc>
          <w:tcPr>
            <w:tcW w:w="2839" w:type="dxa"/>
            <w:tcBorders>
              <w:top w:val="nil"/>
              <w:left w:val="nil"/>
              <w:bottom w:val="single" w:sz="4" w:space="0" w:color="auto"/>
              <w:right w:val="single" w:sz="4" w:space="0" w:color="auto"/>
            </w:tcBorders>
            <w:shd w:val="clear" w:color="auto" w:fill="auto"/>
            <w:noWrap/>
            <w:hideMark/>
          </w:tcPr>
          <w:p w14:paraId="0D486912"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w:t>
            </w:r>
          </w:p>
        </w:tc>
        <w:tc>
          <w:tcPr>
            <w:tcW w:w="1125" w:type="dxa"/>
            <w:tcBorders>
              <w:top w:val="nil"/>
              <w:left w:val="nil"/>
              <w:bottom w:val="single" w:sz="4" w:space="0" w:color="auto"/>
              <w:right w:val="single" w:sz="4" w:space="0" w:color="auto"/>
            </w:tcBorders>
            <w:shd w:val="clear" w:color="auto" w:fill="auto"/>
            <w:noWrap/>
            <w:vAlign w:val="center"/>
            <w:hideMark/>
          </w:tcPr>
          <w:p w14:paraId="2DF3864C"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w:t>
            </w:r>
          </w:p>
        </w:tc>
        <w:tc>
          <w:tcPr>
            <w:tcW w:w="1102" w:type="dxa"/>
            <w:tcBorders>
              <w:top w:val="nil"/>
              <w:left w:val="nil"/>
              <w:bottom w:val="single" w:sz="4" w:space="0" w:color="auto"/>
              <w:right w:val="single" w:sz="4" w:space="0" w:color="auto"/>
            </w:tcBorders>
            <w:shd w:val="clear" w:color="auto" w:fill="auto"/>
            <w:noWrap/>
            <w:vAlign w:val="center"/>
            <w:hideMark/>
          </w:tcPr>
          <w:p w14:paraId="7273D245"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w:t>
            </w:r>
          </w:p>
        </w:tc>
      </w:tr>
      <w:tr w:rsidR="007947BF" w:rsidRPr="008463F3" w14:paraId="0B737FD9" w14:textId="77777777" w:rsidTr="00DA2AFC">
        <w:tc>
          <w:tcPr>
            <w:tcW w:w="2312" w:type="dxa"/>
            <w:vMerge w:val="restart"/>
            <w:tcBorders>
              <w:top w:val="nil"/>
              <w:left w:val="single" w:sz="4" w:space="0" w:color="auto"/>
              <w:bottom w:val="single" w:sz="4" w:space="0" w:color="auto"/>
              <w:right w:val="single" w:sz="4" w:space="0" w:color="auto"/>
            </w:tcBorders>
            <w:shd w:val="clear" w:color="auto" w:fill="auto"/>
            <w:vAlign w:val="center"/>
            <w:hideMark/>
          </w:tcPr>
          <w:p w14:paraId="750E560D"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UKIM, Faculty of Medicine, Institute for Immunobiology and Human Genetics</w:t>
            </w:r>
          </w:p>
        </w:tc>
        <w:tc>
          <w:tcPr>
            <w:tcW w:w="397" w:type="dxa"/>
            <w:tcBorders>
              <w:top w:val="nil"/>
              <w:left w:val="nil"/>
              <w:bottom w:val="single" w:sz="4" w:space="0" w:color="auto"/>
              <w:right w:val="single" w:sz="4" w:space="0" w:color="auto"/>
            </w:tcBorders>
            <w:shd w:val="clear" w:color="auto" w:fill="auto"/>
            <w:hideMark/>
          </w:tcPr>
          <w:p w14:paraId="42082875"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36</w:t>
            </w:r>
          </w:p>
        </w:tc>
        <w:tc>
          <w:tcPr>
            <w:tcW w:w="4536" w:type="dxa"/>
            <w:tcBorders>
              <w:top w:val="nil"/>
              <w:left w:val="nil"/>
              <w:bottom w:val="single" w:sz="4" w:space="0" w:color="auto"/>
              <w:right w:val="single" w:sz="4" w:space="0" w:color="auto"/>
            </w:tcBorders>
            <w:shd w:val="clear" w:color="auto" w:fill="auto"/>
            <w:noWrap/>
            <w:hideMark/>
          </w:tcPr>
          <w:p w14:paraId="4E04F488" w14:textId="77777777" w:rsidR="007947BF" w:rsidRPr="008463F3" w:rsidRDefault="007947BF" w:rsidP="00DA2AFC">
            <w:pPr>
              <w:spacing w:after="0" w:line="240" w:lineRule="auto"/>
              <w:rPr>
                <w:rFonts w:eastAsia="Times New Roman" w:cs="Times New Roman"/>
                <w:color w:val="000000"/>
                <w:sz w:val="20"/>
                <w:szCs w:val="20"/>
                <w:lang w:val="en-GB" w:eastAsia="sr-Latn-RS"/>
              </w:rPr>
            </w:pPr>
            <w:proofErr w:type="spellStart"/>
            <w:r w:rsidRPr="008463F3">
              <w:rPr>
                <w:rFonts w:eastAsia="Times New Roman" w:cs="Times New Roman"/>
                <w:color w:val="000000"/>
                <w:sz w:val="20"/>
                <w:szCs w:val="20"/>
                <w:lang w:val="en-GB" w:eastAsia="sr-Latn-RS"/>
              </w:rPr>
              <w:t>MiniSeq</w:t>
            </w:r>
            <w:proofErr w:type="spellEnd"/>
            <w:r w:rsidRPr="008463F3">
              <w:rPr>
                <w:rFonts w:eastAsia="Times New Roman" w:cs="Times New Roman"/>
                <w:color w:val="000000"/>
                <w:sz w:val="20"/>
                <w:szCs w:val="20"/>
                <w:lang w:val="en-GB" w:eastAsia="sr-Latn-RS"/>
              </w:rPr>
              <w:t xml:space="preserve"> </w:t>
            </w:r>
            <w:proofErr w:type="spellStart"/>
            <w:r w:rsidRPr="008463F3">
              <w:rPr>
                <w:rFonts w:eastAsia="Times New Roman" w:cs="Times New Roman"/>
                <w:color w:val="000000"/>
                <w:sz w:val="20"/>
                <w:szCs w:val="20"/>
                <w:lang w:val="en-GB" w:eastAsia="sr-Latn-RS"/>
              </w:rPr>
              <w:t>Ilumina</w:t>
            </w:r>
            <w:proofErr w:type="spellEnd"/>
            <w:r w:rsidRPr="008463F3">
              <w:rPr>
                <w:rFonts w:eastAsia="Times New Roman" w:cs="Times New Roman"/>
                <w:color w:val="000000"/>
                <w:sz w:val="20"/>
                <w:szCs w:val="20"/>
                <w:lang w:val="en-GB" w:eastAsia="sr-Latn-RS"/>
              </w:rPr>
              <w:t xml:space="preserve"> NGS platform</w:t>
            </w:r>
          </w:p>
        </w:tc>
        <w:tc>
          <w:tcPr>
            <w:tcW w:w="1275" w:type="dxa"/>
            <w:tcBorders>
              <w:top w:val="nil"/>
              <w:left w:val="nil"/>
              <w:bottom w:val="single" w:sz="4" w:space="0" w:color="auto"/>
              <w:right w:val="single" w:sz="4" w:space="0" w:color="auto"/>
            </w:tcBorders>
            <w:shd w:val="clear" w:color="auto" w:fill="auto"/>
            <w:noWrap/>
            <w:hideMark/>
          </w:tcPr>
          <w:p w14:paraId="2F25F20E"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50.000</w:t>
            </w:r>
          </w:p>
        </w:tc>
        <w:tc>
          <w:tcPr>
            <w:tcW w:w="1134" w:type="dxa"/>
            <w:tcBorders>
              <w:top w:val="nil"/>
              <w:left w:val="nil"/>
              <w:bottom w:val="single" w:sz="4" w:space="0" w:color="auto"/>
              <w:right w:val="single" w:sz="4" w:space="0" w:color="auto"/>
            </w:tcBorders>
            <w:shd w:val="clear" w:color="auto" w:fill="auto"/>
            <w:noWrap/>
            <w:hideMark/>
          </w:tcPr>
          <w:p w14:paraId="5DC3C519"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2020</w:t>
            </w:r>
          </w:p>
        </w:tc>
        <w:tc>
          <w:tcPr>
            <w:tcW w:w="2839" w:type="dxa"/>
            <w:tcBorders>
              <w:top w:val="nil"/>
              <w:left w:val="nil"/>
              <w:bottom w:val="single" w:sz="4" w:space="0" w:color="auto"/>
              <w:right w:val="single" w:sz="4" w:space="0" w:color="auto"/>
            </w:tcBorders>
            <w:shd w:val="clear" w:color="auto" w:fill="auto"/>
            <w:noWrap/>
            <w:hideMark/>
          </w:tcPr>
          <w:p w14:paraId="3A6D2AE5"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Pr>
                <w:rFonts w:eastAsia="Times New Roman" w:cs="Times New Roman"/>
                <w:color w:val="000000"/>
                <w:sz w:val="20"/>
                <w:szCs w:val="20"/>
                <w:lang w:val="en-GB" w:eastAsia="sr-Latn-RS"/>
              </w:rPr>
              <w:t>Public Funds</w:t>
            </w:r>
          </w:p>
        </w:tc>
        <w:tc>
          <w:tcPr>
            <w:tcW w:w="1125" w:type="dxa"/>
            <w:tcBorders>
              <w:top w:val="nil"/>
              <w:left w:val="nil"/>
              <w:bottom w:val="single" w:sz="4" w:space="0" w:color="auto"/>
              <w:right w:val="single" w:sz="4" w:space="0" w:color="auto"/>
            </w:tcBorders>
            <w:shd w:val="clear" w:color="auto" w:fill="auto"/>
            <w:noWrap/>
            <w:vAlign w:val="center"/>
            <w:hideMark/>
          </w:tcPr>
          <w:p w14:paraId="091372BB"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7</w:t>
            </w:r>
          </w:p>
        </w:tc>
        <w:tc>
          <w:tcPr>
            <w:tcW w:w="1102" w:type="dxa"/>
            <w:tcBorders>
              <w:top w:val="nil"/>
              <w:left w:val="nil"/>
              <w:bottom w:val="single" w:sz="4" w:space="0" w:color="auto"/>
              <w:right w:val="single" w:sz="4" w:space="0" w:color="auto"/>
            </w:tcBorders>
            <w:shd w:val="clear" w:color="auto" w:fill="auto"/>
            <w:noWrap/>
            <w:vAlign w:val="center"/>
            <w:hideMark/>
          </w:tcPr>
          <w:p w14:paraId="4A2513C0"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3</w:t>
            </w:r>
          </w:p>
        </w:tc>
      </w:tr>
      <w:tr w:rsidR="007947BF" w:rsidRPr="008463F3" w14:paraId="1AE7D19F" w14:textId="77777777" w:rsidTr="00DA2AFC">
        <w:tc>
          <w:tcPr>
            <w:tcW w:w="2312" w:type="dxa"/>
            <w:vMerge/>
            <w:tcBorders>
              <w:top w:val="nil"/>
              <w:left w:val="single" w:sz="4" w:space="0" w:color="auto"/>
              <w:bottom w:val="single" w:sz="4" w:space="0" w:color="auto"/>
              <w:right w:val="single" w:sz="4" w:space="0" w:color="auto"/>
            </w:tcBorders>
            <w:vAlign w:val="center"/>
            <w:hideMark/>
          </w:tcPr>
          <w:p w14:paraId="68FC6C2A"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36CE7A46"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37</w:t>
            </w:r>
          </w:p>
        </w:tc>
        <w:tc>
          <w:tcPr>
            <w:tcW w:w="4536" w:type="dxa"/>
            <w:tcBorders>
              <w:top w:val="nil"/>
              <w:left w:val="nil"/>
              <w:bottom w:val="single" w:sz="4" w:space="0" w:color="auto"/>
              <w:right w:val="single" w:sz="4" w:space="0" w:color="auto"/>
            </w:tcBorders>
            <w:shd w:val="clear" w:color="auto" w:fill="auto"/>
            <w:noWrap/>
            <w:hideMark/>
          </w:tcPr>
          <w:p w14:paraId="2A35A24D"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xml:space="preserve">S5 studio </w:t>
            </w:r>
            <w:proofErr w:type="spellStart"/>
            <w:r w:rsidRPr="008463F3">
              <w:rPr>
                <w:rFonts w:eastAsia="Times New Roman" w:cs="Times New Roman"/>
                <w:color w:val="000000"/>
                <w:sz w:val="20"/>
                <w:szCs w:val="20"/>
                <w:lang w:val="en-GB" w:eastAsia="sr-Latn-RS"/>
              </w:rPr>
              <w:t>ThermoFisher</w:t>
            </w:r>
            <w:proofErr w:type="spellEnd"/>
            <w:r w:rsidRPr="008463F3">
              <w:rPr>
                <w:rFonts w:eastAsia="Times New Roman" w:cs="Times New Roman"/>
                <w:color w:val="000000"/>
                <w:sz w:val="20"/>
                <w:szCs w:val="20"/>
                <w:lang w:val="en-GB" w:eastAsia="sr-Latn-RS"/>
              </w:rPr>
              <w:t xml:space="preserve"> NGS platform</w:t>
            </w:r>
          </w:p>
        </w:tc>
        <w:tc>
          <w:tcPr>
            <w:tcW w:w="1275" w:type="dxa"/>
            <w:tcBorders>
              <w:top w:val="nil"/>
              <w:left w:val="nil"/>
              <w:bottom w:val="single" w:sz="4" w:space="0" w:color="auto"/>
              <w:right w:val="single" w:sz="4" w:space="0" w:color="auto"/>
            </w:tcBorders>
            <w:shd w:val="clear" w:color="auto" w:fill="auto"/>
            <w:noWrap/>
            <w:hideMark/>
          </w:tcPr>
          <w:p w14:paraId="66A039C3"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50.000</w:t>
            </w:r>
          </w:p>
        </w:tc>
        <w:tc>
          <w:tcPr>
            <w:tcW w:w="1134" w:type="dxa"/>
            <w:tcBorders>
              <w:top w:val="nil"/>
              <w:left w:val="nil"/>
              <w:bottom w:val="single" w:sz="4" w:space="0" w:color="auto"/>
              <w:right w:val="single" w:sz="4" w:space="0" w:color="auto"/>
            </w:tcBorders>
            <w:shd w:val="clear" w:color="auto" w:fill="auto"/>
            <w:noWrap/>
            <w:hideMark/>
          </w:tcPr>
          <w:p w14:paraId="2BD4ED38"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2018</w:t>
            </w:r>
          </w:p>
        </w:tc>
        <w:tc>
          <w:tcPr>
            <w:tcW w:w="2839" w:type="dxa"/>
            <w:tcBorders>
              <w:top w:val="nil"/>
              <w:left w:val="nil"/>
              <w:bottom w:val="single" w:sz="4" w:space="0" w:color="auto"/>
              <w:right w:val="single" w:sz="4" w:space="0" w:color="auto"/>
            </w:tcBorders>
            <w:shd w:val="clear" w:color="auto" w:fill="auto"/>
            <w:noWrap/>
            <w:hideMark/>
          </w:tcPr>
          <w:p w14:paraId="229D4F18"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Donations</w:t>
            </w:r>
          </w:p>
        </w:tc>
        <w:tc>
          <w:tcPr>
            <w:tcW w:w="1125" w:type="dxa"/>
            <w:tcBorders>
              <w:top w:val="nil"/>
              <w:left w:val="nil"/>
              <w:bottom w:val="single" w:sz="4" w:space="0" w:color="auto"/>
              <w:right w:val="single" w:sz="4" w:space="0" w:color="auto"/>
            </w:tcBorders>
            <w:shd w:val="clear" w:color="auto" w:fill="auto"/>
            <w:noWrap/>
            <w:vAlign w:val="center"/>
            <w:hideMark/>
          </w:tcPr>
          <w:p w14:paraId="07F005B8"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7</w:t>
            </w:r>
          </w:p>
        </w:tc>
        <w:tc>
          <w:tcPr>
            <w:tcW w:w="1102" w:type="dxa"/>
            <w:tcBorders>
              <w:top w:val="nil"/>
              <w:left w:val="nil"/>
              <w:bottom w:val="single" w:sz="4" w:space="0" w:color="auto"/>
              <w:right w:val="single" w:sz="4" w:space="0" w:color="auto"/>
            </w:tcBorders>
            <w:shd w:val="clear" w:color="auto" w:fill="auto"/>
            <w:noWrap/>
            <w:vAlign w:val="center"/>
            <w:hideMark/>
          </w:tcPr>
          <w:p w14:paraId="1E180796"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3</w:t>
            </w:r>
          </w:p>
        </w:tc>
      </w:tr>
      <w:tr w:rsidR="007947BF" w:rsidRPr="008463F3" w14:paraId="613B8E0C" w14:textId="77777777" w:rsidTr="00DA2AFC">
        <w:tc>
          <w:tcPr>
            <w:tcW w:w="2312" w:type="dxa"/>
            <w:vMerge/>
            <w:tcBorders>
              <w:top w:val="nil"/>
              <w:left w:val="single" w:sz="4" w:space="0" w:color="auto"/>
              <w:bottom w:val="single" w:sz="4" w:space="0" w:color="auto"/>
              <w:right w:val="single" w:sz="4" w:space="0" w:color="auto"/>
            </w:tcBorders>
            <w:vAlign w:val="center"/>
            <w:hideMark/>
          </w:tcPr>
          <w:p w14:paraId="4A618938"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1AD9F5A0"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38</w:t>
            </w:r>
          </w:p>
        </w:tc>
        <w:tc>
          <w:tcPr>
            <w:tcW w:w="4536" w:type="dxa"/>
            <w:tcBorders>
              <w:top w:val="nil"/>
              <w:left w:val="nil"/>
              <w:bottom w:val="single" w:sz="4" w:space="0" w:color="auto"/>
              <w:right w:val="single" w:sz="4" w:space="0" w:color="auto"/>
            </w:tcBorders>
            <w:shd w:val="clear" w:color="auto" w:fill="auto"/>
            <w:noWrap/>
            <w:hideMark/>
          </w:tcPr>
          <w:p w14:paraId="36B0AB28"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Ion Chef automated liquid handler</w:t>
            </w:r>
          </w:p>
        </w:tc>
        <w:tc>
          <w:tcPr>
            <w:tcW w:w="1275" w:type="dxa"/>
            <w:tcBorders>
              <w:top w:val="nil"/>
              <w:left w:val="nil"/>
              <w:bottom w:val="single" w:sz="4" w:space="0" w:color="auto"/>
              <w:right w:val="single" w:sz="4" w:space="0" w:color="auto"/>
            </w:tcBorders>
            <w:shd w:val="clear" w:color="auto" w:fill="auto"/>
            <w:noWrap/>
            <w:hideMark/>
          </w:tcPr>
          <w:p w14:paraId="32A2E191"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50.000</w:t>
            </w:r>
          </w:p>
        </w:tc>
        <w:tc>
          <w:tcPr>
            <w:tcW w:w="1134" w:type="dxa"/>
            <w:tcBorders>
              <w:top w:val="nil"/>
              <w:left w:val="nil"/>
              <w:bottom w:val="single" w:sz="4" w:space="0" w:color="auto"/>
              <w:right w:val="single" w:sz="4" w:space="0" w:color="auto"/>
            </w:tcBorders>
            <w:shd w:val="clear" w:color="auto" w:fill="auto"/>
            <w:noWrap/>
            <w:hideMark/>
          </w:tcPr>
          <w:p w14:paraId="2DB44ED2"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2018</w:t>
            </w:r>
          </w:p>
        </w:tc>
        <w:tc>
          <w:tcPr>
            <w:tcW w:w="2839" w:type="dxa"/>
            <w:tcBorders>
              <w:top w:val="nil"/>
              <w:left w:val="nil"/>
              <w:bottom w:val="single" w:sz="4" w:space="0" w:color="auto"/>
              <w:right w:val="single" w:sz="4" w:space="0" w:color="auto"/>
            </w:tcBorders>
            <w:shd w:val="clear" w:color="auto" w:fill="auto"/>
            <w:noWrap/>
            <w:hideMark/>
          </w:tcPr>
          <w:p w14:paraId="79408B47"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Donations</w:t>
            </w:r>
          </w:p>
        </w:tc>
        <w:tc>
          <w:tcPr>
            <w:tcW w:w="1125" w:type="dxa"/>
            <w:tcBorders>
              <w:top w:val="nil"/>
              <w:left w:val="nil"/>
              <w:bottom w:val="single" w:sz="4" w:space="0" w:color="auto"/>
              <w:right w:val="single" w:sz="4" w:space="0" w:color="auto"/>
            </w:tcBorders>
            <w:shd w:val="clear" w:color="auto" w:fill="auto"/>
            <w:noWrap/>
            <w:vAlign w:val="center"/>
            <w:hideMark/>
          </w:tcPr>
          <w:p w14:paraId="3C2C1D73"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w:t>
            </w:r>
          </w:p>
        </w:tc>
        <w:tc>
          <w:tcPr>
            <w:tcW w:w="1102" w:type="dxa"/>
            <w:tcBorders>
              <w:top w:val="nil"/>
              <w:left w:val="nil"/>
              <w:bottom w:val="single" w:sz="4" w:space="0" w:color="auto"/>
              <w:right w:val="single" w:sz="4" w:space="0" w:color="auto"/>
            </w:tcBorders>
            <w:shd w:val="clear" w:color="auto" w:fill="auto"/>
            <w:noWrap/>
            <w:vAlign w:val="center"/>
            <w:hideMark/>
          </w:tcPr>
          <w:p w14:paraId="0372ABF5"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3</w:t>
            </w:r>
          </w:p>
        </w:tc>
      </w:tr>
      <w:tr w:rsidR="007947BF" w:rsidRPr="008463F3" w14:paraId="780686EF" w14:textId="77777777" w:rsidTr="00DA2AFC">
        <w:tc>
          <w:tcPr>
            <w:tcW w:w="2312" w:type="dxa"/>
            <w:vMerge/>
            <w:tcBorders>
              <w:top w:val="nil"/>
              <w:left w:val="single" w:sz="4" w:space="0" w:color="auto"/>
              <w:bottom w:val="single" w:sz="4" w:space="0" w:color="auto"/>
              <w:right w:val="single" w:sz="4" w:space="0" w:color="auto"/>
            </w:tcBorders>
            <w:vAlign w:val="center"/>
            <w:hideMark/>
          </w:tcPr>
          <w:p w14:paraId="44C55D77"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629F88C7"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39</w:t>
            </w:r>
          </w:p>
        </w:tc>
        <w:tc>
          <w:tcPr>
            <w:tcW w:w="4536" w:type="dxa"/>
            <w:tcBorders>
              <w:top w:val="nil"/>
              <w:left w:val="nil"/>
              <w:bottom w:val="single" w:sz="4" w:space="0" w:color="auto"/>
              <w:right w:val="single" w:sz="4" w:space="0" w:color="auto"/>
            </w:tcBorders>
            <w:shd w:val="clear" w:color="auto" w:fill="auto"/>
            <w:noWrap/>
            <w:hideMark/>
          </w:tcPr>
          <w:p w14:paraId="1D4F1F60"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xml:space="preserve">Attune </w:t>
            </w:r>
            <w:proofErr w:type="spellStart"/>
            <w:r w:rsidRPr="008463F3">
              <w:rPr>
                <w:rFonts w:eastAsia="Times New Roman" w:cs="Times New Roman"/>
                <w:color w:val="000000"/>
                <w:sz w:val="20"/>
                <w:szCs w:val="20"/>
                <w:lang w:val="en-GB" w:eastAsia="sr-Latn-RS"/>
              </w:rPr>
              <w:t>NeXt</w:t>
            </w:r>
            <w:proofErr w:type="spellEnd"/>
            <w:r w:rsidRPr="008463F3">
              <w:rPr>
                <w:rFonts w:eastAsia="Times New Roman" w:cs="Times New Roman"/>
                <w:color w:val="000000"/>
                <w:sz w:val="20"/>
                <w:szCs w:val="20"/>
                <w:lang w:val="en-GB" w:eastAsia="sr-Latn-RS"/>
              </w:rPr>
              <w:t xml:space="preserve"> flow cytometer</w:t>
            </w:r>
          </w:p>
        </w:tc>
        <w:tc>
          <w:tcPr>
            <w:tcW w:w="1275" w:type="dxa"/>
            <w:tcBorders>
              <w:top w:val="nil"/>
              <w:left w:val="nil"/>
              <w:bottom w:val="single" w:sz="4" w:space="0" w:color="auto"/>
              <w:right w:val="single" w:sz="4" w:space="0" w:color="auto"/>
            </w:tcBorders>
            <w:shd w:val="clear" w:color="auto" w:fill="auto"/>
            <w:noWrap/>
            <w:hideMark/>
          </w:tcPr>
          <w:p w14:paraId="7F735A9F"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50.000</w:t>
            </w:r>
          </w:p>
        </w:tc>
        <w:tc>
          <w:tcPr>
            <w:tcW w:w="1134" w:type="dxa"/>
            <w:tcBorders>
              <w:top w:val="nil"/>
              <w:left w:val="nil"/>
              <w:bottom w:val="single" w:sz="4" w:space="0" w:color="auto"/>
              <w:right w:val="single" w:sz="4" w:space="0" w:color="auto"/>
            </w:tcBorders>
            <w:shd w:val="clear" w:color="auto" w:fill="auto"/>
            <w:noWrap/>
            <w:hideMark/>
          </w:tcPr>
          <w:p w14:paraId="0768812C"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2018</w:t>
            </w:r>
          </w:p>
        </w:tc>
        <w:tc>
          <w:tcPr>
            <w:tcW w:w="2839" w:type="dxa"/>
            <w:tcBorders>
              <w:top w:val="nil"/>
              <w:left w:val="nil"/>
              <w:bottom w:val="single" w:sz="4" w:space="0" w:color="auto"/>
              <w:right w:val="single" w:sz="4" w:space="0" w:color="auto"/>
            </w:tcBorders>
            <w:shd w:val="clear" w:color="auto" w:fill="auto"/>
            <w:hideMark/>
          </w:tcPr>
          <w:p w14:paraId="4F302EC1"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Resources of other ministries</w:t>
            </w:r>
          </w:p>
        </w:tc>
        <w:tc>
          <w:tcPr>
            <w:tcW w:w="1125" w:type="dxa"/>
            <w:tcBorders>
              <w:top w:val="nil"/>
              <w:left w:val="nil"/>
              <w:bottom w:val="single" w:sz="4" w:space="0" w:color="auto"/>
              <w:right w:val="single" w:sz="4" w:space="0" w:color="auto"/>
            </w:tcBorders>
            <w:shd w:val="clear" w:color="auto" w:fill="auto"/>
            <w:noWrap/>
            <w:vAlign w:val="center"/>
            <w:hideMark/>
          </w:tcPr>
          <w:p w14:paraId="067E7DAE"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6</w:t>
            </w:r>
          </w:p>
        </w:tc>
        <w:tc>
          <w:tcPr>
            <w:tcW w:w="1102" w:type="dxa"/>
            <w:tcBorders>
              <w:top w:val="nil"/>
              <w:left w:val="nil"/>
              <w:bottom w:val="single" w:sz="4" w:space="0" w:color="auto"/>
              <w:right w:val="single" w:sz="4" w:space="0" w:color="auto"/>
            </w:tcBorders>
            <w:shd w:val="clear" w:color="auto" w:fill="auto"/>
            <w:noWrap/>
            <w:vAlign w:val="center"/>
            <w:hideMark/>
          </w:tcPr>
          <w:p w14:paraId="3DA82E57"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w:t>
            </w:r>
          </w:p>
        </w:tc>
      </w:tr>
      <w:tr w:rsidR="007947BF" w:rsidRPr="008463F3" w14:paraId="7C772C34" w14:textId="77777777" w:rsidTr="00DA2AFC">
        <w:tc>
          <w:tcPr>
            <w:tcW w:w="2312" w:type="dxa"/>
            <w:vMerge w:val="restart"/>
            <w:tcBorders>
              <w:top w:val="nil"/>
              <w:left w:val="single" w:sz="4" w:space="0" w:color="auto"/>
              <w:right w:val="single" w:sz="4" w:space="0" w:color="auto"/>
            </w:tcBorders>
            <w:vAlign w:val="center"/>
          </w:tcPr>
          <w:p w14:paraId="2D737C08" w14:textId="77777777" w:rsidR="007947BF" w:rsidRPr="008463F3" w:rsidRDefault="007947BF" w:rsidP="00DA2AFC">
            <w:pPr>
              <w:jc w:val="center"/>
              <w:rPr>
                <w:color w:val="000000"/>
                <w:sz w:val="20"/>
                <w:szCs w:val="20"/>
                <w:lang w:val="en-GB"/>
              </w:rPr>
            </w:pPr>
            <w:r w:rsidRPr="008463F3">
              <w:rPr>
                <w:color w:val="000000"/>
                <w:sz w:val="20"/>
                <w:szCs w:val="20"/>
                <w:lang w:val="en-GB"/>
              </w:rPr>
              <w:br/>
              <w:t>UKIM, Faculty of Pharmacy, Centr</w:t>
            </w:r>
            <w:r>
              <w:rPr>
                <w:color w:val="000000"/>
                <w:sz w:val="20"/>
                <w:szCs w:val="20"/>
                <w:lang w:val="en-GB"/>
              </w:rPr>
              <w:t>e</w:t>
            </w:r>
            <w:r w:rsidRPr="008463F3">
              <w:rPr>
                <w:color w:val="000000"/>
                <w:sz w:val="20"/>
                <w:szCs w:val="20"/>
                <w:lang w:val="en-GB"/>
              </w:rPr>
              <w:t xml:space="preserve"> for Drug Quality Control</w:t>
            </w:r>
          </w:p>
        </w:tc>
        <w:tc>
          <w:tcPr>
            <w:tcW w:w="397" w:type="dxa"/>
            <w:tcBorders>
              <w:top w:val="nil"/>
              <w:left w:val="nil"/>
              <w:bottom w:val="single" w:sz="4" w:space="0" w:color="auto"/>
              <w:right w:val="single" w:sz="4" w:space="0" w:color="auto"/>
            </w:tcBorders>
            <w:shd w:val="clear" w:color="auto" w:fill="auto"/>
          </w:tcPr>
          <w:p w14:paraId="426A0677" w14:textId="77777777" w:rsidR="007947BF" w:rsidRPr="008463F3" w:rsidRDefault="007947BF" w:rsidP="00DA2AFC">
            <w:pPr>
              <w:jc w:val="center"/>
              <w:rPr>
                <w:color w:val="000000"/>
                <w:sz w:val="20"/>
                <w:szCs w:val="20"/>
                <w:lang w:val="en-GB"/>
              </w:rPr>
            </w:pPr>
            <w:r w:rsidRPr="008463F3">
              <w:rPr>
                <w:color w:val="000000"/>
                <w:sz w:val="20"/>
                <w:szCs w:val="20"/>
                <w:lang w:val="en-GB"/>
              </w:rPr>
              <w:t>40</w:t>
            </w:r>
          </w:p>
        </w:tc>
        <w:tc>
          <w:tcPr>
            <w:tcW w:w="4536" w:type="dxa"/>
            <w:tcBorders>
              <w:top w:val="nil"/>
              <w:left w:val="nil"/>
              <w:bottom w:val="single" w:sz="4" w:space="0" w:color="auto"/>
              <w:right w:val="single" w:sz="4" w:space="0" w:color="auto"/>
            </w:tcBorders>
            <w:shd w:val="clear" w:color="auto" w:fill="auto"/>
            <w:noWrap/>
          </w:tcPr>
          <w:p w14:paraId="7886C89C" w14:textId="77777777" w:rsidR="007947BF" w:rsidRPr="008463F3" w:rsidRDefault="007947BF" w:rsidP="00DA2AFC">
            <w:pPr>
              <w:rPr>
                <w:color w:val="000000"/>
                <w:sz w:val="20"/>
                <w:szCs w:val="20"/>
                <w:lang w:val="en-GB"/>
              </w:rPr>
            </w:pPr>
            <w:r w:rsidRPr="008463F3">
              <w:rPr>
                <w:color w:val="000000"/>
                <w:sz w:val="20"/>
                <w:szCs w:val="20"/>
                <w:lang w:val="en-GB"/>
              </w:rPr>
              <w:t>GC Clarus 500, Perkin Elmer</w:t>
            </w:r>
          </w:p>
        </w:tc>
        <w:tc>
          <w:tcPr>
            <w:tcW w:w="1275" w:type="dxa"/>
            <w:tcBorders>
              <w:top w:val="nil"/>
              <w:left w:val="nil"/>
              <w:bottom w:val="single" w:sz="4" w:space="0" w:color="auto"/>
              <w:right w:val="single" w:sz="4" w:space="0" w:color="auto"/>
            </w:tcBorders>
            <w:shd w:val="clear" w:color="auto" w:fill="auto"/>
            <w:noWrap/>
          </w:tcPr>
          <w:p w14:paraId="65CB1084" w14:textId="77777777" w:rsidR="007947BF" w:rsidRPr="008463F3" w:rsidRDefault="007947BF" w:rsidP="00DA2AFC">
            <w:pPr>
              <w:jc w:val="center"/>
              <w:rPr>
                <w:color w:val="000000"/>
                <w:sz w:val="20"/>
                <w:szCs w:val="20"/>
                <w:lang w:val="en-GB"/>
              </w:rPr>
            </w:pPr>
            <w:r w:rsidRPr="008463F3">
              <w:rPr>
                <w:color w:val="000000"/>
                <w:sz w:val="20"/>
                <w:szCs w:val="20"/>
                <w:lang w:val="en-GB"/>
              </w:rPr>
              <w:t>50.000</w:t>
            </w:r>
          </w:p>
        </w:tc>
        <w:tc>
          <w:tcPr>
            <w:tcW w:w="1134" w:type="dxa"/>
            <w:tcBorders>
              <w:top w:val="nil"/>
              <w:left w:val="nil"/>
              <w:bottom w:val="single" w:sz="4" w:space="0" w:color="auto"/>
              <w:right w:val="single" w:sz="4" w:space="0" w:color="auto"/>
            </w:tcBorders>
            <w:shd w:val="clear" w:color="auto" w:fill="auto"/>
            <w:noWrap/>
          </w:tcPr>
          <w:p w14:paraId="3A457DEE" w14:textId="77777777" w:rsidR="007947BF" w:rsidRPr="008463F3" w:rsidRDefault="007947BF" w:rsidP="00DA2AFC">
            <w:pPr>
              <w:jc w:val="center"/>
              <w:rPr>
                <w:color w:val="000000"/>
                <w:sz w:val="20"/>
                <w:szCs w:val="20"/>
                <w:lang w:val="en-GB"/>
              </w:rPr>
            </w:pPr>
            <w:r w:rsidRPr="008463F3">
              <w:rPr>
                <w:color w:val="000000"/>
                <w:sz w:val="20"/>
                <w:szCs w:val="20"/>
                <w:lang w:val="en-GB"/>
              </w:rPr>
              <w:t>2004</w:t>
            </w:r>
          </w:p>
        </w:tc>
        <w:tc>
          <w:tcPr>
            <w:tcW w:w="2839" w:type="dxa"/>
            <w:tcBorders>
              <w:top w:val="nil"/>
              <w:left w:val="nil"/>
              <w:bottom w:val="single" w:sz="4" w:space="0" w:color="auto"/>
              <w:right w:val="single" w:sz="4" w:space="0" w:color="auto"/>
            </w:tcBorders>
            <w:shd w:val="clear" w:color="auto" w:fill="auto"/>
          </w:tcPr>
          <w:p w14:paraId="16FCF578" w14:textId="77777777" w:rsidR="007947BF" w:rsidRPr="008463F3" w:rsidRDefault="007947BF" w:rsidP="00DA2AFC">
            <w:pPr>
              <w:jc w:val="center"/>
              <w:rPr>
                <w:color w:val="000000"/>
                <w:sz w:val="20"/>
                <w:szCs w:val="20"/>
                <w:lang w:val="en-GB"/>
              </w:rPr>
            </w:pPr>
            <w:r w:rsidRPr="008463F3">
              <w:rPr>
                <w:color w:val="000000"/>
                <w:sz w:val="20"/>
                <w:szCs w:val="20"/>
                <w:lang w:val="en-GB"/>
              </w:rPr>
              <w:t>Own funds</w:t>
            </w:r>
          </w:p>
        </w:tc>
        <w:tc>
          <w:tcPr>
            <w:tcW w:w="1125" w:type="dxa"/>
            <w:tcBorders>
              <w:top w:val="nil"/>
              <w:left w:val="nil"/>
              <w:bottom w:val="single" w:sz="4" w:space="0" w:color="auto"/>
              <w:right w:val="single" w:sz="4" w:space="0" w:color="auto"/>
            </w:tcBorders>
            <w:shd w:val="clear" w:color="auto" w:fill="auto"/>
            <w:noWrap/>
            <w:vAlign w:val="center"/>
          </w:tcPr>
          <w:p w14:paraId="0161C68D" w14:textId="77777777" w:rsidR="007947BF" w:rsidRPr="008463F3" w:rsidRDefault="007947BF" w:rsidP="00DA2AFC">
            <w:pPr>
              <w:jc w:val="center"/>
              <w:rPr>
                <w:color w:val="000000"/>
                <w:sz w:val="20"/>
                <w:szCs w:val="20"/>
                <w:lang w:val="en-GB"/>
              </w:rPr>
            </w:pPr>
            <w:r w:rsidRPr="008463F3">
              <w:rPr>
                <w:color w:val="000000"/>
                <w:sz w:val="20"/>
                <w:szCs w:val="20"/>
                <w:lang w:val="en-GB"/>
              </w:rPr>
              <w:t>N/A</w:t>
            </w:r>
          </w:p>
        </w:tc>
        <w:tc>
          <w:tcPr>
            <w:tcW w:w="1102" w:type="dxa"/>
            <w:tcBorders>
              <w:top w:val="nil"/>
              <w:left w:val="nil"/>
              <w:bottom w:val="single" w:sz="4" w:space="0" w:color="auto"/>
              <w:right w:val="single" w:sz="4" w:space="0" w:color="auto"/>
            </w:tcBorders>
            <w:shd w:val="clear" w:color="auto" w:fill="auto"/>
            <w:noWrap/>
            <w:vAlign w:val="center"/>
          </w:tcPr>
          <w:p w14:paraId="1F0ACD6A" w14:textId="77777777" w:rsidR="007947BF" w:rsidRPr="008463F3" w:rsidRDefault="007947BF" w:rsidP="00DA2AFC">
            <w:pPr>
              <w:jc w:val="center"/>
              <w:rPr>
                <w:color w:val="000000"/>
                <w:sz w:val="20"/>
                <w:szCs w:val="20"/>
                <w:lang w:val="en-GB"/>
              </w:rPr>
            </w:pPr>
            <w:r w:rsidRPr="008463F3">
              <w:rPr>
                <w:color w:val="000000"/>
                <w:sz w:val="20"/>
                <w:szCs w:val="20"/>
                <w:lang w:val="en-GB"/>
              </w:rPr>
              <w:t>3</w:t>
            </w:r>
          </w:p>
        </w:tc>
      </w:tr>
      <w:tr w:rsidR="007947BF" w:rsidRPr="008463F3" w14:paraId="17B1A3D7" w14:textId="77777777" w:rsidTr="00DA2AFC">
        <w:tc>
          <w:tcPr>
            <w:tcW w:w="2312" w:type="dxa"/>
            <w:vMerge/>
            <w:tcBorders>
              <w:left w:val="single" w:sz="4" w:space="0" w:color="auto"/>
              <w:right w:val="single" w:sz="4" w:space="0" w:color="auto"/>
            </w:tcBorders>
            <w:vAlign w:val="center"/>
          </w:tcPr>
          <w:p w14:paraId="02E7C44A"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tcPr>
          <w:p w14:paraId="1061EA48"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41</w:t>
            </w:r>
          </w:p>
        </w:tc>
        <w:tc>
          <w:tcPr>
            <w:tcW w:w="4536" w:type="dxa"/>
            <w:tcBorders>
              <w:top w:val="nil"/>
              <w:left w:val="nil"/>
              <w:bottom w:val="single" w:sz="4" w:space="0" w:color="auto"/>
              <w:right w:val="single" w:sz="4" w:space="0" w:color="auto"/>
            </w:tcBorders>
            <w:shd w:val="clear" w:color="auto" w:fill="auto"/>
            <w:noWrap/>
          </w:tcPr>
          <w:p w14:paraId="176583C2"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color w:val="000000"/>
                <w:sz w:val="20"/>
                <w:szCs w:val="20"/>
                <w:lang w:val="en-GB"/>
              </w:rPr>
              <w:t>HPLC/DAD Agilent 1100 series</w:t>
            </w:r>
          </w:p>
        </w:tc>
        <w:tc>
          <w:tcPr>
            <w:tcW w:w="1275" w:type="dxa"/>
            <w:tcBorders>
              <w:top w:val="nil"/>
              <w:left w:val="nil"/>
              <w:bottom w:val="single" w:sz="4" w:space="0" w:color="auto"/>
              <w:right w:val="single" w:sz="4" w:space="0" w:color="auto"/>
            </w:tcBorders>
            <w:shd w:val="clear" w:color="auto" w:fill="auto"/>
            <w:noWrap/>
          </w:tcPr>
          <w:p w14:paraId="2C7C6B6A"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50.000</w:t>
            </w:r>
          </w:p>
        </w:tc>
        <w:tc>
          <w:tcPr>
            <w:tcW w:w="1134" w:type="dxa"/>
            <w:tcBorders>
              <w:top w:val="nil"/>
              <w:left w:val="nil"/>
              <w:bottom w:val="single" w:sz="4" w:space="0" w:color="auto"/>
              <w:right w:val="single" w:sz="4" w:space="0" w:color="auto"/>
            </w:tcBorders>
            <w:shd w:val="clear" w:color="auto" w:fill="auto"/>
            <w:noWrap/>
          </w:tcPr>
          <w:p w14:paraId="3C31955A"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2005</w:t>
            </w:r>
          </w:p>
        </w:tc>
        <w:tc>
          <w:tcPr>
            <w:tcW w:w="2839" w:type="dxa"/>
            <w:tcBorders>
              <w:top w:val="nil"/>
              <w:left w:val="nil"/>
              <w:bottom w:val="single" w:sz="4" w:space="0" w:color="auto"/>
              <w:right w:val="single" w:sz="4" w:space="0" w:color="auto"/>
            </w:tcBorders>
            <w:shd w:val="clear" w:color="auto" w:fill="auto"/>
          </w:tcPr>
          <w:p w14:paraId="553B8159"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Own funds</w:t>
            </w:r>
          </w:p>
        </w:tc>
        <w:tc>
          <w:tcPr>
            <w:tcW w:w="1125" w:type="dxa"/>
            <w:tcBorders>
              <w:top w:val="nil"/>
              <w:left w:val="nil"/>
              <w:bottom w:val="single" w:sz="4" w:space="0" w:color="auto"/>
              <w:right w:val="single" w:sz="4" w:space="0" w:color="auto"/>
            </w:tcBorders>
            <w:shd w:val="clear" w:color="auto" w:fill="auto"/>
            <w:noWrap/>
            <w:vAlign w:val="center"/>
          </w:tcPr>
          <w:p w14:paraId="66DE237F"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N/A</w:t>
            </w:r>
          </w:p>
        </w:tc>
        <w:tc>
          <w:tcPr>
            <w:tcW w:w="1102" w:type="dxa"/>
            <w:tcBorders>
              <w:top w:val="nil"/>
              <w:left w:val="nil"/>
              <w:bottom w:val="single" w:sz="4" w:space="0" w:color="auto"/>
              <w:right w:val="single" w:sz="4" w:space="0" w:color="auto"/>
            </w:tcBorders>
            <w:shd w:val="clear" w:color="auto" w:fill="auto"/>
            <w:noWrap/>
            <w:vAlign w:val="center"/>
          </w:tcPr>
          <w:p w14:paraId="7304BC1D"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10</w:t>
            </w:r>
          </w:p>
        </w:tc>
      </w:tr>
      <w:tr w:rsidR="007947BF" w:rsidRPr="008463F3" w14:paraId="5A9A4D0D" w14:textId="77777777" w:rsidTr="00DA2AFC">
        <w:tc>
          <w:tcPr>
            <w:tcW w:w="2312" w:type="dxa"/>
            <w:vMerge/>
            <w:tcBorders>
              <w:left w:val="single" w:sz="4" w:space="0" w:color="auto"/>
              <w:right w:val="single" w:sz="4" w:space="0" w:color="auto"/>
            </w:tcBorders>
            <w:vAlign w:val="center"/>
          </w:tcPr>
          <w:p w14:paraId="14E739F6"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tcPr>
          <w:p w14:paraId="05A75774"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42</w:t>
            </w:r>
          </w:p>
        </w:tc>
        <w:tc>
          <w:tcPr>
            <w:tcW w:w="4536" w:type="dxa"/>
            <w:tcBorders>
              <w:top w:val="nil"/>
              <w:left w:val="nil"/>
              <w:bottom w:val="single" w:sz="4" w:space="0" w:color="auto"/>
              <w:right w:val="single" w:sz="4" w:space="0" w:color="auto"/>
            </w:tcBorders>
            <w:shd w:val="clear" w:color="auto" w:fill="auto"/>
            <w:noWrap/>
          </w:tcPr>
          <w:p w14:paraId="7FD2C2BF"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color w:val="000000"/>
                <w:sz w:val="20"/>
                <w:szCs w:val="20"/>
                <w:lang w:val="en-GB"/>
              </w:rPr>
              <w:t>RP-HPLC/DAD/FLD Agilent 1200 series</w:t>
            </w:r>
          </w:p>
        </w:tc>
        <w:tc>
          <w:tcPr>
            <w:tcW w:w="1275" w:type="dxa"/>
            <w:tcBorders>
              <w:top w:val="nil"/>
              <w:left w:val="nil"/>
              <w:bottom w:val="single" w:sz="4" w:space="0" w:color="auto"/>
              <w:right w:val="single" w:sz="4" w:space="0" w:color="auto"/>
            </w:tcBorders>
            <w:shd w:val="clear" w:color="auto" w:fill="auto"/>
            <w:noWrap/>
          </w:tcPr>
          <w:p w14:paraId="53860FC6"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50.000</w:t>
            </w:r>
          </w:p>
        </w:tc>
        <w:tc>
          <w:tcPr>
            <w:tcW w:w="1134" w:type="dxa"/>
            <w:tcBorders>
              <w:top w:val="nil"/>
              <w:left w:val="nil"/>
              <w:bottom w:val="single" w:sz="4" w:space="0" w:color="auto"/>
              <w:right w:val="single" w:sz="4" w:space="0" w:color="auto"/>
            </w:tcBorders>
            <w:shd w:val="clear" w:color="auto" w:fill="auto"/>
            <w:noWrap/>
          </w:tcPr>
          <w:p w14:paraId="5917F878"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2007</w:t>
            </w:r>
          </w:p>
        </w:tc>
        <w:tc>
          <w:tcPr>
            <w:tcW w:w="2839" w:type="dxa"/>
            <w:tcBorders>
              <w:top w:val="nil"/>
              <w:left w:val="nil"/>
              <w:bottom w:val="single" w:sz="4" w:space="0" w:color="auto"/>
              <w:right w:val="single" w:sz="4" w:space="0" w:color="auto"/>
            </w:tcBorders>
            <w:shd w:val="clear" w:color="auto" w:fill="auto"/>
          </w:tcPr>
          <w:p w14:paraId="07A3EFC2"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Own funds</w:t>
            </w:r>
          </w:p>
        </w:tc>
        <w:tc>
          <w:tcPr>
            <w:tcW w:w="1125" w:type="dxa"/>
            <w:tcBorders>
              <w:top w:val="nil"/>
              <w:left w:val="nil"/>
              <w:bottom w:val="single" w:sz="4" w:space="0" w:color="auto"/>
              <w:right w:val="single" w:sz="4" w:space="0" w:color="auto"/>
            </w:tcBorders>
            <w:shd w:val="clear" w:color="auto" w:fill="auto"/>
            <w:noWrap/>
            <w:vAlign w:val="center"/>
          </w:tcPr>
          <w:p w14:paraId="3731A8FD"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N/A</w:t>
            </w:r>
          </w:p>
        </w:tc>
        <w:tc>
          <w:tcPr>
            <w:tcW w:w="1102" w:type="dxa"/>
            <w:tcBorders>
              <w:top w:val="nil"/>
              <w:left w:val="nil"/>
              <w:bottom w:val="single" w:sz="4" w:space="0" w:color="auto"/>
              <w:right w:val="single" w:sz="4" w:space="0" w:color="auto"/>
            </w:tcBorders>
            <w:shd w:val="clear" w:color="auto" w:fill="auto"/>
            <w:noWrap/>
            <w:vAlign w:val="center"/>
          </w:tcPr>
          <w:p w14:paraId="072CBEA4"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10</w:t>
            </w:r>
          </w:p>
        </w:tc>
      </w:tr>
      <w:tr w:rsidR="007947BF" w:rsidRPr="008463F3" w14:paraId="3C6504AB" w14:textId="77777777" w:rsidTr="00DA2AFC">
        <w:tc>
          <w:tcPr>
            <w:tcW w:w="2312" w:type="dxa"/>
            <w:vMerge/>
            <w:tcBorders>
              <w:left w:val="single" w:sz="4" w:space="0" w:color="auto"/>
              <w:right w:val="single" w:sz="4" w:space="0" w:color="auto"/>
            </w:tcBorders>
            <w:vAlign w:val="center"/>
          </w:tcPr>
          <w:p w14:paraId="6C8AE3C1"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tcPr>
          <w:p w14:paraId="275062DE"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43</w:t>
            </w:r>
          </w:p>
        </w:tc>
        <w:tc>
          <w:tcPr>
            <w:tcW w:w="4536" w:type="dxa"/>
            <w:tcBorders>
              <w:top w:val="nil"/>
              <w:left w:val="nil"/>
              <w:bottom w:val="single" w:sz="4" w:space="0" w:color="auto"/>
              <w:right w:val="single" w:sz="4" w:space="0" w:color="auto"/>
            </w:tcBorders>
            <w:shd w:val="clear" w:color="auto" w:fill="auto"/>
            <w:noWrap/>
          </w:tcPr>
          <w:p w14:paraId="51EDACF3"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color w:val="000000"/>
                <w:sz w:val="20"/>
                <w:szCs w:val="20"/>
                <w:lang w:val="en-GB"/>
              </w:rPr>
              <w:t xml:space="preserve">UPLC/DAD/RID </w:t>
            </w:r>
            <w:proofErr w:type="spellStart"/>
            <w:r w:rsidRPr="008463F3">
              <w:rPr>
                <w:color w:val="000000"/>
                <w:sz w:val="20"/>
                <w:szCs w:val="20"/>
                <w:lang w:val="en-GB"/>
              </w:rPr>
              <w:t>Nexera</w:t>
            </w:r>
            <w:proofErr w:type="spellEnd"/>
            <w:r w:rsidRPr="008463F3">
              <w:rPr>
                <w:color w:val="000000"/>
                <w:sz w:val="20"/>
                <w:szCs w:val="20"/>
                <w:lang w:val="en-GB"/>
              </w:rPr>
              <w:t xml:space="preserve"> Shimadzu</w:t>
            </w:r>
          </w:p>
        </w:tc>
        <w:tc>
          <w:tcPr>
            <w:tcW w:w="1275" w:type="dxa"/>
            <w:tcBorders>
              <w:top w:val="nil"/>
              <w:left w:val="nil"/>
              <w:bottom w:val="single" w:sz="4" w:space="0" w:color="auto"/>
              <w:right w:val="single" w:sz="4" w:space="0" w:color="auto"/>
            </w:tcBorders>
            <w:shd w:val="clear" w:color="auto" w:fill="auto"/>
            <w:noWrap/>
          </w:tcPr>
          <w:p w14:paraId="2610B900"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50.000</w:t>
            </w:r>
          </w:p>
        </w:tc>
        <w:tc>
          <w:tcPr>
            <w:tcW w:w="1134" w:type="dxa"/>
            <w:tcBorders>
              <w:top w:val="nil"/>
              <w:left w:val="nil"/>
              <w:bottom w:val="single" w:sz="4" w:space="0" w:color="auto"/>
              <w:right w:val="single" w:sz="4" w:space="0" w:color="auto"/>
            </w:tcBorders>
            <w:shd w:val="clear" w:color="auto" w:fill="auto"/>
            <w:noWrap/>
          </w:tcPr>
          <w:p w14:paraId="6A95FCDB"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2011</w:t>
            </w:r>
          </w:p>
        </w:tc>
        <w:tc>
          <w:tcPr>
            <w:tcW w:w="2839" w:type="dxa"/>
            <w:tcBorders>
              <w:top w:val="nil"/>
              <w:left w:val="nil"/>
              <w:bottom w:val="single" w:sz="4" w:space="0" w:color="auto"/>
              <w:right w:val="single" w:sz="4" w:space="0" w:color="auto"/>
            </w:tcBorders>
            <w:shd w:val="clear" w:color="auto" w:fill="auto"/>
          </w:tcPr>
          <w:p w14:paraId="17123ED1"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Government of North Macedonia</w:t>
            </w:r>
          </w:p>
        </w:tc>
        <w:tc>
          <w:tcPr>
            <w:tcW w:w="1125" w:type="dxa"/>
            <w:tcBorders>
              <w:top w:val="nil"/>
              <w:left w:val="nil"/>
              <w:bottom w:val="single" w:sz="4" w:space="0" w:color="auto"/>
              <w:right w:val="single" w:sz="4" w:space="0" w:color="auto"/>
            </w:tcBorders>
            <w:shd w:val="clear" w:color="auto" w:fill="auto"/>
            <w:noWrap/>
            <w:vAlign w:val="center"/>
          </w:tcPr>
          <w:p w14:paraId="3200A8ED"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N/A</w:t>
            </w:r>
          </w:p>
        </w:tc>
        <w:tc>
          <w:tcPr>
            <w:tcW w:w="1102" w:type="dxa"/>
            <w:tcBorders>
              <w:top w:val="nil"/>
              <w:left w:val="nil"/>
              <w:bottom w:val="single" w:sz="4" w:space="0" w:color="auto"/>
              <w:right w:val="single" w:sz="4" w:space="0" w:color="auto"/>
            </w:tcBorders>
            <w:shd w:val="clear" w:color="auto" w:fill="auto"/>
            <w:noWrap/>
            <w:vAlign w:val="center"/>
          </w:tcPr>
          <w:p w14:paraId="5E5D4D22"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10</w:t>
            </w:r>
          </w:p>
        </w:tc>
      </w:tr>
      <w:tr w:rsidR="007947BF" w:rsidRPr="008463F3" w14:paraId="266975A6" w14:textId="77777777" w:rsidTr="00DA2AFC">
        <w:tc>
          <w:tcPr>
            <w:tcW w:w="2312" w:type="dxa"/>
            <w:vMerge/>
            <w:tcBorders>
              <w:left w:val="single" w:sz="4" w:space="0" w:color="auto"/>
              <w:right w:val="single" w:sz="4" w:space="0" w:color="auto"/>
            </w:tcBorders>
            <w:vAlign w:val="center"/>
          </w:tcPr>
          <w:p w14:paraId="0A70DC81"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tcPr>
          <w:p w14:paraId="26C8062C"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44</w:t>
            </w:r>
          </w:p>
        </w:tc>
        <w:tc>
          <w:tcPr>
            <w:tcW w:w="4536" w:type="dxa"/>
            <w:tcBorders>
              <w:top w:val="nil"/>
              <w:left w:val="nil"/>
              <w:bottom w:val="single" w:sz="4" w:space="0" w:color="auto"/>
              <w:right w:val="single" w:sz="4" w:space="0" w:color="auto"/>
            </w:tcBorders>
            <w:shd w:val="clear" w:color="auto" w:fill="auto"/>
            <w:noWrap/>
          </w:tcPr>
          <w:p w14:paraId="62A1A07F"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color w:val="000000"/>
                <w:sz w:val="20"/>
                <w:szCs w:val="20"/>
                <w:lang w:val="en-GB"/>
              </w:rPr>
              <w:t xml:space="preserve">UPLC/DAD-MS/MS </w:t>
            </w:r>
            <w:proofErr w:type="spellStart"/>
            <w:r w:rsidRPr="008463F3">
              <w:rPr>
                <w:color w:val="000000"/>
                <w:sz w:val="20"/>
                <w:szCs w:val="20"/>
                <w:lang w:val="en-GB"/>
              </w:rPr>
              <w:t>Nexera</w:t>
            </w:r>
            <w:proofErr w:type="spellEnd"/>
            <w:r w:rsidRPr="008463F3">
              <w:rPr>
                <w:color w:val="000000"/>
                <w:sz w:val="20"/>
                <w:szCs w:val="20"/>
                <w:lang w:val="en-GB"/>
              </w:rPr>
              <w:t>, Shimadzu</w:t>
            </w:r>
          </w:p>
        </w:tc>
        <w:tc>
          <w:tcPr>
            <w:tcW w:w="1275" w:type="dxa"/>
            <w:tcBorders>
              <w:top w:val="nil"/>
              <w:left w:val="nil"/>
              <w:bottom w:val="single" w:sz="4" w:space="0" w:color="auto"/>
              <w:right w:val="single" w:sz="4" w:space="0" w:color="auto"/>
            </w:tcBorders>
            <w:shd w:val="clear" w:color="auto" w:fill="auto"/>
            <w:noWrap/>
          </w:tcPr>
          <w:p w14:paraId="6D971228"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100.000</w:t>
            </w:r>
          </w:p>
        </w:tc>
        <w:tc>
          <w:tcPr>
            <w:tcW w:w="1134" w:type="dxa"/>
            <w:tcBorders>
              <w:top w:val="nil"/>
              <w:left w:val="nil"/>
              <w:bottom w:val="single" w:sz="4" w:space="0" w:color="auto"/>
              <w:right w:val="single" w:sz="4" w:space="0" w:color="auto"/>
            </w:tcBorders>
            <w:shd w:val="clear" w:color="auto" w:fill="auto"/>
            <w:noWrap/>
          </w:tcPr>
          <w:p w14:paraId="57A0898F"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2011</w:t>
            </w:r>
          </w:p>
        </w:tc>
        <w:tc>
          <w:tcPr>
            <w:tcW w:w="2839" w:type="dxa"/>
            <w:tcBorders>
              <w:top w:val="nil"/>
              <w:left w:val="nil"/>
              <w:bottom w:val="single" w:sz="4" w:space="0" w:color="auto"/>
              <w:right w:val="single" w:sz="4" w:space="0" w:color="auto"/>
            </w:tcBorders>
            <w:shd w:val="clear" w:color="auto" w:fill="auto"/>
          </w:tcPr>
          <w:p w14:paraId="44CA04B2"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Government of North Macedonia</w:t>
            </w:r>
          </w:p>
        </w:tc>
        <w:tc>
          <w:tcPr>
            <w:tcW w:w="1125" w:type="dxa"/>
            <w:tcBorders>
              <w:top w:val="nil"/>
              <w:left w:val="nil"/>
              <w:bottom w:val="single" w:sz="4" w:space="0" w:color="auto"/>
              <w:right w:val="single" w:sz="4" w:space="0" w:color="auto"/>
            </w:tcBorders>
            <w:shd w:val="clear" w:color="auto" w:fill="auto"/>
            <w:noWrap/>
            <w:vAlign w:val="center"/>
          </w:tcPr>
          <w:p w14:paraId="15230106"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N/A</w:t>
            </w:r>
          </w:p>
        </w:tc>
        <w:tc>
          <w:tcPr>
            <w:tcW w:w="1102" w:type="dxa"/>
            <w:tcBorders>
              <w:top w:val="nil"/>
              <w:left w:val="nil"/>
              <w:bottom w:val="single" w:sz="4" w:space="0" w:color="auto"/>
              <w:right w:val="single" w:sz="4" w:space="0" w:color="auto"/>
            </w:tcBorders>
            <w:shd w:val="clear" w:color="auto" w:fill="auto"/>
            <w:noWrap/>
            <w:vAlign w:val="center"/>
          </w:tcPr>
          <w:p w14:paraId="7AEB0D48"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10</w:t>
            </w:r>
          </w:p>
        </w:tc>
      </w:tr>
      <w:tr w:rsidR="007947BF" w:rsidRPr="008463F3" w14:paraId="1CC33DCE" w14:textId="77777777" w:rsidTr="00DA2AFC">
        <w:tc>
          <w:tcPr>
            <w:tcW w:w="2312" w:type="dxa"/>
            <w:vMerge/>
            <w:tcBorders>
              <w:left w:val="single" w:sz="4" w:space="0" w:color="auto"/>
              <w:right w:val="single" w:sz="4" w:space="0" w:color="auto"/>
            </w:tcBorders>
            <w:vAlign w:val="center"/>
          </w:tcPr>
          <w:p w14:paraId="36D329C3"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tcPr>
          <w:p w14:paraId="5DF5EA1E"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45</w:t>
            </w:r>
          </w:p>
        </w:tc>
        <w:tc>
          <w:tcPr>
            <w:tcW w:w="4536" w:type="dxa"/>
            <w:tcBorders>
              <w:top w:val="nil"/>
              <w:left w:val="nil"/>
              <w:bottom w:val="single" w:sz="4" w:space="0" w:color="auto"/>
              <w:right w:val="single" w:sz="4" w:space="0" w:color="auto"/>
            </w:tcBorders>
            <w:shd w:val="clear" w:color="auto" w:fill="auto"/>
            <w:noWrap/>
          </w:tcPr>
          <w:p w14:paraId="3E23574B"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color w:val="000000"/>
                <w:sz w:val="20"/>
                <w:szCs w:val="20"/>
                <w:lang w:val="en-GB"/>
              </w:rPr>
              <w:t>AAS AA-7000, Shimadzu</w:t>
            </w:r>
          </w:p>
        </w:tc>
        <w:tc>
          <w:tcPr>
            <w:tcW w:w="1275" w:type="dxa"/>
            <w:tcBorders>
              <w:top w:val="nil"/>
              <w:left w:val="nil"/>
              <w:bottom w:val="single" w:sz="4" w:space="0" w:color="auto"/>
              <w:right w:val="single" w:sz="4" w:space="0" w:color="auto"/>
            </w:tcBorders>
            <w:shd w:val="clear" w:color="auto" w:fill="auto"/>
            <w:noWrap/>
          </w:tcPr>
          <w:p w14:paraId="6CD89C47"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50.000</w:t>
            </w:r>
          </w:p>
        </w:tc>
        <w:tc>
          <w:tcPr>
            <w:tcW w:w="1134" w:type="dxa"/>
            <w:tcBorders>
              <w:top w:val="nil"/>
              <w:left w:val="nil"/>
              <w:bottom w:val="single" w:sz="4" w:space="0" w:color="auto"/>
              <w:right w:val="single" w:sz="4" w:space="0" w:color="auto"/>
            </w:tcBorders>
            <w:shd w:val="clear" w:color="auto" w:fill="auto"/>
            <w:noWrap/>
          </w:tcPr>
          <w:p w14:paraId="4CF04D4C"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2012</w:t>
            </w:r>
          </w:p>
        </w:tc>
        <w:tc>
          <w:tcPr>
            <w:tcW w:w="2839" w:type="dxa"/>
            <w:tcBorders>
              <w:top w:val="nil"/>
              <w:left w:val="nil"/>
              <w:bottom w:val="single" w:sz="4" w:space="0" w:color="auto"/>
              <w:right w:val="single" w:sz="4" w:space="0" w:color="auto"/>
            </w:tcBorders>
            <w:shd w:val="clear" w:color="auto" w:fill="auto"/>
          </w:tcPr>
          <w:p w14:paraId="39D2400A"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Government of North Macedonia</w:t>
            </w:r>
          </w:p>
        </w:tc>
        <w:tc>
          <w:tcPr>
            <w:tcW w:w="1125" w:type="dxa"/>
            <w:tcBorders>
              <w:top w:val="nil"/>
              <w:left w:val="nil"/>
              <w:bottom w:val="single" w:sz="4" w:space="0" w:color="auto"/>
              <w:right w:val="single" w:sz="4" w:space="0" w:color="auto"/>
            </w:tcBorders>
            <w:shd w:val="clear" w:color="auto" w:fill="auto"/>
            <w:noWrap/>
            <w:vAlign w:val="center"/>
          </w:tcPr>
          <w:p w14:paraId="51EF9AE5"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N/A</w:t>
            </w:r>
          </w:p>
        </w:tc>
        <w:tc>
          <w:tcPr>
            <w:tcW w:w="1102" w:type="dxa"/>
            <w:tcBorders>
              <w:top w:val="nil"/>
              <w:left w:val="nil"/>
              <w:bottom w:val="single" w:sz="4" w:space="0" w:color="auto"/>
              <w:right w:val="single" w:sz="4" w:space="0" w:color="auto"/>
            </w:tcBorders>
            <w:shd w:val="clear" w:color="auto" w:fill="auto"/>
            <w:noWrap/>
            <w:vAlign w:val="center"/>
          </w:tcPr>
          <w:p w14:paraId="7016262B"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3</w:t>
            </w:r>
          </w:p>
        </w:tc>
      </w:tr>
      <w:tr w:rsidR="007947BF" w:rsidRPr="008463F3" w14:paraId="767F15BC" w14:textId="77777777" w:rsidTr="00DA2AFC">
        <w:tc>
          <w:tcPr>
            <w:tcW w:w="2312" w:type="dxa"/>
            <w:vMerge/>
            <w:tcBorders>
              <w:left w:val="single" w:sz="4" w:space="0" w:color="auto"/>
              <w:bottom w:val="single" w:sz="4" w:space="0" w:color="auto"/>
              <w:right w:val="single" w:sz="4" w:space="0" w:color="auto"/>
            </w:tcBorders>
            <w:vAlign w:val="center"/>
          </w:tcPr>
          <w:p w14:paraId="0926B6D2"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tcPr>
          <w:p w14:paraId="2D40457F"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46</w:t>
            </w:r>
          </w:p>
        </w:tc>
        <w:tc>
          <w:tcPr>
            <w:tcW w:w="4536" w:type="dxa"/>
            <w:tcBorders>
              <w:top w:val="nil"/>
              <w:left w:val="nil"/>
              <w:bottom w:val="single" w:sz="4" w:space="0" w:color="auto"/>
              <w:right w:val="single" w:sz="4" w:space="0" w:color="auto"/>
            </w:tcBorders>
            <w:shd w:val="clear" w:color="auto" w:fill="auto"/>
            <w:noWrap/>
          </w:tcPr>
          <w:p w14:paraId="15B6DD40"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color w:val="000000"/>
                <w:sz w:val="20"/>
                <w:szCs w:val="20"/>
                <w:lang w:val="en-GB"/>
              </w:rPr>
              <w:t>UPLC/DAD Agilent 1260</w:t>
            </w:r>
          </w:p>
        </w:tc>
        <w:tc>
          <w:tcPr>
            <w:tcW w:w="1275" w:type="dxa"/>
            <w:tcBorders>
              <w:top w:val="nil"/>
              <w:left w:val="nil"/>
              <w:bottom w:val="single" w:sz="4" w:space="0" w:color="auto"/>
              <w:right w:val="single" w:sz="4" w:space="0" w:color="auto"/>
            </w:tcBorders>
            <w:shd w:val="clear" w:color="auto" w:fill="auto"/>
            <w:noWrap/>
          </w:tcPr>
          <w:p w14:paraId="23529800"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55.000</w:t>
            </w:r>
          </w:p>
        </w:tc>
        <w:tc>
          <w:tcPr>
            <w:tcW w:w="1134" w:type="dxa"/>
            <w:tcBorders>
              <w:top w:val="nil"/>
              <w:left w:val="nil"/>
              <w:bottom w:val="single" w:sz="4" w:space="0" w:color="auto"/>
              <w:right w:val="single" w:sz="4" w:space="0" w:color="auto"/>
            </w:tcBorders>
            <w:shd w:val="clear" w:color="auto" w:fill="auto"/>
            <w:noWrap/>
          </w:tcPr>
          <w:p w14:paraId="329DF0DF"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2016</w:t>
            </w:r>
          </w:p>
        </w:tc>
        <w:tc>
          <w:tcPr>
            <w:tcW w:w="2839" w:type="dxa"/>
            <w:tcBorders>
              <w:top w:val="nil"/>
              <w:left w:val="nil"/>
              <w:bottom w:val="single" w:sz="4" w:space="0" w:color="auto"/>
              <w:right w:val="single" w:sz="4" w:space="0" w:color="auto"/>
            </w:tcBorders>
            <w:shd w:val="clear" w:color="auto" w:fill="auto"/>
          </w:tcPr>
          <w:p w14:paraId="702E6FAE"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Own funds</w:t>
            </w:r>
          </w:p>
        </w:tc>
        <w:tc>
          <w:tcPr>
            <w:tcW w:w="1125" w:type="dxa"/>
            <w:tcBorders>
              <w:top w:val="nil"/>
              <w:left w:val="nil"/>
              <w:bottom w:val="single" w:sz="4" w:space="0" w:color="auto"/>
              <w:right w:val="single" w:sz="4" w:space="0" w:color="auto"/>
            </w:tcBorders>
            <w:shd w:val="clear" w:color="auto" w:fill="auto"/>
            <w:noWrap/>
            <w:vAlign w:val="center"/>
          </w:tcPr>
          <w:p w14:paraId="407F49CA"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N/A</w:t>
            </w:r>
          </w:p>
        </w:tc>
        <w:tc>
          <w:tcPr>
            <w:tcW w:w="1102" w:type="dxa"/>
            <w:tcBorders>
              <w:top w:val="nil"/>
              <w:left w:val="nil"/>
              <w:bottom w:val="single" w:sz="4" w:space="0" w:color="auto"/>
              <w:right w:val="single" w:sz="4" w:space="0" w:color="auto"/>
            </w:tcBorders>
            <w:shd w:val="clear" w:color="auto" w:fill="auto"/>
            <w:noWrap/>
            <w:vAlign w:val="center"/>
          </w:tcPr>
          <w:p w14:paraId="6E3EB3A8"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10</w:t>
            </w:r>
          </w:p>
        </w:tc>
      </w:tr>
      <w:tr w:rsidR="007947BF" w:rsidRPr="008463F3" w14:paraId="21700D7B" w14:textId="77777777" w:rsidTr="00DA2AFC">
        <w:tc>
          <w:tcPr>
            <w:tcW w:w="2312" w:type="dxa"/>
            <w:vMerge w:val="restart"/>
            <w:tcBorders>
              <w:top w:val="nil"/>
              <w:left w:val="single" w:sz="4" w:space="0" w:color="auto"/>
              <w:right w:val="single" w:sz="4" w:space="0" w:color="auto"/>
            </w:tcBorders>
            <w:vAlign w:val="center"/>
          </w:tcPr>
          <w:p w14:paraId="0471C81C" w14:textId="77777777" w:rsidR="007947BF" w:rsidRPr="008463F3" w:rsidRDefault="007947BF" w:rsidP="00DA2AFC">
            <w:pPr>
              <w:jc w:val="center"/>
              <w:rPr>
                <w:color w:val="000000"/>
                <w:sz w:val="20"/>
                <w:szCs w:val="20"/>
                <w:lang w:val="en-GB"/>
              </w:rPr>
            </w:pPr>
            <w:r w:rsidRPr="008463F3">
              <w:rPr>
                <w:color w:val="000000"/>
                <w:sz w:val="20"/>
                <w:szCs w:val="20"/>
                <w:lang w:val="en-GB"/>
              </w:rPr>
              <w:br/>
              <w:t>UKIM, Faculty of Pharmacy, Centr</w:t>
            </w:r>
            <w:r>
              <w:rPr>
                <w:color w:val="000000"/>
                <w:sz w:val="20"/>
                <w:szCs w:val="20"/>
                <w:lang w:val="en-GB"/>
              </w:rPr>
              <w:t>e</w:t>
            </w:r>
            <w:r w:rsidRPr="008463F3">
              <w:rPr>
                <w:color w:val="000000"/>
                <w:sz w:val="20"/>
                <w:szCs w:val="20"/>
                <w:lang w:val="en-GB"/>
              </w:rPr>
              <w:t xml:space="preserve"> for Biomolecular </w:t>
            </w:r>
            <w:r>
              <w:rPr>
                <w:color w:val="000000"/>
                <w:sz w:val="20"/>
                <w:szCs w:val="20"/>
                <w:lang w:val="en-GB"/>
              </w:rPr>
              <w:t>P</w:t>
            </w:r>
            <w:r w:rsidRPr="008463F3">
              <w:rPr>
                <w:color w:val="000000"/>
                <w:sz w:val="20"/>
                <w:szCs w:val="20"/>
                <w:lang w:val="en-GB"/>
              </w:rPr>
              <w:t xml:space="preserve">harmaceutical </w:t>
            </w:r>
            <w:r>
              <w:rPr>
                <w:color w:val="000000"/>
                <w:sz w:val="20"/>
                <w:szCs w:val="20"/>
                <w:lang w:val="en-GB"/>
              </w:rPr>
              <w:t>A</w:t>
            </w:r>
            <w:r w:rsidRPr="008463F3">
              <w:rPr>
                <w:color w:val="000000"/>
                <w:sz w:val="20"/>
                <w:szCs w:val="20"/>
                <w:lang w:val="en-GB"/>
              </w:rPr>
              <w:t>nalyses</w:t>
            </w:r>
          </w:p>
        </w:tc>
        <w:tc>
          <w:tcPr>
            <w:tcW w:w="397" w:type="dxa"/>
            <w:tcBorders>
              <w:top w:val="nil"/>
              <w:left w:val="nil"/>
              <w:bottom w:val="single" w:sz="4" w:space="0" w:color="auto"/>
              <w:right w:val="single" w:sz="4" w:space="0" w:color="auto"/>
            </w:tcBorders>
            <w:shd w:val="clear" w:color="auto" w:fill="auto"/>
          </w:tcPr>
          <w:p w14:paraId="1C168290" w14:textId="77777777" w:rsidR="007947BF" w:rsidRPr="008463F3" w:rsidRDefault="007947BF" w:rsidP="00DA2AFC">
            <w:pPr>
              <w:jc w:val="center"/>
              <w:rPr>
                <w:color w:val="000000"/>
                <w:sz w:val="20"/>
                <w:szCs w:val="20"/>
                <w:lang w:val="en-GB"/>
              </w:rPr>
            </w:pPr>
            <w:r w:rsidRPr="008463F3">
              <w:rPr>
                <w:color w:val="000000"/>
                <w:sz w:val="20"/>
                <w:szCs w:val="20"/>
                <w:lang w:val="en-GB"/>
              </w:rPr>
              <w:t>47</w:t>
            </w:r>
          </w:p>
        </w:tc>
        <w:tc>
          <w:tcPr>
            <w:tcW w:w="4536" w:type="dxa"/>
            <w:tcBorders>
              <w:top w:val="nil"/>
              <w:left w:val="nil"/>
              <w:bottom w:val="single" w:sz="4" w:space="0" w:color="auto"/>
              <w:right w:val="single" w:sz="4" w:space="0" w:color="auto"/>
            </w:tcBorders>
            <w:shd w:val="clear" w:color="auto" w:fill="auto"/>
            <w:noWrap/>
          </w:tcPr>
          <w:p w14:paraId="269B7E1E" w14:textId="77777777" w:rsidR="007947BF" w:rsidRPr="008463F3" w:rsidRDefault="007947BF" w:rsidP="00DA2AFC">
            <w:pPr>
              <w:rPr>
                <w:color w:val="000000"/>
                <w:sz w:val="20"/>
                <w:szCs w:val="20"/>
                <w:lang w:val="en-GB"/>
              </w:rPr>
            </w:pPr>
            <w:r w:rsidRPr="008463F3">
              <w:rPr>
                <w:color w:val="000000"/>
                <w:sz w:val="20"/>
                <w:szCs w:val="20"/>
                <w:lang w:val="en-GB"/>
              </w:rPr>
              <w:t>Applied Biosystems™ 3500 Series Genetic Analy</w:t>
            </w:r>
            <w:r>
              <w:rPr>
                <w:color w:val="000000"/>
                <w:sz w:val="20"/>
                <w:szCs w:val="20"/>
                <w:lang w:val="en-GB"/>
              </w:rPr>
              <w:t>s</w:t>
            </w:r>
            <w:r w:rsidRPr="008463F3">
              <w:rPr>
                <w:color w:val="000000"/>
                <w:sz w:val="20"/>
                <w:szCs w:val="20"/>
                <w:lang w:val="en-GB"/>
              </w:rPr>
              <w:t xml:space="preserve">er, Thermo Fisher Scientific </w:t>
            </w:r>
          </w:p>
        </w:tc>
        <w:tc>
          <w:tcPr>
            <w:tcW w:w="1275" w:type="dxa"/>
            <w:tcBorders>
              <w:top w:val="nil"/>
              <w:left w:val="nil"/>
              <w:bottom w:val="single" w:sz="4" w:space="0" w:color="auto"/>
              <w:right w:val="single" w:sz="4" w:space="0" w:color="auto"/>
            </w:tcBorders>
            <w:shd w:val="clear" w:color="auto" w:fill="auto"/>
            <w:noWrap/>
          </w:tcPr>
          <w:p w14:paraId="36421A64" w14:textId="77777777" w:rsidR="007947BF" w:rsidRPr="008463F3" w:rsidRDefault="007947BF" w:rsidP="00DA2AFC">
            <w:pPr>
              <w:jc w:val="center"/>
              <w:rPr>
                <w:color w:val="000000"/>
                <w:sz w:val="20"/>
                <w:szCs w:val="20"/>
                <w:lang w:val="en-GB"/>
              </w:rPr>
            </w:pPr>
            <w:r w:rsidRPr="008463F3">
              <w:rPr>
                <w:color w:val="000000"/>
                <w:sz w:val="20"/>
                <w:szCs w:val="20"/>
                <w:lang w:val="en-GB"/>
              </w:rPr>
              <w:t>120.000</w:t>
            </w:r>
          </w:p>
        </w:tc>
        <w:tc>
          <w:tcPr>
            <w:tcW w:w="1134" w:type="dxa"/>
            <w:tcBorders>
              <w:top w:val="nil"/>
              <w:left w:val="nil"/>
              <w:bottom w:val="single" w:sz="4" w:space="0" w:color="auto"/>
              <w:right w:val="single" w:sz="4" w:space="0" w:color="auto"/>
            </w:tcBorders>
            <w:shd w:val="clear" w:color="auto" w:fill="auto"/>
            <w:noWrap/>
          </w:tcPr>
          <w:p w14:paraId="20FB51D6" w14:textId="77777777" w:rsidR="007947BF" w:rsidRPr="008463F3" w:rsidRDefault="007947BF" w:rsidP="00DA2AFC">
            <w:pPr>
              <w:jc w:val="center"/>
              <w:rPr>
                <w:color w:val="000000"/>
                <w:sz w:val="20"/>
                <w:szCs w:val="20"/>
                <w:lang w:val="en-GB"/>
              </w:rPr>
            </w:pPr>
            <w:r w:rsidRPr="008463F3">
              <w:rPr>
                <w:color w:val="000000"/>
                <w:sz w:val="20"/>
                <w:szCs w:val="20"/>
                <w:lang w:val="en-GB"/>
              </w:rPr>
              <w:t>2012</w:t>
            </w:r>
          </w:p>
        </w:tc>
        <w:tc>
          <w:tcPr>
            <w:tcW w:w="2839" w:type="dxa"/>
            <w:tcBorders>
              <w:top w:val="nil"/>
              <w:left w:val="nil"/>
              <w:bottom w:val="single" w:sz="4" w:space="0" w:color="auto"/>
              <w:right w:val="single" w:sz="4" w:space="0" w:color="auto"/>
            </w:tcBorders>
            <w:shd w:val="clear" w:color="auto" w:fill="auto"/>
          </w:tcPr>
          <w:p w14:paraId="647F3A9C" w14:textId="77777777" w:rsidR="007947BF" w:rsidRPr="008463F3" w:rsidRDefault="007947BF" w:rsidP="00DA2AFC">
            <w:pPr>
              <w:jc w:val="center"/>
              <w:rPr>
                <w:color w:val="000000"/>
                <w:sz w:val="20"/>
                <w:szCs w:val="20"/>
                <w:lang w:val="en-GB"/>
              </w:rPr>
            </w:pPr>
            <w:r w:rsidRPr="008463F3">
              <w:rPr>
                <w:color w:val="000000"/>
                <w:sz w:val="20"/>
                <w:szCs w:val="20"/>
                <w:lang w:val="en-GB"/>
              </w:rPr>
              <w:t>Ministry of Education and Science</w:t>
            </w:r>
          </w:p>
        </w:tc>
        <w:tc>
          <w:tcPr>
            <w:tcW w:w="1125" w:type="dxa"/>
            <w:tcBorders>
              <w:top w:val="nil"/>
              <w:left w:val="nil"/>
              <w:bottom w:val="single" w:sz="4" w:space="0" w:color="auto"/>
              <w:right w:val="single" w:sz="4" w:space="0" w:color="auto"/>
            </w:tcBorders>
            <w:shd w:val="clear" w:color="auto" w:fill="auto"/>
            <w:noWrap/>
            <w:vAlign w:val="center"/>
          </w:tcPr>
          <w:p w14:paraId="7FF85187" w14:textId="77777777" w:rsidR="007947BF" w:rsidRPr="008463F3" w:rsidRDefault="007947BF" w:rsidP="00DA2AFC">
            <w:pPr>
              <w:jc w:val="center"/>
              <w:rPr>
                <w:color w:val="000000"/>
                <w:sz w:val="20"/>
                <w:szCs w:val="20"/>
                <w:lang w:val="en-GB"/>
              </w:rPr>
            </w:pPr>
            <w:r w:rsidRPr="008463F3">
              <w:rPr>
                <w:color w:val="000000"/>
                <w:sz w:val="20"/>
                <w:szCs w:val="20"/>
                <w:lang w:val="en-GB"/>
              </w:rPr>
              <w:t>20</w:t>
            </w:r>
          </w:p>
        </w:tc>
        <w:tc>
          <w:tcPr>
            <w:tcW w:w="1102" w:type="dxa"/>
            <w:tcBorders>
              <w:top w:val="nil"/>
              <w:left w:val="nil"/>
              <w:bottom w:val="single" w:sz="4" w:space="0" w:color="auto"/>
              <w:right w:val="single" w:sz="4" w:space="0" w:color="auto"/>
            </w:tcBorders>
            <w:shd w:val="clear" w:color="auto" w:fill="auto"/>
            <w:noWrap/>
            <w:vAlign w:val="center"/>
          </w:tcPr>
          <w:p w14:paraId="745CA698" w14:textId="77777777" w:rsidR="007947BF" w:rsidRPr="008463F3" w:rsidRDefault="007947BF" w:rsidP="00DA2AFC">
            <w:pPr>
              <w:jc w:val="center"/>
              <w:rPr>
                <w:color w:val="000000"/>
                <w:sz w:val="20"/>
                <w:szCs w:val="20"/>
                <w:lang w:val="en-GB"/>
              </w:rPr>
            </w:pPr>
            <w:r w:rsidRPr="008463F3">
              <w:rPr>
                <w:color w:val="000000"/>
                <w:sz w:val="20"/>
                <w:szCs w:val="20"/>
                <w:lang w:val="en-GB"/>
              </w:rPr>
              <w:t> </w:t>
            </w:r>
          </w:p>
        </w:tc>
      </w:tr>
      <w:tr w:rsidR="007947BF" w:rsidRPr="008463F3" w14:paraId="568F25D0" w14:textId="77777777" w:rsidTr="00DA2AFC">
        <w:tc>
          <w:tcPr>
            <w:tcW w:w="2312" w:type="dxa"/>
            <w:vMerge/>
            <w:tcBorders>
              <w:left w:val="single" w:sz="4" w:space="0" w:color="auto"/>
              <w:bottom w:val="single" w:sz="4" w:space="0" w:color="auto"/>
              <w:right w:val="single" w:sz="4" w:space="0" w:color="auto"/>
            </w:tcBorders>
            <w:vAlign w:val="center"/>
          </w:tcPr>
          <w:p w14:paraId="62C1EFB0"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tcPr>
          <w:p w14:paraId="45152222"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48</w:t>
            </w:r>
          </w:p>
        </w:tc>
        <w:tc>
          <w:tcPr>
            <w:tcW w:w="4536" w:type="dxa"/>
            <w:tcBorders>
              <w:top w:val="nil"/>
              <w:left w:val="nil"/>
              <w:bottom w:val="single" w:sz="4" w:space="0" w:color="auto"/>
              <w:right w:val="single" w:sz="4" w:space="0" w:color="auto"/>
            </w:tcBorders>
            <w:shd w:val="clear" w:color="auto" w:fill="auto"/>
            <w:noWrap/>
          </w:tcPr>
          <w:p w14:paraId="56CB3B1B" w14:textId="77777777" w:rsidR="007947BF" w:rsidRPr="008463F3" w:rsidRDefault="007947BF" w:rsidP="00DA2AFC">
            <w:pPr>
              <w:spacing w:after="0" w:line="240" w:lineRule="auto"/>
              <w:rPr>
                <w:rFonts w:eastAsia="Times New Roman" w:cs="Times New Roman"/>
                <w:color w:val="000000"/>
                <w:sz w:val="20"/>
                <w:szCs w:val="20"/>
                <w:lang w:val="en-GB" w:eastAsia="sr-Latn-RS"/>
              </w:rPr>
            </w:pPr>
            <w:proofErr w:type="spellStart"/>
            <w:r w:rsidRPr="008463F3">
              <w:rPr>
                <w:color w:val="000000"/>
                <w:sz w:val="20"/>
                <w:szCs w:val="20"/>
                <w:lang w:val="en-GB"/>
              </w:rPr>
              <w:t>Miniseq</w:t>
            </w:r>
            <w:proofErr w:type="spellEnd"/>
            <w:r w:rsidRPr="008463F3">
              <w:rPr>
                <w:color w:val="000000"/>
                <w:sz w:val="20"/>
                <w:szCs w:val="20"/>
                <w:lang w:val="en-GB"/>
              </w:rPr>
              <w:t xml:space="preserve"> system for NGS, Illumina</w:t>
            </w:r>
          </w:p>
        </w:tc>
        <w:tc>
          <w:tcPr>
            <w:tcW w:w="1275" w:type="dxa"/>
            <w:tcBorders>
              <w:top w:val="nil"/>
              <w:left w:val="nil"/>
              <w:bottom w:val="single" w:sz="4" w:space="0" w:color="auto"/>
              <w:right w:val="single" w:sz="4" w:space="0" w:color="auto"/>
            </w:tcBorders>
            <w:shd w:val="clear" w:color="auto" w:fill="auto"/>
            <w:noWrap/>
          </w:tcPr>
          <w:p w14:paraId="4DA762F5"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50.000</w:t>
            </w:r>
          </w:p>
        </w:tc>
        <w:tc>
          <w:tcPr>
            <w:tcW w:w="1134" w:type="dxa"/>
            <w:tcBorders>
              <w:top w:val="nil"/>
              <w:left w:val="nil"/>
              <w:bottom w:val="single" w:sz="4" w:space="0" w:color="auto"/>
              <w:right w:val="single" w:sz="4" w:space="0" w:color="auto"/>
            </w:tcBorders>
            <w:shd w:val="clear" w:color="auto" w:fill="auto"/>
            <w:noWrap/>
          </w:tcPr>
          <w:p w14:paraId="298C3D47"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2017</w:t>
            </w:r>
          </w:p>
        </w:tc>
        <w:tc>
          <w:tcPr>
            <w:tcW w:w="2839" w:type="dxa"/>
            <w:tcBorders>
              <w:top w:val="nil"/>
              <w:left w:val="nil"/>
              <w:bottom w:val="single" w:sz="4" w:space="0" w:color="auto"/>
              <w:right w:val="single" w:sz="4" w:space="0" w:color="auto"/>
            </w:tcBorders>
            <w:shd w:val="clear" w:color="auto" w:fill="auto"/>
          </w:tcPr>
          <w:p w14:paraId="04179255"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Own funds</w:t>
            </w:r>
          </w:p>
        </w:tc>
        <w:tc>
          <w:tcPr>
            <w:tcW w:w="1125" w:type="dxa"/>
            <w:tcBorders>
              <w:top w:val="nil"/>
              <w:left w:val="nil"/>
              <w:bottom w:val="single" w:sz="4" w:space="0" w:color="auto"/>
              <w:right w:val="single" w:sz="4" w:space="0" w:color="auto"/>
            </w:tcBorders>
            <w:shd w:val="clear" w:color="auto" w:fill="auto"/>
            <w:noWrap/>
            <w:vAlign w:val="center"/>
          </w:tcPr>
          <w:p w14:paraId="17556993"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20</w:t>
            </w:r>
          </w:p>
        </w:tc>
        <w:tc>
          <w:tcPr>
            <w:tcW w:w="1102" w:type="dxa"/>
            <w:tcBorders>
              <w:top w:val="nil"/>
              <w:left w:val="nil"/>
              <w:bottom w:val="single" w:sz="4" w:space="0" w:color="auto"/>
              <w:right w:val="single" w:sz="4" w:space="0" w:color="auto"/>
            </w:tcBorders>
            <w:shd w:val="clear" w:color="auto" w:fill="auto"/>
            <w:noWrap/>
            <w:vAlign w:val="center"/>
          </w:tcPr>
          <w:p w14:paraId="42BFE3B3"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 </w:t>
            </w:r>
          </w:p>
        </w:tc>
      </w:tr>
      <w:tr w:rsidR="007947BF" w:rsidRPr="008463F3" w14:paraId="72B12C2C" w14:textId="77777777" w:rsidTr="00DA2AFC">
        <w:tc>
          <w:tcPr>
            <w:tcW w:w="2312" w:type="dxa"/>
            <w:vMerge w:val="restart"/>
            <w:tcBorders>
              <w:top w:val="nil"/>
              <w:left w:val="single" w:sz="4" w:space="0" w:color="auto"/>
              <w:right w:val="single" w:sz="4" w:space="0" w:color="auto"/>
            </w:tcBorders>
            <w:vAlign w:val="center"/>
          </w:tcPr>
          <w:p w14:paraId="4CAA89F5" w14:textId="77777777" w:rsidR="007947BF" w:rsidRPr="008463F3" w:rsidRDefault="007947BF" w:rsidP="00DA2AFC">
            <w:pPr>
              <w:jc w:val="center"/>
              <w:rPr>
                <w:color w:val="000000"/>
                <w:sz w:val="20"/>
                <w:szCs w:val="20"/>
                <w:lang w:val="en-GB"/>
              </w:rPr>
            </w:pPr>
            <w:r w:rsidRPr="008463F3">
              <w:rPr>
                <w:color w:val="000000"/>
                <w:sz w:val="20"/>
                <w:szCs w:val="20"/>
                <w:lang w:val="en-GB"/>
              </w:rPr>
              <w:t>UKIM, Faculty of Pharmacy, Centr</w:t>
            </w:r>
            <w:r>
              <w:rPr>
                <w:color w:val="000000"/>
                <w:sz w:val="20"/>
                <w:szCs w:val="20"/>
                <w:lang w:val="en-GB"/>
              </w:rPr>
              <w:t>e</w:t>
            </w:r>
            <w:r w:rsidRPr="008463F3">
              <w:rPr>
                <w:color w:val="000000"/>
                <w:sz w:val="20"/>
                <w:szCs w:val="20"/>
                <w:lang w:val="en-GB"/>
              </w:rPr>
              <w:t xml:space="preserve"> for </w:t>
            </w:r>
            <w:r>
              <w:rPr>
                <w:color w:val="000000"/>
                <w:sz w:val="20"/>
                <w:szCs w:val="20"/>
                <w:lang w:val="en-GB"/>
              </w:rPr>
              <w:t>N</w:t>
            </w:r>
            <w:r w:rsidRPr="008463F3">
              <w:rPr>
                <w:color w:val="000000"/>
                <w:sz w:val="20"/>
                <w:szCs w:val="20"/>
                <w:lang w:val="en-GB"/>
              </w:rPr>
              <w:t xml:space="preserve">atural </w:t>
            </w:r>
            <w:r>
              <w:rPr>
                <w:color w:val="000000"/>
                <w:sz w:val="20"/>
                <w:szCs w:val="20"/>
                <w:lang w:val="en-GB"/>
              </w:rPr>
              <w:t>P</w:t>
            </w:r>
            <w:r w:rsidRPr="008463F3">
              <w:rPr>
                <w:color w:val="000000"/>
                <w:sz w:val="20"/>
                <w:szCs w:val="20"/>
                <w:lang w:val="en-GB"/>
              </w:rPr>
              <w:t xml:space="preserve">roducts </w:t>
            </w:r>
          </w:p>
        </w:tc>
        <w:tc>
          <w:tcPr>
            <w:tcW w:w="397" w:type="dxa"/>
            <w:tcBorders>
              <w:top w:val="nil"/>
              <w:left w:val="nil"/>
              <w:bottom w:val="single" w:sz="4" w:space="0" w:color="auto"/>
              <w:right w:val="single" w:sz="4" w:space="0" w:color="auto"/>
            </w:tcBorders>
            <w:shd w:val="clear" w:color="auto" w:fill="auto"/>
          </w:tcPr>
          <w:p w14:paraId="457B5D56" w14:textId="77777777" w:rsidR="007947BF" w:rsidRPr="008463F3" w:rsidRDefault="007947BF" w:rsidP="00DA2AFC">
            <w:pPr>
              <w:jc w:val="center"/>
              <w:rPr>
                <w:color w:val="000000"/>
                <w:sz w:val="20"/>
                <w:szCs w:val="20"/>
                <w:lang w:val="en-GB"/>
              </w:rPr>
            </w:pPr>
            <w:r w:rsidRPr="008463F3">
              <w:rPr>
                <w:color w:val="000000"/>
                <w:sz w:val="20"/>
                <w:szCs w:val="20"/>
                <w:lang w:val="en-GB"/>
              </w:rPr>
              <w:t>49</w:t>
            </w:r>
          </w:p>
        </w:tc>
        <w:tc>
          <w:tcPr>
            <w:tcW w:w="4536" w:type="dxa"/>
            <w:tcBorders>
              <w:top w:val="nil"/>
              <w:left w:val="nil"/>
              <w:bottom w:val="single" w:sz="4" w:space="0" w:color="auto"/>
              <w:right w:val="single" w:sz="4" w:space="0" w:color="auto"/>
            </w:tcBorders>
            <w:shd w:val="clear" w:color="auto" w:fill="auto"/>
            <w:noWrap/>
          </w:tcPr>
          <w:p w14:paraId="28B88436" w14:textId="77777777" w:rsidR="007947BF" w:rsidRPr="008463F3" w:rsidRDefault="007947BF" w:rsidP="00DA2AFC">
            <w:pPr>
              <w:rPr>
                <w:color w:val="000000"/>
                <w:sz w:val="20"/>
                <w:szCs w:val="20"/>
                <w:lang w:val="en-GB"/>
              </w:rPr>
            </w:pPr>
            <w:r w:rsidRPr="008463F3">
              <w:rPr>
                <w:color w:val="000000"/>
                <w:sz w:val="20"/>
                <w:szCs w:val="20"/>
                <w:lang w:val="en-GB"/>
              </w:rPr>
              <w:t>Agilent 7890A Gas Chromatograph coupled to an Agilent 5975C Quadrupole Mass Detector (Agilent Technologies, USA) and Shimadzu AOC 5000 Plus Headspace autosampler (Shimadzu Corporation, Japan)</w:t>
            </w:r>
          </w:p>
        </w:tc>
        <w:tc>
          <w:tcPr>
            <w:tcW w:w="1275" w:type="dxa"/>
            <w:tcBorders>
              <w:top w:val="nil"/>
              <w:left w:val="nil"/>
              <w:bottom w:val="single" w:sz="4" w:space="0" w:color="auto"/>
              <w:right w:val="single" w:sz="4" w:space="0" w:color="auto"/>
            </w:tcBorders>
            <w:shd w:val="clear" w:color="auto" w:fill="auto"/>
            <w:noWrap/>
          </w:tcPr>
          <w:p w14:paraId="49B4C889" w14:textId="77777777" w:rsidR="007947BF" w:rsidRPr="008463F3" w:rsidRDefault="007947BF" w:rsidP="00DA2AFC">
            <w:pPr>
              <w:jc w:val="center"/>
              <w:rPr>
                <w:color w:val="000000"/>
                <w:sz w:val="20"/>
                <w:szCs w:val="20"/>
                <w:lang w:val="en-GB"/>
              </w:rPr>
            </w:pPr>
            <w:r w:rsidRPr="008463F3">
              <w:rPr>
                <w:color w:val="000000"/>
                <w:sz w:val="20"/>
                <w:szCs w:val="20"/>
                <w:lang w:val="en-GB"/>
              </w:rPr>
              <w:t>105.000</w:t>
            </w:r>
          </w:p>
        </w:tc>
        <w:tc>
          <w:tcPr>
            <w:tcW w:w="1134" w:type="dxa"/>
            <w:tcBorders>
              <w:top w:val="nil"/>
              <w:left w:val="nil"/>
              <w:bottom w:val="single" w:sz="4" w:space="0" w:color="auto"/>
              <w:right w:val="single" w:sz="4" w:space="0" w:color="auto"/>
            </w:tcBorders>
            <w:shd w:val="clear" w:color="auto" w:fill="auto"/>
            <w:noWrap/>
          </w:tcPr>
          <w:p w14:paraId="377DFD19" w14:textId="77777777" w:rsidR="007947BF" w:rsidRPr="008463F3" w:rsidRDefault="007947BF" w:rsidP="00DA2AFC">
            <w:pPr>
              <w:jc w:val="center"/>
              <w:rPr>
                <w:color w:val="000000"/>
                <w:sz w:val="20"/>
                <w:szCs w:val="20"/>
                <w:lang w:val="en-GB"/>
              </w:rPr>
            </w:pPr>
            <w:r w:rsidRPr="008463F3">
              <w:rPr>
                <w:color w:val="000000"/>
                <w:sz w:val="20"/>
                <w:szCs w:val="20"/>
                <w:lang w:val="en-GB"/>
              </w:rPr>
              <w:t>2006</w:t>
            </w:r>
          </w:p>
        </w:tc>
        <w:tc>
          <w:tcPr>
            <w:tcW w:w="2839" w:type="dxa"/>
            <w:tcBorders>
              <w:top w:val="nil"/>
              <w:left w:val="nil"/>
              <w:bottom w:val="single" w:sz="4" w:space="0" w:color="auto"/>
              <w:right w:val="single" w:sz="4" w:space="0" w:color="auto"/>
            </w:tcBorders>
            <w:shd w:val="clear" w:color="auto" w:fill="auto"/>
          </w:tcPr>
          <w:p w14:paraId="77636CF0" w14:textId="77777777" w:rsidR="007947BF" w:rsidRPr="008463F3" w:rsidRDefault="007947BF" w:rsidP="00DA2AFC">
            <w:pPr>
              <w:jc w:val="center"/>
              <w:rPr>
                <w:color w:val="000000"/>
                <w:sz w:val="20"/>
                <w:szCs w:val="20"/>
                <w:lang w:val="en-GB"/>
              </w:rPr>
            </w:pPr>
            <w:r w:rsidRPr="008463F3">
              <w:rPr>
                <w:color w:val="000000"/>
                <w:sz w:val="20"/>
                <w:szCs w:val="20"/>
                <w:lang w:val="en-GB"/>
              </w:rPr>
              <w:t>Own funds</w:t>
            </w:r>
          </w:p>
        </w:tc>
        <w:tc>
          <w:tcPr>
            <w:tcW w:w="1125" w:type="dxa"/>
            <w:tcBorders>
              <w:top w:val="nil"/>
              <w:left w:val="nil"/>
              <w:bottom w:val="single" w:sz="4" w:space="0" w:color="auto"/>
              <w:right w:val="single" w:sz="4" w:space="0" w:color="auto"/>
            </w:tcBorders>
            <w:shd w:val="clear" w:color="auto" w:fill="auto"/>
            <w:noWrap/>
            <w:vAlign w:val="center"/>
          </w:tcPr>
          <w:p w14:paraId="3C57309E" w14:textId="77777777" w:rsidR="007947BF" w:rsidRPr="008463F3" w:rsidRDefault="007947BF" w:rsidP="00DA2AFC">
            <w:pPr>
              <w:jc w:val="center"/>
              <w:rPr>
                <w:color w:val="000000"/>
                <w:sz w:val="20"/>
                <w:szCs w:val="20"/>
                <w:lang w:val="en-GB"/>
              </w:rPr>
            </w:pPr>
            <w:r w:rsidRPr="008463F3">
              <w:rPr>
                <w:color w:val="000000"/>
                <w:sz w:val="20"/>
                <w:szCs w:val="20"/>
                <w:lang w:val="en-GB"/>
              </w:rPr>
              <w:t>20</w:t>
            </w:r>
          </w:p>
        </w:tc>
        <w:tc>
          <w:tcPr>
            <w:tcW w:w="1102" w:type="dxa"/>
            <w:tcBorders>
              <w:top w:val="nil"/>
              <w:left w:val="nil"/>
              <w:bottom w:val="single" w:sz="4" w:space="0" w:color="auto"/>
              <w:right w:val="single" w:sz="4" w:space="0" w:color="auto"/>
            </w:tcBorders>
            <w:shd w:val="clear" w:color="auto" w:fill="auto"/>
            <w:noWrap/>
            <w:vAlign w:val="center"/>
          </w:tcPr>
          <w:p w14:paraId="77F0F9EF" w14:textId="77777777" w:rsidR="007947BF" w:rsidRPr="008463F3" w:rsidRDefault="007947BF" w:rsidP="00DA2AFC">
            <w:pPr>
              <w:jc w:val="center"/>
              <w:rPr>
                <w:color w:val="000000"/>
                <w:sz w:val="20"/>
                <w:szCs w:val="20"/>
                <w:lang w:val="en-GB"/>
              </w:rPr>
            </w:pPr>
            <w:r w:rsidRPr="008463F3">
              <w:rPr>
                <w:color w:val="000000"/>
                <w:sz w:val="20"/>
                <w:szCs w:val="20"/>
                <w:lang w:val="en-GB"/>
              </w:rPr>
              <w:t> </w:t>
            </w:r>
          </w:p>
        </w:tc>
      </w:tr>
      <w:tr w:rsidR="007947BF" w:rsidRPr="008463F3" w14:paraId="2F619699" w14:textId="77777777" w:rsidTr="00DA2AFC">
        <w:tc>
          <w:tcPr>
            <w:tcW w:w="2312" w:type="dxa"/>
            <w:vMerge/>
            <w:tcBorders>
              <w:left w:val="single" w:sz="4" w:space="0" w:color="auto"/>
              <w:bottom w:val="single" w:sz="4" w:space="0" w:color="auto"/>
              <w:right w:val="single" w:sz="4" w:space="0" w:color="auto"/>
            </w:tcBorders>
            <w:vAlign w:val="center"/>
          </w:tcPr>
          <w:p w14:paraId="11F898FC"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tcPr>
          <w:p w14:paraId="0911BEE9"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50</w:t>
            </w:r>
          </w:p>
        </w:tc>
        <w:tc>
          <w:tcPr>
            <w:tcW w:w="4536" w:type="dxa"/>
            <w:tcBorders>
              <w:top w:val="nil"/>
              <w:left w:val="nil"/>
              <w:bottom w:val="single" w:sz="4" w:space="0" w:color="auto"/>
              <w:right w:val="single" w:sz="4" w:space="0" w:color="auto"/>
            </w:tcBorders>
            <w:shd w:val="clear" w:color="auto" w:fill="auto"/>
            <w:noWrap/>
          </w:tcPr>
          <w:p w14:paraId="08D5AF70"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color w:val="000000"/>
                <w:sz w:val="20"/>
                <w:szCs w:val="20"/>
                <w:lang w:val="en-GB"/>
              </w:rPr>
              <w:t>Agilent 1200 Series HPLC System equipped with quaternary pump G1311A, autosampler G1329A, degasser G1322A, column thermostat G1316A and UV-Vis detector with a series of diode G1315D (Agilent Technologies, USA)</w:t>
            </w:r>
          </w:p>
        </w:tc>
        <w:tc>
          <w:tcPr>
            <w:tcW w:w="1275" w:type="dxa"/>
            <w:tcBorders>
              <w:top w:val="nil"/>
              <w:left w:val="nil"/>
              <w:bottom w:val="single" w:sz="4" w:space="0" w:color="auto"/>
              <w:right w:val="single" w:sz="4" w:space="0" w:color="auto"/>
            </w:tcBorders>
            <w:shd w:val="clear" w:color="auto" w:fill="auto"/>
            <w:noWrap/>
          </w:tcPr>
          <w:p w14:paraId="08B81769"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80.491</w:t>
            </w:r>
          </w:p>
        </w:tc>
        <w:tc>
          <w:tcPr>
            <w:tcW w:w="1134" w:type="dxa"/>
            <w:tcBorders>
              <w:top w:val="nil"/>
              <w:left w:val="nil"/>
              <w:bottom w:val="single" w:sz="4" w:space="0" w:color="auto"/>
              <w:right w:val="single" w:sz="4" w:space="0" w:color="auto"/>
            </w:tcBorders>
            <w:shd w:val="clear" w:color="auto" w:fill="auto"/>
            <w:noWrap/>
          </w:tcPr>
          <w:p w14:paraId="1966C1B5"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2007</w:t>
            </w:r>
          </w:p>
        </w:tc>
        <w:tc>
          <w:tcPr>
            <w:tcW w:w="2839" w:type="dxa"/>
            <w:tcBorders>
              <w:top w:val="nil"/>
              <w:left w:val="nil"/>
              <w:bottom w:val="single" w:sz="4" w:space="0" w:color="auto"/>
              <w:right w:val="single" w:sz="4" w:space="0" w:color="auto"/>
            </w:tcBorders>
            <w:shd w:val="clear" w:color="auto" w:fill="auto"/>
          </w:tcPr>
          <w:p w14:paraId="1621F6D4"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Own funds</w:t>
            </w:r>
          </w:p>
        </w:tc>
        <w:tc>
          <w:tcPr>
            <w:tcW w:w="1125" w:type="dxa"/>
            <w:tcBorders>
              <w:top w:val="nil"/>
              <w:left w:val="nil"/>
              <w:bottom w:val="single" w:sz="4" w:space="0" w:color="auto"/>
              <w:right w:val="single" w:sz="4" w:space="0" w:color="auto"/>
            </w:tcBorders>
            <w:shd w:val="clear" w:color="auto" w:fill="auto"/>
            <w:noWrap/>
            <w:vAlign w:val="center"/>
          </w:tcPr>
          <w:p w14:paraId="3006CDBA"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20</w:t>
            </w:r>
          </w:p>
        </w:tc>
        <w:tc>
          <w:tcPr>
            <w:tcW w:w="1102" w:type="dxa"/>
            <w:tcBorders>
              <w:top w:val="nil"/>
              <w:left w:val="nil"/>
              <w:bottom w:val="single" w:sz="4" w:space="0" w:color="auto"/>
              <w:right w:val="single" w:sz="4" w:space="0" w:color="auto"/>
            </w:tcBorders>
            <w:shd w:val="clear" w:color="auto" w:fill="auto"/>
            <w:noWrap/>
            <w:vAlign w:val="center"/>
          </w:tcPr>
          <w:p w14:paraId="100F2094"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color w:val="000000"/>
                <w:sz w:val="20"/>
                <w:szCs w:val="20"/>
                <w:lang w:val="en-GB"/>
              </w:rPr>
              <w:t> </w:t>
            </w:r>
          </w:p>
        </w:tc>
      </w:tr>
      <w:tr w:rsidR="007947BF" w:rsidRPr="008463F3" w14:paraId="646255A1" w14:textId="77777777" w:rsidTr="00DA2AFC">
        <w:tc>
          <w:tcPr>
            <w:tcW w:w="2312" w:type="dxa"/>
            <w:vMerge w:val="restart"/>
            <w:tcBorders>
              <w:top w:val="nil"/>
              <w:left w:val="single" w:sz="4" w:space="0" w:color="auto"/>
              <w:bottom w:val="single" w:sz="4" w:space="0" w:color="auto"/>
              <w:right w:val="single" w:sz="4" w:space="0" w:color="auto"/>
            </w:tcBorders>
            <w:shd w:val="clear" w:color="auto" w:fill="auto"/>
            <w:vAlign w:val="center"/>
            <w:hideMark/>
          </w:tcPr>
          <w:p w14:paraId="4DDB3456"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xml:space="preserve">UKIM, Faculty of Design and Technologies of Furniture and Interior, </w:t>
            </w:r>
            <w:r>
              <w:rPr>
                <w:rFonts w:eastAsia="Times New Roman" w:cs="Times New Roman"/>
                <w:color w:val="000000"/>
                <w:sz w:val="20"/>
                <w:szCs w:val="20"/>
                <w:lang w:val="en-GB" w:eastAsia="sr-Latn-RS"/>
              </w:rPr>
              <w:t xml:space="preserve">Furniture Testing </w:t>
            </w:r>
            <w:r w:rsidRPr="008463F3">
              <w:rPr>
                <w:rFonts w:eastAsia="Times New Roman" w:cs="Times New Roman"/>
                <w:color w:val="000000"/>
                <w:sz w:val="20"/>
                <w:szCs w:val="20"/>
                <w:lang w:val="en-GB" w:eastAsia="sr-Latn-RS"/>
              </w:rPr>
              <w:t xml:space="preserve">Laboratory </w:t>
            </w:r>
          </w:p>
        </w:tc>
        <w:tc>
          <w:tcPr>
            <w:tcW w:w="397" w:type="dxa"/>
            <w:tcBorders>
              <w:top w:val="nil"/>
              <w:left w:val="nil"/>
              <w:bottom w:val="single" w:sz="4" w:space="0" w:color="auto"/>
              <w:right w:val="single" w:sz="4" w:space="0" w:color="auto"/>
            </w:tcBorders>
            <w:shd w:val="clear" w:color="auto" w:fill="auto"/>
            <w:hideMark/>
          </w:tcPr>
          <w:p w14:paraId="6D73AF64"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51</w:t>
            </w:r>
          </w:p>
        </w:tc>
        <w:tc>
          <w:tcPr>
            <w:tcW w:w="4536" w:type="dxa"/>
            <w:tcBorders>
              <w:top w:val="nil"/>
              <w:left w:val="nil"/>
              <w:bottom w:val="single" w:sz="4" w:space="0" w:color="auto"/>
              <w:right w:val="single" w:sz="4" w:space="0" w:color="auto"/>
            </w:tcBorders>
            <w:shd w:val="clear" w:color="auto" w:fill="auto"/>
            <w:hideMark/>
          </w:tcPr>
          <w:p w14:paraId="0A1C7B9A"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KS 3040/650 PC-</w:t>
            </w:r>
            <w:proofErr w:type="spellStart"/>
            <w:r w:rsidRPr="008463F3">
              <w:rPr>
                <w:rFonts w:eastAsia="Times New Roman" w:cs="Times New Roman"/>
                <w:color w:val="000000"/>
                <w:sz w:val="20"/>
                <w:szCs w:val="20"/>
                <w:lang w:val="en-GB" w:eastAsia="sr-Latn-RS"/>
              </w:rPr>
              <w:t>xp</w:t>
            </w:r>
            <w:proofErr w:type="spellEnd"/>
            <w:r w:rsidRPr="008463F3">
              <w:rPr>
                <w:rFonts w:eastAsia="Times New Roman" w:cs="Times New Roman"/>
                <w:color w:val="000000"/>
                <w:sz w:val="20"/>
                <w:szCs w:val="20"/>
                <w:lang w:val="en-GB" w:eastAsia="sr-Latn-RS"/>
              </w:rPr>
              <w:t xml:space="preserve"> </w:t>
            </w:r>
            <w:proofErr w:type="spellStart"/>
            <w:r w:rsidRPr="008463F3">
              <w:rPr>
                <w:rFonts w:eastAsia="Times New Roman" w:cs="Times New Roman"/>
                <w:color w:val="000000"/>
                <w:sz w:val="20"/>
                <w:szCs w:val="20"/>
                <w:lang w:val="en-GB" w:eastAsia="sr-Latn-RS"/>
              </w:rPr>
              <w:t>K.Schulten</w:t>
            </w:r>
            <w:proofErr w:type="spellEnd"/>
            <w:r w:rsidRPr="008463F3">
              <w:rPr>
                <w:rFonts w:eastAsia="Times New Roman" w:cs="Times New Roman"/>
                <w:color w:val="000000"/>
                <w:sz w:val="20"/>
                <w:szCs w:val="20"/>
                <w:lang w:val="en-GB" w:eastAsia="sr-Latn-RS"/>
              </w:rPr>
              <w:t xml:space="preserve"> </w:t>
            </w:r>
            <w:proofErr w:type="spellStart"/>
            <w:r w:rsidRPr="008463F3">
              <w:rPr>
                <w:rFonts w:eastAsia="Times New Roman" w:cs="Times New Roman"/>
                <w:color w:val="000000"/>
                <w:sz w:val="20"/>
                <w:szCs w:val="20"/>
                <w:lang w:val="en-GB" w:eastAsia="sr-Latn-RS"/>
              </w:rPr>
              <w:t>GmbH&amp;Co</w:t>
            </w:r>
            <w:proofErr w:type="spellEnd"/>
            <w:r w:rsidRPr="008463F3">
              <w:rPr>
                <w:rFonts w:eastAsia="Times New Roman" w:cs="Times New Roman"/>
                <w:color w:val="000000"/>
                <w:sz w:val="20"/>
                <w:szCs w:val="20"/>
                <w:lang w:val="en-GB" w:eastAsia="sr-Latn-RS"/>
              </w:rPr>
              <w:t>. KG</w:t>
            </w:r>
          </w:p>
        </w:tc>
        <w:tc>
          <w:tcPr>
            <w:tcW w:w="1275" w:type="dxa"/>
            <w:tcBorders>
              <w:top w:val="nil"/>
              <w:left w:val="nil"/>
              <w:bottom w:val="single" w:sz="4" w:space="0" w:color="auto"/>
              <w:right w:val="single" w:sz="4" w:space="0" w:color="auto"/>
            </w:tcBorders>
            <w:shd w:val="clear" w:color="auto" w:fill="auto"/>
            <w:noWrap/>
            <w:hideMark/>
          </w:tcPr>
          <w:p w14:paraId="01BE888F"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107.400</w:t>
            </w:r>
          </w:p>
        </w:tc>
        <w:tc>
          <w:tcPr>
            <w:tcW w:w="1134" w:type="dxa"/>
            <w:tcBorders>
              <w:top w:val="nil"/>
              <w:left w:val="nil"/>
              <w:bottom w:val="single" w:sz="4" w:space="0" w:color="auto"/>
              <w:right w:val="single" w:sz="4" w:space="0" w:color="auto"/>
            </w:tcBorders>
            <w:shd w:val="clear" w:color="auto" w:fill="auto"/>
            <w:noWrap/>
            <w:hideMark/>
          </w:tcPr>
          <w:p w14:paraId="05897F9D"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2009</w:t>
            </w:r>
          </w:p>
        </w:tc>
        <w:tc>
          <w:tcPr>
            <w:tcW w:w="2839" w:type="dxa"/>
            <w:tcBorders>
              <w:top w:val="nil"/>
              <w:left w:val="nil"/>
              <w:bottom w:val="single" w:sz="4" w:space="0" w:color="auto"/>
              <w:right w:val="single" w:sz="4" w:space="0" w:color="auto"/>
            </w:tcBorders>
            <w:shd w:val="clear" w:color="auto" w:fill="auto"/>
            <w:hideMark/>
          </w:tcPr>
          <w:p w14:paraId="06F15D38"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(2014)</w:t>
            </w:r>
            <w:r>
              <w:rPr>
                <w:rFonts w:eastAsia="Times New Roman" w:cs="Times New Roman"/>
                <w:color w:val="000000"/>
                <w:sz w:val="20"/>
                <w:szCs w:val="20"/>
                <w:lang w:val="en-GB" w:eastAsia="sr-Latn-RS"/>
              </w:rPr>
              <w:t xml:space="preserve"> </w:t>
            </w:r>
            <w:r w:rsidRPr="008463F3">
              <w:rPr>
                <w:rFonts w:eastAsia="Times New Roman" w:cs="Times New Roman"/>
                <w:color w:val="000000"/>
                <w:sz w:val="20"/>
                <w:szCs w:val="20"/>
                <w:lang w:val="en-GB" w:eastAsia="sr-Latn-RS"/>
              </w:rPr>
              <w:t>Faculty of Forest Sciences 03-325/1 19.08.2014</w:t>
            </w:r>
          </w:p>
        </w:tc>
        <w:tc>
          <w:tcPr>
            <w:tcW w:w="1125" w:type="dxa"/>
            <w:tcBorders>
              <w:top w:val="nil"/>
              <w:left w:val="nil"/>
              <w:bottom w:val="single" w:sz="4" w:space="0" w:color="auto"/>
              <w:right w:val="single" w:sz="4" w:space="0" w:color="auto"/>
            </w:tcBorders>
            <w:shd w:val="clear" w:color="auto" w:fill="auto"/>
            <w:noWrap/>
            <w:vAlign w:val="center"/>
            <w:hideMark/>
          </w:tcPr>
          <w:p w14:paraId="7491D3C5"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 yrs.</w:t>
            </w:r>
          </w:p>
        </w:tc>
        <w:tc>
          <w:tcPr>
            <w:tcW w:w="1102" w:type="dxa"/>
            <w:tcBorders>
              <w:top w:val="nil"/>
              <w:left w:val="nil"/>
              <w:bottom w:val="single" w:sz="4" w:space="0" w:color="auto"/>
              <w:right w:val="single" w:sz="4" w:space="0" w:color="auto"/>
            </w:tcBorders>
            <w:shd w:val="clear" w:color="auto" w:fill="auto"/>
            <w:noWrap/>
            <w:vAlign w:val="center"/>
            <w:hideMark/>
          </w:tcPr>
          <w:p w14:paraId="1976247C"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10</w:t>
            </w:r>
          </w:p>
        </w:tc>
      </w:tr>
      <w:tr w:rsidR="007947BF" w:rsidRPr="008463F3" w14:paraId="4D875885" w14:textId="77777777" w:rsidTr="00DA2AFC">
        <w:tc>
          <w:tcPr>
            <w:tcW w:w="2312" w:type="dxa"/>
            <w:vMerge/>
            <w:tcBorders>
              <w:top w:val="nil"/>
              <w:left w:val="single" w:sz="4" w:space="0" w:color="auto"/>
              <w:bottom w:val="single" w:sz="4" w:space="0" w:color="auto"/>
              <w:right w:val="single" w:sz="4" w:space="0" w:color="auto"/>
            </w:tcBorders>
            <w:vAlign w:val="center"/>
            <w:hideMark/>
          </w:tcPr>
          <w:p w14:paraId="2B7BDE40"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4A0A1225"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52</w:t>
            </w:r>
          </w:p>
        </w:tc>
        <w:tc>
          <w:tcPr>
            <w:tcW w:w="4536" w:type="dxa"/>
            <w:tcBorders>
              <w:top w:val="nil"/>
              <w:left w:val="nil"/>
              <w:bottom w:val="single" w:sz="4" w:space="0" w:color="auto"/>
              <w:right w:val="single" w:sz="4" w:space="0" w:color="auto"/>
            </w:tcBorders>
            <w:shd w:val="clear" w:color="auto" w:fill="auto"/>
            <w:hideMark/>
          </w:tcPr>
          <w:p w14:paraId="7F66E78F"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WEINMANN (SEAD-BACK TEST SYSTEM, SIDE TO SIDE TEST SYSTEM FURNITURE, MATTRESS</w:t>
            </w:r>
            <w:r>
              <w:rPr>
                <w:rFonts w:eastAsia="Times New Roman" w:cs="Times New Roman"/>
                <w:color w:val="000000"/>
                <w:sz w:val="20"/>
                <w:szCs w:val="20"/>
                <w:lang w:val="en-GB" w:eastAsia="sr-Latn-RS"/>
              </w:rPr>
              <w:t xml:space="preserve"> </w:t>
            </w:r>
            <w:r w:rsidRPr="008463F3">
              <w:rPr>
                <w:rFonts w:eastAsia="Times New Roman" w:cs="Times New Roman"/>
                <w:color w:val="000000"/>
                <w:sz w:val="20"/>
                <w:szCs w:val="20"/>
                <w:lang w:val="en-GB" w:eastAsia="sr-Latn-RS"/>
              </w:rPr>
              <w:t>TESTING PRUFTECHNIK, IMPACT TEST)</w:t>
            </w:r>
          </w:p>
        </w:tc>
        <w:tc>
          <w:tcPr>
            <w:tcW w:w="1275" w:type="dxa"/>
            <w:tcBorders>
              <w:top w:val="nil"/>
              <w:left w:val="nil"/>
              <w:bottom w:val="single" w:sz="4" w:space="0" w:color="auto"/>
              <w:right w:val="single" w:sz="4" w:space="0" w:color="auto"/>
            </w:tcBorders>
            <w:shd w:val="clear" w:color="auto" w:fill="auto"/>
            <w:noWrap/>
            <w:hideMark/>
          </w:tcPr>
          <w:p w14:paraId="29CE5C26"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285.551</w:t>
            </w:r>
          </w:p>
        </w:tc>
        <w:tc>
          <w:tcPr>
            <w:tcW w:w="1134" w:type="dxa"/>
            <w:tcBorders>
              <w:top w:val="nil"/>
              <w:left w:val="nil"/>
              <w:bottom w:val="single" w:sz="4" w:space="0" w:color="auto"/>
              <w:right w:val="single" w:sz="4" w:space="0" w:color="auto"/>
            </w:tcBorders>
            <w:shd w:val="clear" w:color="auto" w:fill="auto"/>
            <w:noWrap/>
            <w:hideMark/>
          </w:tcPr>
          <w:p w14:paraId="6CB1F9BD"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2009</w:t>
            </w:r>
          </w:p>
        </w:tc>
        <w:tc>
          <w:tcPr>
            <w:tcW w:w="2839" w:type="dxa"/>
            <w:tcBorders>
              <w:top w:val="nil"/>
              <w:left w:val="nil"/>
              <w:bottom w:val="single" w:sz="4" w:space="0" w:color="auto"/>
              <w:right w:val="single" w:sz="4" w:space="0" w:color="auto"/>
            </w:tcBorders>
            <w:shd w:val="clear" w:color="auto" w:fill="auto"/>
            <w:hideMark/>
          </w:tcPr>
          <w:p w14:paraId="02C6C2FF"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(2014)</w:t>
            </w:r>
            <w:r>
              <w:rPr>
                <w:rFonts w:eastAsia="Times New Roman" w:cs="Times New Roman"/>
                <w:color w:val="000000"/>
                <w:sz w:val="20"/>
                <w:szCs w:val="20"/>
                <w:lang w:val="en-GB" w:eastAsia="sr-Latn-RS"/>
              </w:rPr>
              <w:t xml:space="preserve"> </w:t>
            </w:r>
            <w:r w:rsidRPr="008463F3">
              <w:rPr>
                <w:rFonts w:eastAsia="Times New Roman" w:cs="Times New Roman"/>
                <w:color w:val="000000"/>
                <w:sz w:val="20"/>
                <w:szCs w:val="20"/>
                <w:lang w:val="en-GB" w:eastAsia="sr-Latn-RS"/>
              </w:rPr>
              <w:t>Faculty of Forest Sciences 03 325/1 19.08.2014</w:t>
            </w:r>
          </w:p>
        </w:tc>
        <w:tc>
          <w:tcPr>
            <w:tcW w:w="1125" w:type="dxa"/>
            <w:tcBorders>
              <w:top w:val="nil"/>
              <w:left w:val="nil"/>
              <w:bottom w:val="single" w:sz="4" w:space="0" w:color="auto"/>
              <w:right w:val="single" w:sz="4" w:space="0" w:color="auto"/>
            </w:tcBorders>
            <w:shd w:val="clear" w:color="auto" w:fill="auto"/>
            <w:noWrap/>
            <w:vAlign w:val="center"/>
            <w:hideMark/>
          </w:tcPr>
          <w:p w14:paraId="1E336384"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 yrs.</w:t>
            </w:r>
          </w:p>
        </w:tc>
        <w:tc>
          <w:tcPr>
            <w:tcW w:w="1102" w:type="dxa"/>
            <w:tcBorders>
              <w:top w:val="nil"/>
              <w:left w:val="nil"/>
              <w:bottom w:val="single" w:sz="4" w:space="0" w:color="auto"/>
              <w:right w:val="single" w:sz="4" w:space="0" w:color="auto"/>
            </w:tcBorders>
            <w:shd w:val="clear" w:color="auto" w:fill="auto"/>
            <w:noWrap/>
            <w:vAlign w:val="center"/>
            <w:hideMark/>
          </w:tcPr>
          <w:p w14:paraId="347D7F3F"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10</w:t>
            </w:r>
          </w:p>
        </w:tc>
      </w:tr>
      <w:tr w:rsidR="007947BF" w:rsidRPr="008463F3" w14:paraId="3AEB2DD4" w14:textId="77777777" w:rsidTr="00DA2AFC">
        <w:tc>
          <w:tcPr>
            <w:tcW w:w="2312" w:type="dxa"/>
            <w:tcBorders>
              <w:top w:val="nil"/>
              <w:left w:val="single" w:sz="4" w:space="0" w:color="auto"/>
              <w:bottom w:val="single" w:sz="4" w:space="0" w:color="auto"/>
              <w:right w:val="single" w:sz="4" w:space="0" w:color="auto"/>
            </w:tcBorders>
            <w:shd w:val="clear" w:color="auto" w:fill="auto"/>
            <w:vAlign w:val="center"/>
            <w:hideMark/>
          </w:tcPr>
          <w:p w14:paraId="5C5BCED7"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br/>
              <w:t>UKIM, Institute of Animal Science</w:t>
            </w:r>
          </w:p>
        </w:tc>
        <w:tc>
          <w:tcPr>
            <w:tcW w:w="397" w:type="dxa"/>
            <w:tcBorders>
              <w:top w:val="nil"/>
              <w:left w:val="nil"/>
              <w:bottom w:val="single" w:sz="4" w:space="0" w:color="auto"/>
              <w:right w:val="single" w:sz="4" w:space="0" w:color="auto"/>
            </w:tcBorders>
            <w:shd w:val="clear" w:color="auto" w:fill="auto"/>
            <w:hideMark/>
          </w:tcPr>
          <w:p w14:paraId="491AF6DB"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53</w:t>
            </w:r>
          </w:p>
        </w:tc>
        <w:tc>
          <w:tcPr>
            <w:tcW w:w="4536" w:type="dxa"/>
            <w:tcBorders>
              <w:top w:val="nil"/>
              <w:left w:val="nil"/>
              <w:bottom w:val="single" w:sz="4" w:space="0" w:color="auto"/>
              <w:right w:val="single" w:sz="4" w:space="0" w:color="auto"/>
            </w:tcBorders>
            <w:shd w:val="clear" w:color="auto" w:fill="auto"/>
            <w:hideMark/>
          </w:tcPr>
          <w:p w14:paraId="2A7D06DA" w14:textId="77777777" w:rsidR="007947BF" w:rsidRPr="008463F3" w:rsidRDefault="007947BF" w:rsidP="00DA2AFC">
            <w:pPr>
              <w:spacing w:after="0" w:line="240" w:lineRule="auto"/>
              <w:rPr>
                <w:rFonts w:eastAsia="Times New Roman" w:cs="Times New Roman"/>
                <w:color w:val="000000"/>
                <w:sz w:val="20"/>
                <w:szCs w:val="20"/>
                <w:lang w:val="en-GB" w:eastAsia="sr-Latn-RS"/>
              </w:rPr>
            </w:pPr>
            <w:proofErr w:type="spellStart"/>
            <w:r w:rsidRPr="008463F3">
              <w:rPr>
                <w:rFonts w:eastAsia="Times New Roman" w:cs="Times New Roman"/>
                <w:color w:val="000000"/>
                <w:sz w:val="20"/>
                <w:szCs w:val="20"/>
                <w:lang w:val="en-GB" w:eastAsia="sr-Latn-RS"/>
              </w:rPr>
              <w:t>Milkoscan</w:t>
            </w:r>
            <w:proofErr w:type="spellEnd"/>
            <w:r w:rsidRPr="008463F3">
              <w:rPr>
                <w:rFonts w:eastAsia="Times New Roman" w:cs="Times New Roman"/>
                <w:color w:val="000000"/>
                <w:sz w:val="20"/>
                <w:szCs w:val="20"/>
                <w:lang w:val="en-GB" w:eastAsia="sr-Latn-RS"/>
              </w:rPr>
              <w:t xml:space="preserve"> FT 6000</w:t>
            </w:r>
            <w:r w:rsidRPr="008463F3">
              <w:rPr>
                <w:rFonts w:eastAsia="Times New Roman" w:cs="Times New Roman"/>
                <w:color w:val="000000"/>
                <w:sz w:val="20"/>
                <w:szCs w:val="20"/>
                <w:lang w:val="en-GB" w:eastAsia="sr-Latn-RS"/>
              </w:rPr>
              <w:br/>
              <w:t xml:space="preserve">Foss </w:t>
            </w:r>
            <w:proofErr w:type="spellStart"/>
            <w:r w:rsidRPr="008463F3">
              <w:rPr>
                <w:rFonts w:eastAsia="Times New Roman" w:cs="Times New Roman"/>
                <w:color w:val="000000"/>
                <w:sz w:val="20"/>
                <w:szCs w:val="20"/>
                <w:lang w:val="en-GB" w:eastAsia="sr-Latn-RS"/>
              </w:rPr>
              <w:t>electrick</w:t>
            </w:r>
            <w:proofErr w:type="spellEnd"/>
            <w:r w:rsidRPr="008463F3">
              <w:rPr>
                <w:rFonts w:eastAsia="Times New Roman" w:cs="Times New Roman"/>
                <w:color w:val="000000"/>
                <w:sz w:val="20"/>
                <w:szCs w:val="20"/>
                <w:lang w:val="en-GB" w:eastAsia="sr-Latn-RS"/>
              </w:rPr>
              <w:t xml:space="preserve">, </w:t>
            </w:r>
            <w:proofErr w:type="spellStart"/>
            <w:r w:rsidRPr="008463F3">
              <w:rPr>
                <w:rFonts w:eastAsia="Times New Roman" w:cs="Times New Roman"/>
                <w:color w:val="000000"/>
                <w:sz w:val="20"/>
                <w:szCs w:val="20"/>
                <w:lang w:val="en-GB" w:eastAsia="sr-Latn-RS"/>
              </w:rPr>
              <w:t>Danmark</w:t>
            </w:r>
            <w:proofErr w:type="spellEnd"/>
            <w:r w:rsidRPr="008463F3">
              <w:rPr>
                <w:rFonts w:eastAsia="Times New Roman" w:cs="Times New Roman"/>
                <w:color w:val="000000"/>
                <w:sz w:val="20"/>
                <w:szCs w:val="20"/>
                <w:lang w:val="en-GB" w:eastAsia="sr-Latn-RS"/>
              </w:rPr>
              <w:t xml:space="preserve">, ID 0311-2000-02 </w:t>
            </w:r>
            <w:r w:rsidRPr="008463F3">
              <w:rPr>
                <w:rFonts w:eastAsia="Times New Roman" w:cs="Times New Roman"/>
                <w:color w:val="000000"/>
                <w:sz w:val="20"/>
                <w:szCs w:val="20"/>
                <w:lang w:val="en-GB" w:eastAsia="sr-Latn-RS"/>
              </w:rPr>
              <w:br/>
              <w:t>and</w:t>
            </w:r>
            <w:r w:rsidRPr="008463F3">
              <w:rPr>
                <w:rFonts w:eastAsia="Times New Roman" w:cs="Times New Roman"/>
                <w:color w:val="000000"/>
                <w:sz w:val="20"/>
                <w:szCs w:val="20"/>
                <w:lang w:val="en-GB" w:eastAsia="sr-Latn-RS"/>
              </w:rPr>
              <w:br/>
              <w:t>Conveyor, 4000</w:t>
            </w:r>
            <w:r w:rsidRPr="008463F3">
              <w:rPr>
                <w:rFonts w:eastAsia="Times New Roman" w:cs="Times New Roman"/>
                <w:color w:val="000000"/>
                <w:sz w:val="20"/>
                <w:szCs w:val="20"/>
                <w:lang w:val="en-GB" w:eastAsia="sr-Latn-RS"/>
              </w:rPr>
              <w:br/>
              <w:t xml:space="preserve">Foss </w:t>
            </w:r>
            <w:proofErr w:type="spellStart"/>
            <w:r w:rsidRPr="008463F3">
              <w:rPr>
                <w:rFonts w:eastAsia="Times New Roman" w:cs="Times New Roman"/>
                <w:color w:val="000000"/>
                <w:sz w:val="20"/>
                <w:szCs w:val="20"/>
                <w:lang w:val="en-GB" w:eastAsia="sr-Latn-RS"/>
              </w:rPr>
              <w:t>electrick</w:t>
            </w:r>
            <w:proofErr w:type="spellEnd"/>
            <w:r w:rsidRPr="008463F3">
              <w:rPr>
                <w:rFonts w:eastAsia="Times New Roman" w:cs="Times New Roman"/>
                <w:color w:val="000000"/>
                <w:sz w:val="20"/>
                <w:szCs w:val="20"/>
                <w:lang w:val="en-GB" w:eastAsia="sr-Latn-RS"/>
              </w:rPr>
              <w:t xml:space="preserve">, </w:t>
            </w:r>
            <w:proofErr w:type="spellStart"/>
            <w:r w:rsidRPr="008463F3">
              <w:rPr>
                <w:rFonts w:eastAsia="Times New Roman" w:cs="Times New Roman"/>
                <w:color w:val="000000"/>
                <w:sz w:val="20"/>
                <w:szCs w:val="20"/>
                <w:lang w:val="en-GB" w:eastAsia="sr-Latn-RS"/>
              </w:rPr>
              <w:t>Danmark</w:t>
            </w:r>
            <w:proofErr w:type="spellEnd"/>
            <w:r w:rsidRPr="008463F3">
              <w:rPr>
                <w:rFonts w:eastAsia="Times New Roman" w:cs="Times New Roman"/>
                <w:color w:val="000000"/>
                <w:sz w:val="20"/>
                <w:szCs w:val="20"/>
                <w:lang w:val="en-GB" w:eastAsia="sr-Latn-RS"/>
              </w:rPr>
              <w:t>, ID 1711-2000-03</w:t>
            </w:r>
          </w:p>
        </w:tc>
        <w:tc>
          <w:tcPr>
            <w:tcW w:w="1275" w:type="dxa"/>
            <w:tcBorders>
              <w:top w:val="nil"/>
              <w:left w:val="nil"/>
              <w:bottom w:val="single" w:sz="4" w:space="0" w:color="auto"/>
              <w:right w:val="single" w:sz="4" w:space="0" w:color="auto"/>
            </w:tcBorders>
            <w:shd w:val="clear" w:color="auto" w:fill="auto"/>
            <w:noWrap/>
            <w:hideMark/>
          </w:tcPr>
          <w:p w14:paraId="197CA420"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129.188</w:t>
            </w:r>
          </w:p>
        </w:tc>
        <w:tc>
          <w:tcPr>
            <w:tcW w:w="1134" w:type="dxa"/>
            <w:tcBorders>
              <w:top w:val="nil"/>
              <w:left w:val="nil"/>
              <w:bottom w:val="single" w:sz="4" w:space="0" w:color="auto"/>
              <w:right w:val="single" w:sz="4" w:space="0" w:color="auto"/>
            </w:tcBorders>
            <w:shd w:val="clear" w:color="auto" w:fill="auto"/>
            <w:noWrap/>
            <w:hideMark/>
          </w:tcPr>
          <w:p w14:paraId="5DB12BAD"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2000</w:t>
            </w:r>
          </w:p>
        </w:tc>
        <w:tc>
          <w:tcPr>
            <w:tcW w:w="2839" w:type="dxa"/>
            <w:tcBorders>
              <w:top w:val="nil"/>
              <w:left w:val="nil"/>
              <w:bottom w:val="single" w:sz="4" w:space="0" w:color="auto"/>
              <w:right w:val="single" w:sz="4" w:space="0" w:color="auto"/>
            </w:tcBorders>
            <w:shd w:val="clear" w:color="auto" w:fill="auto"/>
            <w:hideMark/>
          </w:tcPr>
          <w:p w14:paraId="70E573B2"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xml:space="preserve">Ministry of </w:t>
            </w:r>
            <w:r>
              <w:rPr>
                <w:rFonts w:eastAsia="Times New Roman" w:cs="Times New Roman"/>
                <w:color w:val="000000"/>
                <w:sz w:val="20"/>
                <w:szCs w:val="20"/>
                <w:lang w:val="en-GB" w:eastAsia="sr-Latn-RS"/>
              </w:rPr>
              <w:t>A</w:t>
            </w:r>
            <w:r w:rsidRPr="008463F3">
              <w:rPr>
                <w:rFonts w:eastAsia="Times New Roman" w:cs="Times New Roman"/>
                <w:color w:val="000000"/>
                <w:sz w:val="20"/>
                <w:szCs w:val="20"/>
                <w:lang w:val="en-GB" w:eastAsia="sr-Latn-RS"/>
              </w:rPr>
              <w:t>griculture</w:t>
            </w:r>
            <w:r>
              <w:rPr>
                <w:rFonts w:eastAsia="Times New Roman" w:cs="Times New Roman"/>
                <w:color w:val="000000"/>
                <w:sz w:val="20"/>
                <w:szCs w:val="20"/>
                <w:lang w:val="en-GB" w:eastAsia="sr-Latn-RS"/>
              </w:rPr>
              <w:t>,</w:t>
            </w:r>
            <w:r w:rsidRPr="008463F3">
              <w:rPr>
                <w:rFonts w:eastAsia="Times New Roman" w:cs="Times New Roman"/>
                <w:color w:val="000000"/>
                <w:sz w:val="20"/>
                <w:szCs w:val="20"/>
                <w:lang w:val="en-GB" w:eastAsia="sr-Latn-RS"/>
              </w:rPr>
              <w:t xml:space="preserve"> </w:t>
            </w:r>
            <w:r>
              <w:rPr>
                <w:rFonts w:eastAsia="Times New Roman" w:cs="Times New Roman"/>
                <w:color w:val="000000"/>
                <w:sz w:val="20"/>
                <w:szCs w:val="20"/>
                <w:lang w:val="en-GB" w:eastAsia="sr-Latn-RS"/>
              </w:rPr>
              <w:t>F</w:t>
            </w:r>
            <w:r w:rsidRPr="008463F3">
              <w:rPr>
                <w:rFonts w:eastAsia="Times New Roman" w:cs="Times New Roman"/>
                <w:color w:val="000000"/>
                <w:sz w:val="20"/>
                <w:szCs w:val="20"/>
                <w:lang w:val="en-GB" w:eastAsia="sr-Latn-RS"/>
              </w:rPr>
              <w:t xml:space="preserve">orestry and </w:t>
            </w:r>
            <w:r>
              <w:rPr>
                <w:rFonts w:eastAsia="Times New Roman" w:cs="Times New Roman"/>
                <w:color w:val="000000"/>
                <w:sz w:val="20"/>
                <w:szCs w:val="20"/>
                <w:lang w:val="en-GB" w:eastAsia="sr-Latn-RS"/>
              </w:rPr>
              <w:t>W</w:t>
            </w:r>
            <w:r w:rsidRPr="008463F3">
              <w:rPr>
                <w:rFonts w:eastAsia="Times New Roman" w:cs="Times New Roman"/>
                <w:color w:val="000000"/>
                <w:sz w:val="20"/>
                <w:szCs w:val="20"/>
                <w:lang w:val="en-GB" w:eastAsia="sr-Latn-RS"/>
              </w:rPr>
              <w:t xml:space="preserve">ater </w:t>
            </w:r>
            <w:r>
              <w:rPr>
                <w:rFonts w:eastAsia="Times New Roman" w:cs="Times New Roman"/>
                <w:color w:val="000000"/>
                <w:sz w:val="20"/>
                <w:szCs w:val="20"/>
                <w:lang w:val="en-GB" w:eastAsia="sr-Latn-RS"/>
              </w:rPr>
              <w:t>E</w:t>
            </w:r>
            <w:r w:rsidRPr="008463F3">
              <w:rPr>
                <w:rFonts w:eastAsia="Times New Roman" w:cs="Times New Roman"/>
                <w:color w:val="000000"/>
                <w:sz w:val="20"/>
                <w:szCs w:val="20"/>
                <w:lang w:val="en-GB" w:eastAsia="sr-Latn-RS"/>
              </w:rPr>
              <w:t>conomy</w:t>
            </w:r>
          </w:p>
        </w:tc>
        <w:tc>
          <w:tcPr>
            <w:tcW w:w="1125" w:type="dxa"/>
            <w:tcBorders>
              <w:top w:val="nil"/>
              <w:left w:val="nil"/>
              <w:bottom w:val="single" w:sz="4" w:space="0" w:color="auto"/>
              <w:right w:val="single" w:sz="4" w:space="0" w:color="auto"/>
            </w:tcBorders>
            <w:shd w:val="clear" w:color="auto" w:fill="auto"/>
            <w:noWrap/>
            <w:vAlign w:val="center"/>
            <w:hideMark/>
          </w:tcPr>
          <w:p w14:paraId="2D946A6D"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w:t>
            </w:r>
          </w:p>
        </w:tc>
        <w:tc>
          <w:tcPr>
            <w:tcW w:w="1102" w:type="dxa"/>
            <w:tcBorders>
              <w:top w:val="nil"/>
              <w:left w:val="nil"/>
              <w:bottom w:val="single" w:sz="4" w:space="0" w:color="auto"/>
              <w:right w:val="single" w:sz="4" w:space="0" w:color="auto"/>
            </w:tcBorders>
            <w:shd w:val="clear" w:color="auto" w:fill="auto"/>
            <w:noWrap/>
            <w:vAlign w:val="center"/>
            <w:hideMark/>
          </w:tcPr>
          <w:p w14:paraId="31C3ADB1"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w:t>
            </w:r>
          </w:p>
        </w:tc>
      </w:tr>
      <w:tr w:rsidR="007947BF" w:rsidRPr="008463F3" w14:paraId="3FF67FC7" w14:textId="77777777" w:rsidTr="00DA2AFC">
        <w:tc>
          <w:tcPr>
            <w:tcW w:w="2312" w:type="dxa"/>
            <w:vMerge w:val="restart"/>
            <w:tcBorders>
              <w:top w:val="nil"/>
              <w:left w:val="single" w:sz="4" w:space="0" w:color="auto"/>
              <w:bottom w:val="single" w:sz="4" w:space="0" w:color="000000"/>
              <w:right w:val="single" w:sz="4" w:space="0" w:color="auto"/>
            </w:tcBorders>
            <w:shd w:val="clear" w:color="auto" w:fill="auto"/>
            <w:vAlign w:val="center"/>
            <w:hideMark/>
          </w:tcPr>
          <w:p w14:paraId="6B49DF47"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UKIM, Institute of Earthquake Engineering and Engineering Seismology</w:t>
            </w:r>
          </w:p>
        </w:tc>
        <w:tc>
          <w:tcPr>
            <w:tcW w:w="397" w:type="dxa"/>
            <w:tcBorders>
              <w:top w:val="nil"/>
              <w:left w:val="nil"/>
              <w:bottom w:val="single" w:sz="4" w:space="0" w:color="auto"/>
              <w:right w:val="single" w:sz="4" w:space="0" w:color="auto"/>
            </w:tcBorders>
            <w:shd w:val="clear" w:color="auto" w:fill="auto"/>
            <w:hideMark/>
          </w:tcPr>
          <w:p w14:paraId="0C0788A7"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54</w:t>
            </w:r>
          </w:p>
        </w:tc>
        <w:tc>
          <w:tcPr>
            <w:tcW w:w="4536" w:type="dxa"/>
            <w:tcBorders>
              <w:top w:val="nil"/>
              <w:left w:val="nil"/>
              <w:bottom w:val="single" w:sz="4" w:space="0" w:color="auto"/>
              <w:right w:val="single" w:sz="4" w:space="0" w:color="auto"/>
            </w:tcBorders>
            <w:shd w:val="clear" w:color="auto" w:fill="auto"/>
            <w:noWrap/>
            <w:hideMark/>
          </w:tcPr>
          <w:p w14:paraId="18122AD7"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Shake table</w:t>
            </w:r>
          </w:p>
        </w:tc>
        <w:tc>
          <w:tcPr>
            <w:tcW w:w="1275" w:type="dxa"/>
            <w:tcBorders>
              <w:top w:val="nil"/>
              <w:left w:val="nil"/>
              <w:bottom w:val="single" w:sz="4" w:space="0" w:color="auto"/>
              <w:right w:val="single" w:sz="4" w:space="0" w:color="auto"/>
            </w:tcBorders>
            <w:shd w:val="clear" w:color="auto" w:fill="auto"/>
            <w:noWrap/>
            <w:hideMark/>
          </w:tcPr>
          <w:p w14:paraId="0C02281D"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1.800.000</w:t>
            </w:r>
          </w:p>
        </w:tc>
        <w:tc>
          <w:tcPr>
            <w:tcW w:w="1134" w:type="dxa"/>
            <w:tcBorders>
              <w:top w:val="nil"/>
              <w:left w:val="nil"/>
              <w:bottom w:val="single" w:sz="4" w:space="0" w:color="auto"/>
              <w:right w:val="single" w:sz="4" w:space="0" w:color="auto"/>
            </w:tcBorders>
            <w:shd w:val="clear" w:color="auto" w:fill="auto"/>
            <w:noWrap/>
            <w:hideMark/>
          </w:tcPr>
          <w:p w14:paraId="49C9A83E"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1980</w:t>
            </w:r>
          </w:p>
        </w:tc>
        <w:tc>
          <w:tcPr>
            <w:tcW w:w="2839" w:type="dxa"/>
            <w:tcBorders>
              <w:top w:val="nil"/>
              <w:left w:val="nil"/>
              <w:bottom w:val="single" w:sz="4" w:space="0" w:color="auto"/>
              <w:right w:val="single" w:sz="4" w:space="0" w:color="auto"/>
            </w:tcBorders>
            <w:shd w:val="clear" w:color="auto" w:fill="auto"/>
            <w:hideMark/>
          </w:tcPr>
          <w:p w14:paraId="584825D8"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Own funds (IZIIS)</w:t>
            </w:r>
          </w:p>
        </w:tc>
        <w:tc>
          <w:tcPr>
            <w:tcW w:w="1125" w:type="dxa"/>
            <w:tcBorders>
              <w:top w:val="nil"/>
              <w:left w:val="nil"/>
              <w:bottom w:val="single" w:sz="4" w:space="0" w:color="auto"/>
              <w:right w:val="single" w:sz="4" w:space="0" w:color="auto"/>
            </w:tcBorders>
            <w:shd w:val="clear" w:color="auto" w:fill="auto"/>
            <w:vAlign w:val="center"/>
            <w:hideMark/>
          </w:tcPr>
          <w:p w14:paraId="62E0A8B5"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40-still on going</w:t>
            </w:r>
          </w:p>
        </w:tc>
        <w:tc>
          <w:tcPr>
            <w:tcW w:w="1102" w:type="dxa"/>
            <w:tcBorders>
              <w:top w:val="nil"/>
              <w:left w:val="nil"/>
              <w:bottom w:val="single" w:sz="4" w:space="0" w:color="auto"/>
              <w:right w:val="single" w:sz="4" w:space="0" w:color="auto"/>
            </w:tcBorders>
            <w:shd w:val="clear" w:color="auto" w:fill="auto"/>
            <w:noWrap/>
            <w:vAlign w:val="center"/>
            <w:hideMark/>
          </w:tcPr>
          <w:p w14:paraId="5FB50E67"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50+</w:t>
            </w:r>
          </w:p>
        </w:tc>
      </w:tr>
      <w:tr w:rsidR="007947BF" w:rsidRPr="008463F3" w14:paraId="3651BE97" w14:textId="77777777" w:rsidTr="00DA2AFC">
        <w:tc>
          <w:tcPr>
            <w:tcW w:w="2312" w:type="dxa"/>
            <w:vMerge/>
            <w:tcBorders>
              <w:top w:val="nil"/>
              <w:left w:val="single" w:sz="4" w:space="0" w:color="auto"/>
              <w:bottom w:val="single" w:sz="4" w:space="0" w:color="000000"/>
              <w:right w:val="single" w:sz="4" w:space="0" w:color="auto"/>
            </w:tcBorders>
            <w:vAlign w:val="center"/>
            <w:hideMark/>
          </w:tcPr>
          <w:p w14:paraId="6E90C085"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4236963E"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55</w:t>
            </w:r>
          </w:p>
        </w:tc>
        <w:tc>
          <w:tcPr>
            <w:tcW w:w="4536" w:type="dxa"/>
            <w:tcBorders>
              <w:top w:val="nil"/>
              <w:left w:val="nil"/>
              <w:bottom w:val="single" w:sz="4" w:space="0" w:color="auto"/>
              <w:right w:val="single" w:sz="4" w:space="0" w:color="auto"/>
            </w:tcBorders>
            <w:shd w:val="clear" w:color="auto" w:fill="auto"/>
            <w:noWrap/>
            <w:hideMark/>
          </w:tcPr>
          <w:p w14:paraId="432E9FF7"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MTS digital controller for shake table</w:t>
            </w:r>
          </w:p>
        </w:tc>
        <w:tc>
          <w:tcPr>
            <w:tcW w:w="1275" w:type="dxa"/>
            <w:tcBorders>
              <w:top w:val="nil"/>
              <w:left w:val="nil"/>
              <w:bottom w:val="single" w:sz="4" w:space="0" w:color="auto"/>
              <w:right w:val="single" w:sz="4" w:space="0" w:color="auto"/>
            </w:tcBorders>
            <w:shd w:val="clear" w:color="auto" w:fill="auto"/>
            <w:noWrap/>
            <w:hideMark/>
          </w:tcPr>
          <w:p w14:paraId="6EBB9F98"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430.000</w:t>
            </w:r>
          </w:p>
        </w:tc>
        <w:tc>
          <w:tcPr>
            <w:tcW w:w="1134" w:type="dxa"/>
            <w:tcBorders>
              <w:top w:val="nil"/>
              <w:left w:val="nil"/>
              <w:bottom w:val="single" w:sz="4" w:space="0" w:color="auto"/>
              <w:right w:val="single" w:sz="4" w:space="0" w:color="auto"/>
            </w:tcBorders>
            <w:shd w:val="clear" w:color="auto" w:fill="auto"/>
            <w:noWrap/>
            <w:hideMark/>
          </w:tcPr>
          <w:p w14:paraId="2EE67465"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2011</w:t>
            </w:r>
          </w:p>
        </w:tc>
        <w:tc>
          <w:tcPr>
            <w:tcW w:w="2839" w:type="dxa"/>
            <w:tcBorders>
              <w:top w:val="nil"/>
              <w:left w:val="nil"/>
              <w:bottom w:val="single" w:sz="4" w:space="0" w:color="auto"/>
              <w:right w:val="single" w:sz="4" w:space="0" w:color="auto"/>
            </w:tcBorders>
            <w:shd w:val="clear" w:color="auto" w:fill="auto"/>
            <w:hideMark/>
          </w:tcPr>
          <w:p w14:paraId="5A0C0900"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Funds from international projects (SERIES project)</w:t>
            </w:r>
          </w:p>
        </w:tc>
        <w:tc>
          <w:tcPr>
            <w:tcW w:w="1125" w:type="dxa"/>
            <w:tcBorders>
              <w:top w:val="nil"/>
              <w:left w:val="nil"/>
              <w:bottom w:val="single" w:sz="4" w:space="0" w:color="auto"/>
              <w:right w:val="single" w:sz="4" w:space="0" w:color="auto"/>
            </w:tcBorders>
            <w:shd w:val="clear" w:color="auto" w:fill="auto"/>
            <w:vAlign w:val="center"/>
            <w:hideMark/>
          </w:tcPr>
          <w:p w14:paraId="1AC23BB0"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w:t>
            </w:r>
          </w:p>
        </w:tc>
        <w:tc>
          <w:tcPr>
            <w:tcW w:w="1102" w:type="dxa"/>
            <w:tcBorders>
              <w:top w:val="nil"/>
              <w:left w:val="nil"/>
              <w:bottom w:val="single" w:sz="4" w:space="0" w:color="auto"/>
              <w:right w:val="single" w:sz="4" w:space="0" w:color="auto"/>
            </w:tcBorders>
            <w:shd w:val="clear" w:color="auto" w:fill="auto"/>
            <w:noWrap/>
            <w:vAlign w:val="center"/>
            <w:hideMark/>
          </w:tcPr>
          <w:p w14:paraId="28789DFD"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w:t>
            </w:r>
          </w:p>
        </w:tc>
      </w:tr>
      <w:tr w:rsidR="007947BF" w:rsidRPr="008463F3" w14:paraId="379A3BE3" w14:textId="77777777" w:rsidTr="00DA2AFC">
        <w:tc>
          <w:tcPr>
            <w:tcW w:w="2312" w:type="dxa"/>
            <w:vMerge/>
            <w:tcBorders>
              <w:top w:val="nil"/>
              <w:left w:val="single" w:sz="4" w:space="0" w:color="auto"/>
              <w:bottom w:val="single" w:sz="4" w:space="0" w:color="000000"/>
              <w:right w:val="single" w:sz="4" w:space="0" w:color="auto"/>
            </w:tcBorders>
            <w:vAlign w:val="center"/>
            <w:hideMark/>
          </w:tcPr>
          <w:p w14:paraId="79096BDC"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797BE249"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56</w:t>
            </w:r>
          </w:p>
        </w:tc>
        <w:tc>
          <w:tcPr>
            <w:tcW w:w="4536" w:type="dxa"/>
            <w:tcBorders>
              <w:top w:val="nil"/>
              <w:left w:val="nil"/>
              <w:bottom w:val="single" w:sz="4" w:space="0" w:color="auto"/>
              <w:right w:val="single" w:sz="4" w:space="0" w:color="auto"/>
            </w:tcBorders>
            <w:shd w:val="clear" w:color="auto" w:fill="auto"/>
            <w:hideMark/>
          </w:tcPr>
          <w:p w14:paraId="20A50508"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Instrumentation set up (accelerometers, LVDT’s, LP’s, SG’s)</w:t>
            </w:r>
          </w:p>
        </w:tc>
        <w:tc>
          <w:tcPr>
            <w:tcW w:w="1275" w:type="dxa"/>
            <w:tcBorders>
              <w:top w:val="nil"/>
              <w:left w:val="nil"/>
              <w:bottom w:val="single" w:sz="4" w:space="0" w:color="auto"/>
              <w:right w:val="single" w:sz="4" w:space="0" w:color="auto"/>
            </w:tcBorders>
            <w:shd w:val="clear" w:color="auto" w:fill="auto"/>
            <w:noWrap/>
            <w:hideMark/>
          </w:tcPr>
          <w:p w14:paraId="75BEB6C8"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90.000</w:t>
            </w:r>
          </w:p>
        </w:tc>
        <w:tc>
          <w:tcPr>
            <w:tcW w:w="1134" w:type="dxa"/>
            <w:tcBorders>
              <w:top w:val="nil"/>
              <w:left w:val="nil"/>
              <w:bottom w:val="single" w:sz="4" w:space="0" w:color="auto"/>
              <w:right w:val="single" w:sz="4" w:space="0" w:color="auto"/>
            </w:tcBorders>
            <w:shd w:val="clear" w:color="auto" w:fill="auto"/>
            <w:noWrap/>
            <w:hideMark/>
          </w:tcPr>
          <w:p w14:paraId="3076FD4F"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2018</w:t>
            </w:r>
          </w:p>
        </w:tc>
        <w:tc>
          <w:tcPr>
            <w:tcW w:w="2839" w:type="dxa"/>
            <w:tcBorders>
              <w:top w:val="nil"/>
              <w:left w:val="nil"/>
              <w:bottom w:val="single" w:sz="4" w:space="0" w:color="auto"/>
              <w:right w:val="single" w:sz="4" w:space="0" w:color="auto"/>
            </w:tcBorders>
            <w:shd w:val="clear" w:color="auto" w:fill="auto"/>
            <w:hideMark/>
          </w:tcPr>
          <w:p w14:paraId="5FE093D8"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80% Funds from abroad donations (DAAD)</w:t>
            </w:r>
          </w:p>
        </w:tc>
        <w:tc>
          <w:tcPr>
            <w:tcW w:w="1125" w:type="dxa"/>
            <w:tcBorders>
              <w:top w:val="nil"/>
              <w:left w:val="nil"/>
              <w:bottom w:val="single" w:sz="4" w:space="0" w:color="auto"/>
              <w:right w:val="single" w:sz="4" w:space="0" w:color="auto"/>
            </w:tcBorders>
            <w:shd w:val="clear" w:color="auto" w:fill="auto"/>
            <w:vAlign w:val="center"/>
            <w:hideMark/>
          </w:tcPr>
          <w:p w14:paraId="45949EA2"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w:t>
            </w:r>
          </w:p>
        </w:tc>
        <w:tc>
          <w:tcPr>
            <w:tcW w:w="1102" w:type="dxa"/>
            <w:tcBorders>
              <w:top w:val="nil"/>
              <w:left w:val="nil"/>
              <w:bottom w:val="single" w:sz="4" w:space="0" w:color="auto"/>
              <w:right w:val="single" w:sz="4" w:space="0" w:color="auto"/>
            </w:tcBorders>
            <w:shd w:val="clear" w:color="auto" w:fill="auto"/>
            <w:noWrap/>
            <w:vAlign w:val="center"/>
            <w:hideMark/>
          </w:tcPr>
          <w:p w14:paraId="71968C88"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w:t>
            </w:r>
          </w:p>
        </w:tc>
      </w:tr>
      <w:tr w:rsidR="007947BF" w:rsidRPr="008463F3" w14:paraId="0F5DEDD3" w14:textId="77777777" w:rsidTr="00DA2AFC">
        <w:tc>
          <w:tcPr>
            <w:tcW w:w="2312" w:type="dxa"/>
            <w:vMerge/>
            <w:tcBorders>
              <w:top w:val="nil"/>
              <w:left w:val="single" w:sz="4" w:space="0" w:color="auto"/>
              <w:bottom w:val="single" w:sz="4" w:space="0" w:color="000000"/>
              <w:right w:val="single" w:sz="4" w:space="0" w:color="auto"/>
            </w:tcBorders>
            <w:vAlign w:val="center"/>
            <w:hideMark/>
          </w:tcPr>
          <w:p w14:paraId="32F83E52"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787B94DF"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57</w:t>
            </w:r>
          </w:p>
        </w:tc>
        <w:tc>
          <w:tcPr>
            <w:tcW w:w="4536" w:type="dxa"/>
            <w:tcBorders>
              <w:top w:val="nil"/>
              <w:left w:val="nil"/>
              <w:bottom w:val="single" w:sz="4" w:space="0" w:color="auto"/>
              <w:right w:val="single" w:sz="4" w:space="0" w:color="auto"/>
            </w:tcBorders>
            <w:shd w:val="clear" w:color="auto" w:fill="auto"/>
            <w:noWrap/>
            <w:hideMark/>
          </w:tcPr>
          <w:p w14:paraId="380B1AFC"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NI-PXI DATA Acquisition system</w:t>
            </w:r>
          </w:p>
        </w:tc>
        <w:tc>
          <w:tcPr>
            <w:tcW w:w="1275" w:type="dxa"/>
            <w:tcBorders>
              <w:top w:val="nil"/>
              <w:left w:val="nil"/>
              <w:bottom w:val="single" w:sz="4" w:space="0" w:color="auto"/>
              <w:right w:val="single" w:sz="4" w:space="0" w:color="auto"/>
            </w:tcBorders>
            <w:shd w:val="clear" w:color="auto" w:fill="auto"/>
            <w:noWrap/>
            <w:hideMark/>
          </w:tcPr>
          <w:p w14:paraId="1D1705A6"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50.000</w:t>
            </w:r>
          </w:p>
        </w:tc>
        <w:tc>
          <w:tcPr>
            <w:tcW w:w="1134" w:type="dxa"/>
            <w:tcBorders>
              <w:top w:val="nil"/>
              <w:left w:val="nil"/>
              <w:bottom w:val="single" w:sz="4" w:space="0" w:color="auto"/>
              <w:right w:val="single" w:sz="4" w:space="0" w:color="auto"/>
            </w:tcBorders>
            <w:shd w:val="clear" w:color="auto" w:fill="auto"/>
            <w:noWrap/>
            <w:hideMark/>
          </w:tcPr>
          <w:p w14:paraId="17406B74"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2006</w:t>
            </w:r>
          </w:p>
        </w:tc>
        <w:tc>
          <w:tcPr>
            <w:tcW w:w="2839" w:type="dxa"/>
            <w:tcBorders>
              <w:top w:val="nil"/>
              <w:left w:val="nil"/>
              <w:bottom w:val="single" w:sz="4" w:space="0" w:color="auto"/>
              <w:right w:val="single" w:sz="4" w:space="0" w:color="auto"/>
            </w:tcBorders>
            <w:shd w:val="clear" w:color="auto" w:fill="auto"/>
            <w:hideMark/>
          </w:tcPr>
          <w:p w14:paraId="1D66F2D2"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Pr>
                <w:rFonts w:eastAsia="Times New Roman" w:cs="Times New Roman"/>
                <w:color w:val="000000"/>
                <w:sz w:val="20"/>
                <w:szCs w:val="20"/>
                <w:lang w:val="en-GB" w:eastAsia="sr-Latn-RS"/>
              </w:rPr>
              <w:t>international donations</w:t>
            </w:r>
            <w:r w:rsidRPr="008463F3">
              <w:rPr>
                <w:rFonts w:eastAsia="Times New Roman" w:cs="Times New Roman"/>
                <w:color w:val="000000"/>
                <w:sz w:val="20"/>
                <w:szCs w:val="20"/>
                <w:lang w:val="en-GB" w:eastAsia="sr-Latn-RS"/>
              </w:rPr>
              <w:t xml:space="preserve"> (DAAD)</w:t>
            </w:r>
          </w:p>
        </w:tc>
        <w:tc>
          <w:tcPr>
            <w:tcW w:w="1125" w:type="dxa"/>
            <w:tcBorders>
              <w:top w:val="nil"/>
              <w:left w:val="nil"/>
              <w:bottom w:val="single" w:sz="4" w:space="0" w:color="auto"/>
              <w:right w:val="single" w:sz="4" w:space="0" w:color="auto"/>
            </w:tcBorders>
            <w:shd w:val="clear" w:color="auto" w:fill="auto"/>
            <w:vAlign w:val="center"/>
            <w:hideMark/>
          </w:tcPr>
          <w:p w14:paraId="117E262D"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w:t>
            </w:r>
          </w:p>
        </w:tc>
        <w:tc>
          <w:tcPr>
            <w:tcW w:w="1102" w:type="dxa"/>
            <w:tcBorders>
              <w:top w:val="nil"/>
              <w:left w:val="nil"/>
              <w:bottom w:val="single" w:sz="4" w:space="0" w:color="auto"/>
              <w:right w:val="single" w:sz="4" w:space="0" w:color="auto"/>
            </w:tcBorders>
            <w:shd w:val="clear" w:color="auto" w:fill="auto"/>
            <w:noWrap/>
            <w:vAlign w:val="center"/>
            <w:hideMark/>
          </w:tcPr>
          <w:p w14:paraId="2F8B558E"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w:t>
            </w:r>
          </w:p>
        </w:tc>
      </w:tr>
      <w:tr w:rsidR="007947BF" w:rsidRPr="008463F3" w14:paraId="2CCB7508" w14:textId="77777777" w:rsidTr="00DA2AFC">
        <w:tc>
          <w:tcPr>
            <w:tcW w:w="2312" w:type="dxa"/>
            <w:vMerge/>
            <w:tcBorders>
              <w:top w:val="nil"/>
              <w:left w:val="single" w:sz="4" w:space="0" w:color="auto"/>
              <w:bottom w:val="single" w:sz="4" w:space="0" w:color="000000"/>
              <w:right w:val="single" w:sz="4" w:space="0" w:color="auto"/>
            </w:tcBorders>
            <w:vAlign w:val="center"/>
            <w:hideMark/>
          </w:tcPr>
          <w:p w14:paraId="217964D6"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491E2D86"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58</w:t>
            </w:r>
          </w:p>
        </w:tc>
        <w:tc>
          <w:tcPr>
            <w:tcW w:w="4536" w:type="dxa"/>
            <w:tcBorders>
              <w:top w:val="nil"/>
              <w:left w:val="nil"/>
              <w:bottom w:val="single" w:sz="4" w:space="0" w:color="auto"/>
              <w:right w:val="single" w:sz="4" w:space="0" w:color="auto"/>
            </w:tcBorders>
            <w:shd w:val="clear" w:color="auto" w:fill="auto"/>
            <w:noWrap/>
            <w:hideMark/>
          </w:tcPr>
          <w:p w14:paraId="25C547F8"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Other Data Acquisition systems</w:t>
            </w:r>
          </w:p>
        </w:tc>
        <w:tc>
          <w:tcPr>
            <w:tcW w:w="1275" w:type="dxa"/>
            <w:tcBorders>
              <w:top w:val="nil"/>
              <w:left w:val="nil"/>
              <w:bottom w:val="single" w:sz="4" w:space="0" w:color="auto"/>
              <w:right w:val="single" w:sz="4" w:space="0" w:color="auto"/>
            </w:tcBorders>
            <w:shd w:val="clear" w:color="auto" w:fill="auto"/>
            <w:noWrap/>
            <w:hideMark/>
          </w:tcPr>
          <w:p w14:paraId="1C66CA37"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70.000</w:t>
            </w:r>
          </w:p>
        </w:tc>
        <w:tc>
          <w:tcPr>
            <w:tcW w:w="1134" w:type="dxa"/>
            <w:tcBorders>
              <w:top w:val="nil"/>
              <w:left w:val="nil"/>
              <w:bottom w:val="single" w:sz="4" w:space="0" w:color="auto"/>
              <w:right w:val="single" w:sz="4" w:space="0" w:color="auto"/>
            </w:tcBorders>
            <w:shd w:val="clear" w:color="auto" w:fill="auto"/>
            <w:noWrap/>
            <w:hideMark/>
          </w:tcPr>
          <w:p w14:paraId="2E6860A5"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2012</w:t>
            </w:r>
          </w:p>
        </w:tc>
        <w:tc>
          <w:tcPr>
            <w:tcW w:w="2839" w:type="dxa"/>
            <w:tcBorders>
              <w:top w:val="nil"/>
              <w:left w:val="nil"/>
              <w:bottom w:val="single" w:sz="4" w:space="0" w:color="auto"/>
              <w:right w:val="single" w:sz="4" w:space="0" w:color="auto"/>
            </w:tcBorders>
            <w:shd w:val="clear" w:color="auto" w:fill="auto"/>
            <w:hideMark/>
          </w:tcPr>
          <w:p w14:paraId="75506A69"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90% Own funds 10% from international projects (NATO SPS)</w:t>
            </w:r>
          </w:p>
        </w:tc>
        <w:tc>
          <w:tcPr>
            <w:tcW w:w="1125" w:type="dxa"/>
            <w:tcBorders>
              <w:top w:val="nil"/>
              <w:left w:val="nil"/>
              <w:bottom w:val="single" w:sz="4" w:space="0" w:color="auto"/>
              <w:right w:val="single" w:sz="4" w:space="0" w:color="auto"/>
            </w:tcBorders>
            <w:shd w:val="clear" w:color="auto" w:fill="auto"/>
            <w:vAlign w:val="center"/>
            <w:hideMark/>
          </w:tcPr>
          <w:p w14:paraId="290F417F"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w:t>
            </w:r>
          </w:p>
        </w:tc>
        <w:tc>
          <w:tcPr>
            <w:tcW w:w="1102" w:type="dxa"/>
            <w:tcBorders>
              <w:top w:val="nil"/>
              <w:left w:val="nil"/>
              <w:bottom w:val="single" w:sz="4" w:space="0" w:color="auto"/>
              <w:right w:val="single" w:sz="4" w:space="0" w:color="auto"/>
            </w:tcBorders>
            <w:shd w:val="clear" w:color="auto" w:fill="auto"/>
            <w:noWrap/>
            <w:vAlign w:val="center"/>
            <w:hideMark/>
          </w:tcPr>
          <w:p w14:paraId="495068A6"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w:t>
            </w:r>
          </w:p>
        </w:tc>
      </w:tr>
      <w:tr w:rsidR="007947BF" w:rsidRPr="008463F3" w14:paraId="4FD9118B" w14:textId="77777777" w:rsidTr="00DA2AFC">
        <w:tc>
          <w:tcPr>
            <w:tcW w:w="2312" w:type="dxa"/>
            <w:vMerge/>
            <w:tcBorders>
              <w:top w:val="nil"/>
              <w:left w:val="single" w:sz="4" w:space="0" w:color="auto"/>
              <w:bottom w:val="single" w:sz="4" w:space="0" w:color="000000"/>
              <w:right w:val="single" w:sz="4" w:space="0" w:color="auto"/>
            </w:tcBorders>
            <w:vAlign w:val="center"/>
            <w:hideMark/>
          </w:tcPr>
          <w:p w14:paraId="14558DC0"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312BAA0F"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59</w:t>
            </w:r>
          </w:p>
        </w:tc>
        <w:tc>
          <w:tcPr>
            <w:tcW w:w="4536" w:type="dxa"/>
            <w:tcBorders>
              <w:top w:val="nil"/>
              <w:left w:val="nil"/>
              <w:bottom w:val="single" w:sz="4" w:space="0" w:color="auto"/>
              <w:right w:val="single" w:sz="4" w:space="0" w:color="auto"/>
            </w:tcBorders>
            <w:shd w:val="clear" w:color="auto" w:fill="auto"/>
            <w:hideMark/>
          </w:tcPr>
          <w:p w14:paraId="7327DAD6"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Triaxial apparatus for static and dynamic testing</w:t>
            </w:r>
          </w:p>
        </w:tc>
        <w:tc>
          <w:tcPr>
            <w:tcW w:w="1275" w:type="dxa"/>
            <w:tcBorders>
              <w:top w:val="nil"/>
              <w:left w:val="nil"/>
              <w:bottom w:val="single" w:sz="4" w:space="0" w:color="auto"/>
              <w:right w:val="single" w:sz="4" w:space="0" w:color="auto"/>
            </w:tcBorders>
            <w:shd w:val="clear" w:color="auto" w:fill="auto"/>
            <w:noWrap/>
            <w:hideMark/>
          </w:tcPr>
          <w:p w14:paraId="5B033854"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60.000</w:t>
            </w:r>
          </w:p>
        </w:tc>
        <w:tc>
          <w:tcPr>
            <w:tcW w:w="1134" w:type="dxa"/>
            <w:tcBorders>
              <w:top w:val="nil"/>
              <w:left w:val="nil"/>
              <w:bottom w:val="single" w:sz="4" w:space="0" w:color="auto"/>
              <w:right w:val="single" w:sz="4" w:space="0" w:color="auto"/>
            </w:tcBorders>
            <w:shd w:val="clear" w:color="auto" w:fill="auto"/>
            <w:noWrap/>
            <w:hideMark/>
          </w:tcPr>
          <w:p w14:paraId="2594E0A2"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2011</w:t>
            </w:r>
          </w:p>
        </w:tc>
        <w:tc>
          <w:tcPr>
            <w:tcW w:w="2839" w:type="dxa"/>
            <w:tcBorders>
              <w:top w:val="nil"/>
              <w:left w:val="nil"/>
              <w:bottom w:val="single" w:sz="4" w:space="0" w:color="auto"/>
              <w:right w:val="single" w:sz="4" w:space="0" w:color="auto"/>
            </w:tcBorders>
            <w:shd w:val="clear" w:color="auto" w:fill="auto"/>
            <w:hideMark/>
          </w:tcPr>
          <w:p w14:paraId="5B7A72D4"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Funds from international projects (UREDITEME)</w:t>
            </w:r>
          </w:p>
        </w:tc>
        <w:tc>
          <w:tcPr>
            <w:tcW w:w="1125" w:type="dxa"/>
            <w:tcBorders>
              <w:top w:val="nil"/>
              <w:left w:val="nil"/>
              <w:bottom w:val="single" w:sz="4" w:space="0" w:color="auto"/>
              <w:right w:val="single" w:sz="4" w:space="0" w:color="auto"/>
            </w:tcBorders>
            <w:shd w:val="clear" w:color="auto" w:fill="auto"/>
            <w:vAlign w:val="center"/>
            <w:hideMark/>
          </w:tcPr>
          <w:p w14:paraId="03940FE7"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w:t>
            </w:r>
          </w:p>
        </w:tc>
        <w:tc>
          <w:tcPr>
            <w:tcW w:w="1102" w:type="dxa"/>
            <w:tcBorders>
              <w:top w:val="nil"/>
              <w:left w:val="nil"/>
              <w:bottom w:val="single" w:sz="4" w:space="0" w:color="auto"/>
              <w:right w:val="single" w:sz="4" w:space="0" w:color="auto"/>
            </w:tcBorders>
            <w:shd w:val="clear" w:color="auto" w:fill="auto"/>
            <w:noWrap/>
            <w:vAlign w:val="center"/>
            <w:hideMark/>
          </w:tcPr>
          <w:p w14:paraId="6232BF12"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60</w:t>
            </w:r>
          </w:p>
        </w:tc>
      </w:tr>
      <w:tr w:rsidR="007947BF" w:rsidRPr="008463F3" w14:paraId="439C07D4" w14:textId="77777777" w:rsidTr="00DA2AFC">
        <w:tc>
          <w:tcPr>
            <w:tcW w:w="2312" w:type="dxa"/>
            <w:vMerge w:val="restart"/>
            <w:tcBorders>
              <w:top w:val="nil"/>
              <w:left w:val="single" w:sz="4" w:space="0" w:color="auto"/>
              <w:bottom w:val="single" w:sz="4" w:space="0" w:color="000000"/>
              <w:right w:val="single" w:sz="4" w:space="0" w:color="auto"/>
            </w:tcBorders>
            <w:shd w:val="clear" w:color="auto" w:fill="auto"/>
            <w:vAlign w:val="center"/>
            <w:hideMark/>
          </w:tcPr>
          <w:p w14:paraId="5582F2F0"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xml:space="preserve">St </w:t>
            </w:r>
            <w:proofErr w:type="spellStart"/>
            <w:r w:rsidRPr="008463F3">
              <w:rPr>
                <w:rFonts w:eastAsia="Times New Roman" w:cs="Times New Roman"/>
                <w:color w:val="000000"/>
                <w:sz w:val="20"/>
                <w:szCs w:val="20"/>
                <w:lang w:val="en-GB" w:eastAsia="sr-Latn-RS"/>
              </w:rPr>
              <w:t>Kliment</w:t>
            </w:r>
            <w:proofErr w:type="spellEnd"/>
            <w:r w:rsidRPr="008463F3">
              <w:rPr>
                <w:rFonts w:eastAsia="Times New Roman" w:cs="Times New Roman"/>
                <w:color w:val="000000"/>
                <w:sz w:val="20"/>
                <w:szCs w:val="20"/>
                <w:lang w:val="en-GB" w:eastAsia="sr-Latn-RS"/>
              </w:rPr>
              <w:t xml:space="preserve"> </w:t>
            </w:r>
            <w:proofErr w:type="spellStart"/>
            <w:r w:rsidRPr="008463F3">
              <w:rPr>
                <w:rFonts w:eastAsia="Times New Roman" w:cs="Times New Roman"/>
                <w:color w:val="000000"/>
                <w:sz w:val="20"/>
                <w:szCs w:val="20"/>
                <w:lang w:val="en-GB" w:eastAsia="sr-Latn-RS"/>
              </w:rPr>
              <w:t>Ohridski</w:t>
            </w:r>
            <w:proofErr w:type="spellEnd"/>
            <w:r>
              <w:rPr>
                <w:rFonts w:eastAsia="Times New Roman" w:cs="Times New Roman"/>
                <w:color w:val="000000"/>
                <w:sz w:val="20"/>
                <w:szCs w:val="20"/>
                <w:lang w:val="en-GB" w:eastAsia="sr-Latn-RS"/>
              </w:rPr>
              <w:t xml:space="preserve"> University</w:t>
            </w:r>
            <w:r w:rsidRPr="008463F3">
              <w:rPr>
                <w:rFonts w:eastAsia="Times New Roman" w:cs="Times New Roman"/>
                <w:color w:val="000000"/>
                <w:sz w:val="20"/>
                <w:szCs w:val="20"/>
                <w:lang w:val="en-GB" w:eastAsia="sr-Latn-RS"/>
              </w:rPr>
              <w:t xml:space="preserve">, PSI Hydrobiological Institute </w:t>
            </w:r>
            <w:proofErr w:type="spellStart"/>
            <w:r w:rsidRPr="008463F3">
              <w:rPr>
                <w:rFonts w:eastAsia="Times New Roman" w:cs="Times New Roman"/>
                <w:color w:val="000000"/>
                <w:sz w:val="20"/>
                <w:szCs w:val="20"/>
                <w:lang w:val="en-GB" w:eastAsia="sr-Latn-RS"/>
              </w:rPr>
              <w:t>Ohrid</w:t>
            </w:r>
            <w:proofErr w:type="spellEnd"/>
          </w:p>
        </w:tc>
        <w:tc>
          <w:tcPr>
            <w:tcW w:w="397" w:type="dxa"/>
            <w:tcBorders>
              <w:top w:val="nil"/>
              <w:left w:val="nil"/>
              <w:bottom w:val="single" w:sz="4" w:space="0" w:color="auto"/>
              <w:right w:val="single" w:sz="4" w:space="0" w:color="auto"/>
            </w:tcBorders>
            <w:shd w:val="clear" w:color="auto" w:fill="auto"/>
            <w:hideMark/>
          </w:tcPr>
          <w:p w14:paraId="1BAEBB2E"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60</w:t>
            </w:r>
          </w:p>
        </w:tc>
        <w:tc>
          <w:tcPr>
            <w:tcW w:w="4536" w:type="dxa"/>
            <w:tcBorders>
              <w:top w:val="nil"/>
              <w:left w:val="nil"/>
              <w:bottom w:val="single" w:sz="4" w:space="0" w:color="auto"/>
              <w:right w:val="single" w:sz="4" w:space="0" w:color="auto"/>
            </w:tcBorders>
            <w:shd w:val="clear" w:color="auto" w:fill="auto"/>
            <w:hideMark/>
          </w:tcPr>
          <w:p w14:paraId="194F8CF5"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Boat "</w:t>
            </w:r>
            <w:proofErr w:type="spellStart"/>
            <w:r w:rsidRPr="008463F3">
              <w:rPr>
                <w:rFonts w:eastAsia="Times New Roman" w:cs="Times New Roman"/>
                <w:color w:val="000000"/>
                <w:sz w:val="20"/>
                <w:szCs w:val="20"/>
                <w:lang w:val="en-GB" w:eastAsia="sr-Latn-RS"/>
              </w:rPr>
              <w:t>Lehmar</w:t>
            </w:r>
            <w:proofErr w:type="spellEnd"/>
            <w:r w:rsidRPr="008463F3">
              <w:rPr>
                <w:rFonts w:eastAsia="Times New Roman" w:cs="Times New Roman"/>
                <w:color w:val="000000"/>
                <w:sz w:val="20"/>
                <w:szCs w:val="20"/>
                <w:lang w:val="en-GB" w:eastAsia="sr-Latn-RS"/>
              </w:rPr>
              <w:t>"</w:t>
            </w:r>
          </w:p>
        </w:tc>
        <w:tc>
          <w:tcPr>
            <w:tcW w:w="1275" w:type="dxa"/>
            <w:tcBorders>
              <w:top w:val="nil"/>
              <w:left w:val="nil"/>
              <w:bottom w:val="single" w:sz="4" w:space="0" w:color="auto"/>
              <w:right w:val="single" w:sz="4" w:space="0" w:color="auto"/>
            </w:tcBorders>
            <w:shd w:val="clear" w:color="auto" w:fill="auto"/>
            <w:hideMark/>
          </w:tcPr>
          <w:p w14:paraId="1BDF6427"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458.185</w:t>
            </w:r>
          </w:p>
        </w:tc>
        <w:tc>
          <w:tcPr>
            <w:tcW w:w="1134" w:type="dxa"/>
            <w:tcBorders>
              <w:top w:val="nil"/>
              <w:left w:val="nil"/>
              <w:bottom w:val="single" w:sz="4" w:space="0" w:color="auto"/>
              <w:right w:val="single" w:sz="4" w:space="0" w:color="auto"/>
            </w:tcBorders>
            <w:shd w:val="clear" w:color="auto" w:fill="auto"/>
            <w:hideMark/>
          </w:tcPr>
          <w:p w14:paraId="6411FB24"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1999</w:t>
            </w:r>
          </w:p>
        </w:tc>
        <w:tc>
          <w:tcPr>
            <w:tcW w:w="2839" w:type="dxa"/>
            <w:tcBorders>
              <w:top w:val="nil"/>
              <w:left w:val="nil"/>
              <w:bottom w:val="single" w:sz="4" w:space="0" w:color="auto"/>
              <w:right w:val="single" w:sz="4" w:space="0" w:color="auto"/>
            </w:tcBorders>
            <w:shd w:val="clear" w:color="auto" w:fill="auto"/>
            <w:hideMark/>
          </w:tcPr>
          <w:p w14:paraId="20DC7F27"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Donation World Bank</w:t>
            </w:r>
          </w:p>
        </w:tc>
        <w:tc>
          <w:tcPr>
            <w:tcW w:w="1125" w:type="dxa"/>
            <w:tcBorders>
              <w:top w:val="nil"/>
              <w:left w:val="nil"/>
              <w:bottom w:val="single" w:sz="4" w:space="0" w:color="auto"/>
              <w:right w:val="single" w:sz="4" w:space="0" w:color="auto"/>
            </w:tcBorders>
            <w:shd w:val="clear" w:color="auto" w:fill="auto"/>
            <w:vAlign w:val="center"/>
            <w:hideMark/>
          </w:tcPr>
          <w:p w14:paraId="4606C44C"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w:t>
            </w:r>
          </w:p>
        </w:tc>
        <w:tc>
          <w:tcPr>
            <w:tcW w:w="1102" w:type="dxa"/>
            <w:tcBorders>
              <w:top w:val="nil"/>
              <w:left w:val="nil"/>
              <w:bottom w:val="single" w:sz="4" w:space="0" w:color="auto"/>
              <w:right w:val="single" w:sz="4" w:space="0" w:color="auto"/>
            </w:tcBorders>
            <w:shd w:val="clear" w:color="auto" w:fill="auto"/>
            <w:vAlign w:val="center"/>
            <w:hideMark/>
          </w:tcPr>
          <w:p w14:paraId="0CA57C3E"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w:t>
            </w:r>
          </w:p>
        </w:tc>
      </w:tr>
      <w:tr w:rsidR="007947BF" w:rsidRPr="008463F3" w14:paraId="429ABBA1" w14:textId="77777777" w:rsidTr="00DA2AFC">
        <w:tc>
          <w:tcPr>
            <w:tcW w:w="2312" w:type="dxa"/>
            <w:vMerge/>
            <w:tcBorders>
              <w:top w:val="nil"/>
              <w:left w:val="single" w:sz="4" w:space="0" w:color="auto"/>
              <w:bottom w:val="single" w:sz="4" w:space="0" w:color="000000"/>
              <w:right w:val="single" w:sz="4" w:space="0" w:color="auto"/>
            </w:tcBorders>
            <w:vAlign w:val="center"/>
            <w:hideMark/>
          </w:tcPr>
          <w:p w14:paraId="53E5176C"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16C0680C"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61</w:t>
            </w:r>
          </w:p>
        </w:tc>
        <w:tc>
          <w:tcPr>
            <w:tcW w:w="4536" w:type="dxa"/>
            <w:tcBorders>
              <w:top w:val="nil"/>
              <w:left w:val="nil"/>
              <w:bottom w:val="single" w:sz="4" w:space="0" w:color="auto"/>
              <w:right w:val="single" w:sz="4" w:space="0" w:color="auto"/>
            </w:tcBorders>
            <w:shd w:val="clear" w:color="auto" w:fill="auto"/>
            <w:hideMark/>
          </w:tcPr>
          <w:p w14:paraId="6E6457B8"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xml:space="preserve">BOB 2 with full equipped </w:t>
            </w:r>
          </w:p>
        </w:tc>
        <w:tc>
          <w:tcPr>
            <w:tcW w:w="1275" w:type="dxa"/>
            <w:tcBorders>
              <w:top w:val="nil"/>
              <w:left w:val="nil"/>
              <w:bottom w:val="single" w:sz="4" w:space="0" w:color="auto"/>
              <w:right w:val="single" w:sz="4" w:space="0" w:color="auto"/>
            </w:tcBorders>
            <w:shd w:val="clear" w:color="auto" w:fill="auto"/>
            <w:hideMark/>
          </w:tcPr>
          <w:p w14:paraId="1A861300"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81.712</w:t>
            </w:r>
          </w:p>
        </w:tc>
        <w:tc>
          <w:tcPr>
            <w:tcW w:w="1134" w:type="dxa"/>
            <w:tcBorders>
              <w:top w:val="nil"/>
              <w:left w:val="nil"/>
              <w:bottom w:val="single" w:sz="4" w:space="0" w:color="auto"/>
              <w:right w:val="single" w:sz="4" w:space="0" w:color="auto"/>
            </w:tcBorders>
            <w:shd w:val="clear" w:color="auto" w:fill="auto"/>
            <w:hideMark/>
          </w:tcPr>
          <w:p w14:paraId="2493A2DF"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2013</w:t>
            </w:r>
          </w:p>
        </w:tc>
        <w:tc>
          <w:tcPr>
            <w:tcW w:w="2839" w:type="dxa"/>
            <w:tcBorders>
              <w:top w:val="nil"/>
              <w:left w:val="nil"/>
              <w:bottom w:val="single" w:sz="4" w:space="0" w:color="auto"/>
              <w:right w:val="single" w:sz="4" w:space="0" w:color="auto"/>
            </w:tcBorders>
            <w:shd w:val="clear" w:color="auto" w:fill="auto"/>
            <w:hideMark/>
          </w:tcPr>
          <w:p w14:paraId="4EDBFD82"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IPA Project</w:t>
            </w:r>
          </w:p>
        </w:tc>
        <w:tc>
          <w:tcPr>
            <w:tcW w:w="1125" w:type="dxa"/>
            <w:tcBorders>
              <w:top w:val="nil"/>
              <w:left w:val="nil"/>
              <w:bottom w:val="single" w:sz="4" w:space="0" w:color="auto"/>
              <w:right w:val="single" w:sz="4" w:space="0" w:color="auto"/>
            </w:tcBorders>
            <w:shd w:val="clear" w:color="auto" w:fill="auto"/>
            <w:vAlign w:val="center"/>
            <w:hideMark/>
          </w:tcPr>
          <w:p w14:paraId="68993C6A"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10</w:t>
            </w:r>
          </w:p>
        </w:tc>
        <w:tc>
          <w:tcPr>
            <w:tcW w:w="1102" w:type="dxa"/>
            <w:tcBorders>
              <w:top w:val="nil"/>
              <w:left w:val="nil"/>
              <w:bottom w:val="single" w:sz="4" w:space="0" w:color="auto"/>
              <w:right w:val="single" w:sz="4" w:space="0" w:color="auto"/>
            </w:tcBorders>
            <w:shd w:val="clear" w:color="auto" w:fill="auto"/>
            <w:vAlign w:val="center"/>
            <w:hideMark/>
          </w:tcPr>
          <w:p w14:paraId="59AFA6B1"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w:t>
            </w:r>
          </w:p>
        </w:tc>
      </w:tr>
      <w:tr w:rsidR="007947BF" w:rsidRPr="008463F3" w14:paraId="5C2281D4" w14:textId="77777777" w:rsidTr="00DA2AFC">
        <w:tc>
          <w:tcPr>
            <w:tcW w:w="2312" w:type="dxa"/>
            <w:tcBorders>
              <w:top w:val="nil"/>
              <w:left w:val="single" w:sz="4" w:space="0" w:color="auto"/>
              <w:bottom w:val="single" w:sz="4" w:space="0" w:color="auto"/>
              <w:right w:val="single" w:sz="4" w:space="0" w:color="auto"/>
            </w:tcBorders>
            <w:shd w:val="clear" w:color="auto" w:fill="auto"/>
            <w:vAlign w:val="center"/>
            <w:hideMark/>
          </w:tcPr>
          <w:p w14:paraId="451CD579"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xml:space="preserve">St </w:t>
            </w:r>
            <w:proofErr w:type="spellStart"/>
            <w:r w:rsidRPr="008463F3">
              <w:rPr>
                <w:rFonts w:eastAsia="Times New Roman" w:cs="Times New Roman"/>
                <w:color w:val="000000"/>
                <w:sz w:val="20"/>
                <w:szCs w:val="20"/>
                <w:lang w:val="en-GB" w:eastAsia="sr-Latn-RS"/>
              </w:rPr>
              <w:t>Kliment</w:t>
            </w:r>
            <w:proofErr w:type="spellEnd"/>
            <w:r w:rsidRPr="008463F3">
              <w:rPr>
                <w:rFonts w:eastAsia="Times New Roman" w:cs="Times New Roman"/>
                <w:color w:val="000000"/>
                <w:sz w:val="20"/>
                <w:szCs w:val="20"/>
                <w:lang w:val="en-GB" w:eastAsia="sr-Latn-RS"/>
              </w:rPr>
              <w:t xml:space="preserve"> </w:t>
            </w:r>
            <w:proofErr w:type="spellStart"/>
            <w:r w:rsidRPr="008463F3">
              <w:rPr>
                <w:rFonts w:eastAsia="Times New Roman" w:cs="Times New Roman"/>
                <w:color w:val="000000"/>
                <w:sz w:val="20"/>
                <w:szCs w:val="20"/>
                <w:lang w:val="en-GB" w:eastAsia="sr-Latn-RS"/>
              </w:rPr>
              <w:t>Ohridski</w:t>
            </w:r>
            <w:proofErr w:type="spellEnd"/>
            <w:r>
              <w:rPr>
                <w:rFonts w:eastAsia="Times New Roman" w:cs="Times New Roman"/>
                <w:color w:val="000000"/>
                <w:sz w:val="20"/>
                <w:szCs w:val="20"/>
                <w:lang w:val="en-GB" w:eastAsia="sr-Latn-RS"/>
              </w:rPr>
              <w:t xml:space="preserve"> University</w:t>
            </w:r>
            <w:r w:rsidRPr="008463F3">
              <w:rPr>
                <w:rFonts w:eastAsia="Times New Roman" w:cs="Times New Roman"/>
                <w:color w:val="000000"/>
                <w:sz w:val="20"/>
                <w:szCs w:val="20"/>
                <w:lang w:val="en-GB" w:eastAsia="sr-Latn-RS"/>
              </w:rPr>
              <w:t xml:space="preserve">, Veterinary </w:t>
            </w:r>
            <w:r>
              <w:rPr>
                <w:rFonts w:eastAsia="Times New Roman" w:cs="Times New Roman"/>
                <w:color w:val="000000"/>
                <w:sz w:val="20"/>
                <w:szCs w:val="20"/>
                <w:lang w:val="en-GB" w:eastAsia="sr-Latn-RS"/>
              </w:rPr>
              <w:t>F</w:t>
            </w:r>
            <w:r w:rsidRPr="008463F3">
              <w:rPr>
                <w:rFonts w:eastAsia="Times New Roman" w:cs="Times New Roman"/>
                <w:color w:val="000000"/>
                <w:sz w:val="20"/>
                <w:szCs w:val="20"/>
                <w:lang w:val="en-GB" w:eastAsia="sr-Latn-RS"/>
              </w:rPr>
              <w:t>aculty, CNAD (Centr</w:t>
            </w:r>
            <w:r>
              <w:rPr>
                <w:rFonts w:eastAsia="Times New Roman" w:cs="Times New Roman"/>
                <w:color w:val="000000"/>
                <w:sz w:val="20"/>
                <w:szCs w:val="20"/>
                <w:lang w:val="en-GB" w:eastAsia="sr-Latn-RS"/>
              </w:rPr>
              <w:t>e</w:t>
            </w:r>
            <w:r w:rsidRPr="008463F3">
              <w:rPr>
                <w:rFonts w:eastAsia="Times New Roman" w:cs="Times New Roman"/>
                <w:color w:val="000000"/>
                <w:sz w:val="20"/>
                <w:szCs w:val="20"/>
                <w:lang w:val="en-GB" w:eastAsia="sr-Latn-RS"/>
              </w:rPr>
              <w:t xml:space="preserve"> for scientific and ap</w:t>
            </w:r>
            <w:r>
              <w:rPr>
                <w:rFonts w:eastAsia="Times New Roman" w:cs="Times New Roman"/>
                <w:color w:val="000000"/>
                <w:sz w:val="20"/>
                <w:szCs w:val="20"/>
                <w:lang w:val="en-GB" w:eastAsia="sr-Latn-RS"/>
              </w:rPr>
              <w:t>p</w:t>
            </w:r>
            <w:r w:rsidRPr="008463F3">
              <w:rPr>
                <w:rFonts w:eastAsia="Times New Roman" w:cs="Times New Roman"/>
                <w:color w:val="000000"/>
                <w:sz w:val="20"/>
                <w:szCs w:val="20"/>
                <w:lang w:val="en-GB" w:eastAsia="sr-Latn-RS"/>
              </w:rPr>
              <w:t>l</w:t>
            </w:r>
            <w:r>
              <w:rPr>
                <w:rFonts w:eastAsia="Times New Roman" w:cs="Times New Roman"/>
                <w:color w:val="000000"/>
                <w:sz w:val="20"/>
                <w:szCs w:val="20"/>
                <w:lang w:val="en-GB" w:eastAsia="sr-Latn-RS"/>
              </w:rPr>
              <w:t>i</w:t>
            </w:r>
            <w:r w:rsidRPr="008463F3">
              <w:rPr>
                <w:rFonts w:eastAsia="Times New Roman" w:cs="Times New Roman"/>
                <w:color w:val="000000"/>
                <w:sz w:val="20"/>
                <w:szCs w:val="20"/>
                <w:lang w:val="en-GB" w:eastAsia="sr-Latn-RS"/>
              </w:rPr>
              <w:t>ed activities)</w:t>
            </w:r>
          </w:p>
        </w:tc>
        <w:tc>
          <w:tcPr>
            <w:tcW w:w="397" w:type="dxa"/>
            <w:tcBorders>
              <w:top w:val="nil"/>
              <w:left w:val="nil"/>
              <w:bottom w:val="single" w:sz="4" w:space="0" w:color="auto"/>
              <w:right w:val="single" w:sz="4" w:space="0" w:color="auto"/>
            </w:tcBorders>
            <w:shd w:val="clear" w:color="auto" w:fill="auto"/>
            <w:hideMark/>
          </w:tcPr>
          <w:p w14:paraId="7E364F75"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62</w:t>
            </w:r>
          </w:p>
        </w:tc>
        <w:tc>
          <w:tcPr>
            <w:tcW w:w="4536" w:type="dxa"/>
            <w:tcBorders>
              <w:top w:val="nil"/>
              <w:left w:val="nil"/>
              <w:bottom w:val="single" w:sz="4" w:space="0" w:color="auto"/>
              <w:right w:val="single" w:sz="4" w:space="0" w:color="auto"/>
            </w:tcBorders>
            <w:shd w:val="clear" w:color="auto" w:fill="auto"/>
            <w:hideMark/>
          </w:tcPr>
          <w:p w14:paraId="049326CE"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PCR System:</w:t>
            </w:r>
            <w:r w:rsidRPr="008463F3">
              <w:rPr>
                <w:rFonts w:eastAsia="Times New Roman" w:cs="Times New Roman"/>
                <w:color w:val="000000"/>
                <w:sz w:val="20"/>
                <w:szCs w:val="20"/>
                <w:lang w:val="en-GB" w:eastAsia="sr-Latn-RS"/>
              </w:rPr>
              <w:br/>
              <w:t xml:space="preserve">Agilent </w:t>
            </w:r>
            <w:proofErr w:type="spellStart"/>
            <w:r w:rsidRPr="008463F3">
              <w:rPr>
                <w:rFonts w:eastAsia="Times New Roman" w:cs="Times New Roman"/>
                <w:color w:val="000000"/>
                <w:sz w:val="20"/>
                <w:szCs w:val="20"/>
                <w:lang w:val="en-GB" w:eastAsia="sr-Latn-RS"/>
              </w:rPr>
              <w:t>Stratagene</w:t>
            </w:r>
            <w:proofErr w:type="spellEnd"/>
            <w:r w:rsidRPr="008463F3">
              <w:rPr>
                <w:rFonts w:eastAsia="Times New Roman" w:cs="Times New Roman"/>
                <w:color w:val="000000"/>
                <w:sz w:val="20"/>
                <w:szCs w:val="20"/>
                <w:lang w:val="en-GB" w:eastAsia="sr-Latn-RS"/>
              </w:rPr>
              <w:t xml:space="preserve"> MX3005P QPCR System: Agilent 2100 </w:t>
            </w:r>
            <w:proofErr w:type="spellStart"/>
            <w:r w:rsidRPr="008463F3">
              <w:rPr>
                <w:rFonts w:eastAsia="Times New Roman" w:cs="Times New Roman"/>
                <w:color w:val="000000"/>
                <w:sz w:val="20"/>
                <w:szCs w:val="20"/>
                <w:lang w:val="en-GB" w:eastAsia="sr-Latn-RS"/>
              </w:rPr>
              <w:t>Bioanalizer</w:t>
            </w:r>
            <w:proofErr w:type="spellEnd"/>
            <w:r w:rsidRPr="008463F3">
              <w:rPr>
                <w:rFonts w:eastAsia="Times New Roman" w:cs="Times New Roman"/>
                <w:color w:val="000000"/>
                <w:sz w:val="20"/>
                <w:szCs w:val="20"/>
                <w:lang w:val="en-GB" w:eastAsia="sr-Latn-RS"/>
              </w:rPr>
              <w:t xml:space="preserve"> +Laptop;</w:t>
            </w:r>
          </w:p>
        </w:tc>
        <w:tc>
          <w:tcPr>
            <w:tcW w:w="1275" w:type="dxa"/>
            <w:tcBorders>
              <w:top w:val="nil"/>
              <w:left w:val="nil"/>
              <w:bottom w:val="single" w:sz="4" w:space="0" w:color="auto"/>
              <w:right w:val="single" w:sz="4" w:space="0" w:color="auto"/>
            </w:tcBorders>
            <w:shd w:val="clear" w:color="auto" w:fill="auto"/>
            <w:hideMark/>
          </w:tcPr>
          <w:p w14:paraId="1C446483"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54.524</w:t>
            </w:r>
          </w:p>
        </w:tc>
        <w:tc>
          <w:tcPr>
            <w:tcW w:w="1134" w:type="dxa"/>
            <w:tcBorders>
              <w:top w:val="nil"/>
              <w:left w:val="nil"/>
              <w:bottom w:val="single" w:sz="4" w:space="0" w:color="auto"/>
              <w:right w:val="single" w:sz="4" w:space="0" w:color="auto"/>
            </w:tcBorders>
            <w:shd w:val="clear" w:color="auto" w:fill="auto"/>
            <w:hideMark/>
          </w:tcPr>
          <w:p w14:paraId="06D0A77F"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2011</w:t>
            </w:r>
          </w:p>
        </w:tc>
        <w:tc>
          <w:tcPr>
            <w:tcW w:w="2839" w:type="dxa"/>
            <w:tcBorders>
              <w:top w:val="nil"/>
              <w:left w:val="nil"/>
              <w:bottom w:val="single" w:sz="4" w:space="0" w:color="auto"/>
              <w:right w:val="single" w:sz="4" w:space="0" w:color="auto"/>
            </w:tcBorders>
            <w:shd w:val="clear" w:color="auto" w:fill="auto"/>
            <w:hideMark/>
          </w:tcPr>
          <w:p w14:paraId="0DB66591"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Resources of the Ministry of Education and Science</w:t>
            </w:r>
          </w:p>
        </w:tc>
        <w:tc>
          <w:tcPr>
            <w:tcW w:w="1125" w:type="dxa"/>
            <w:tcBorders>
              <w:top w:val="nil"/>
              <w:left w:val="nil"/>
              <w:bottom w:val="single" w:sz="4" w:space="0" w:color="auto"/>
              <w:right w:val="single" w:sz="4" w:space="0" w:color="auto"/>
            </w:tcBorders>
            <w:shd w:val="clear" w:color="auto" w:fill="auto"/>
            <w:vAlign w:val="center"/>
            <w:hideMark/>
          </w:tcPr>
          <w:p w14:paraId="29632885"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10</w:t>
            </w:r>
          </w:p>
        </w:tc>
        <w:tc>
          <w:tcPr>
            <w:tcW w:w="1102" w:type="dxa"/>
            <w:tcBorders>
              <w:top w:val="nil"/>
              <w:left w:val="nil"/>
              <w:bottom w:val="single" w:sz="4" w:space="0" w:color="auto"/>
              <w:right w:val="single" w:sz="4" w:space="0" w:color="auto"/>
            </w:tcBorders>
            <w:shd w:val="clear" w:color="auto" w:fill="auto"/>
            <w:noWrap/>
            <w:vAlign w:val="center"/>
            <w:hideMark/>
          </w:tcPr>
          <w:p w14:paraId="5C163CAC"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w:t>
            </w:r>
          </w:p>
        </w:tc>
      </w:tr>
      <w:tr w:rsidR="007947BF" w:rsidRPr="008463F3" w14:paraId="2F79BDA6" w14:textId="77777777" w:rsidTr="00DA2AFC">
        <w:tc>
          <w:tcPr>
            <w:tcW w:w="2312" w:type="dxa"/>
            <w:vMerge w:val="restart"/>
            <w:tcBorders>
              <w:top w:val="nil"/>
              <w:left w:val="single" w:sz="4" w:space="0" w:color="auto"/>
              <w:bottom w:val="single" w:sz="4" w:space="0" w:color="auto"/>
              <w:right w:val="single" w:sz="4" w:space="0" w:color="auto"/>
            </w:tcBorders>
            <w:shd w:val="clear" w:color="auto" w:fill="auto"/>
            <w:vAlign w:val="center"/>
            <w:hideMark/>
          </w:tcPr>
          <w:p w14:paraId="32DB78B5"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proofErr w:type="spellStart"/>
            <w:r w:rsidRPr="008463F3">
              <w:rPr>
                <w:rFonts w:eastAsia="Times New Roman" w:cs="Times New Roman"/>
                <w:color w:val="000000"/>
                <w:sz w:val="20"/>
                <w:szCs w:val="20"/>
                <w:lang w:val="en-GB" w:eastAsia="sr-Latn-RS"/>
              </w:rPr>
              <w:t>Goce</w:t>
            </w:r>
            <w:proofErr w:type="spellEnd"/>
            <w:r w:rsidRPr="008463F3">
              <w:rPr>
                <w:rFonts w:eastAsia="Times New Roman" w:cs="Times New Roman"/>
                <w:color w:val="000000"/>
                <w:sz w:val="20"/>
                <w:szCs w:val="20"/>
                <w:lang w:val="en-GB" w:eastAsia="sr-Latn-RS"/>
              </w:rPr>
              <w:t xml:space="preserve"> </w:t>
            </w:r>
            <w:proofErr w:type="spellStart"/>
            <w:r w:rsidRPr="008463F3">
              <w:rPr>
                <w:rFonts w:eastAsia="Times New Roman" w:cs="Times New Roman"/>
                <w:color w:val="000000"/>
                <w:sz w:val="20"/>
                <w:szCs w:val="20"/>
                <w:lang w:val="en-GB" w:eastAsia="sr-Latn-RS"/>
              </w:rPr>
              <w:t>Delcev</w:t>
            </w:r>
            <w:proofErr w:type="spellEnd"/>
            <w:r>
              <w:rPr>
                <w:rFonts w:eastAsia="Times New Roman" w:cs="Times New Roman"/>
                <w:color w:val="000000"/>
                <w:sz w:val="20"/>
                <w:szCs w:val="20"/>
                <w:lang w:val="en-GB" w:eastAsia="sr-Latn-RS"/>
              </w:rPr>
              <w:t xml:space="preserve"> University</w:t>
            </w:r>
            <w:r w:rsidRPr="008463F3">
              <w:rPr>
                <w:rFonts w:eastAsia="Times New Roman" w:cs="Times New Roman"/>
                <w:color w:val="000000"/>
                <w:sz w:val="20"/>
                <w:szCs w:val="20"/>
                <w:lang w:val="en-GB" w:eastAsia="sr-Latn-RS"/>
              </w:rPr>
              <w:t xml:space="preserve">, Faculty of Natural and Technical Sciences, AMBICON </w:t>
            </w:r>
            <w:r>
              <w:rPr>
                <w:rFonts w:eastAsia="Times New Roman" w:cs="Times New Roman"/>
                <w:color w:val="000000"/>
                <w:sz w:val="20"/>
                <w:szCs w:val="20"/>
                <w:lang w:val="en-GB" w:eastAsia="sr-Latn-RS"/>
              </w:rPr>
              <w:t>R</w:t>
            </w:r>
            <w:r w:rsidRPr="008463F3">
              <w:rPr>
                <w:rFonts w:eastAsia="Times New Roman" w:cs="Times New Roman"/>
                <w:color w:val="000000"/>
                <w:sz w:val="20"/>
                <w:szCs w:val="20"/>
                <w:lang w:val="en-GB" w:eastAsia="sr-Latn-RS"/>
              </w:rPr>
              <w:t xml:space="preserve">esearch </w:t>
            </w:r>
            <w:r>
              <w:rPr>
                <w:rFonts w:eastAsia="Times New Roman" w:cs="Times New Roman"/>
                <w:color w:val="000000"/>
                <w:sz w:val="20"/>
                <w:szCs w:val="20"/>
                <w:lang w:val="en-GB" w:eastAsia="sr-Latn-RS"/>
              </w:rPr>
              <w:t>G</w:t>
            </w:r>
            <w:r w:rsidRPr="008463F3">
              <w:rPr>
                <w:rFonts w:eastAsia="Times New Roman" w:cs="Times New Roman"/>
                <w:color w:val="000000"/>
                <w:sz w:val="20"/>
                <w:szCs w:val="20"/>
                <w:lang w:val="en-GB" w:eastAsia="sr-Latn-RS"/>
              </w:rPr>
              <w:t>roup</w:t>
            </w:r>
          </w:p>
        </w:tc>
        <w:tc>
          <w:tcPr>
            <w:tcW w:w="397" w:type="dxa"/>
            <w:tcBorders>
              <w:top w:val="nil"/>
              <w:left w:val="nil"/>
              <w:bottom w:val="single" w:sz="4" w:space="0" w:color="auto"/>
              <w:right w:val="single" w:sz="4" w:space="0" w:color="auto"/>
            </w:tcBorders>
            <w:shd w:val="clear" w:color="auto" w:fill="auto"/>
            <w:hideMark/>
          </w:tcPr>
          <w:p w14:paraId="28B297AA"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63</w:t>
            </w:r>
          </w:p>
        </w:tc>
        <w:tc>
          <w:tcPr>
            <w:tcW w:w="4536" w:type="dxa"/>
            <w:tcBorders>
              <w:top w:val="nil"/>
              <w:left w:val="nil"/>
              <w:bottom w:val="single" w:sz="4" w:space="0" w:color="auto"/>
              <w:right w:val="single" w:sz="4" w:space="0" w:color="auto"/>
            </w:tcBorders>
            <w:shd w:val="clear" w:color="auto" w:fill="auto"/>
            <w:hideMark/>
          </w:tcPr>
          <w:p w14:paraId="66711B6A"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Scanning Electron Microscope TESACN VEGA 3 + EDS Oxford analytics + Sample preparation equipment</w:t>
            </w:r>
          </w:p>
        </w:tc>
        <w:tc>
          <w:tcPr>
            <w:tcW w:w="1275" w:type="dxa"/>
            <w:tcBorders>
              <w:top w:val="nil"/>
              <w:left w:val="nil"/>
              <w:bottom w:val="single" w:sz="4" w:space="0" w:color="auto"/>
              <w:right w:val="single" w:sz="4" w:space="0" w:color="auto"/>
            </w:tcBorders>
            <w:shd w:val="clear" w:color="auto" w:fill="auto"/>
            <w:hideMark/>
          </w:tcPr>
          <w:p w14:paraId="1C35965D"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500.000</w:t>
            </w:r>
          </w:p>
        </w:tc>
        <w:tc>
          <w:tcPr>
            <w:tcW w:w="1134" w:type="dxa"/>
            <w:tcBorders>
              <w:top w:val="nil"/>
              <w:left w:val="nil"/>
              <w:bottom w:val="single" w:sz="4" w:space="0" w:color="auto"/>
              <w:right w:val="single" w:sz="4" w:space="0" w:color="auto"/>
            </w:tcBorders>
            <w:shd w:val="clear" w:color="auto" w:fill="auto"/>
            <w:hideMark/>
          </w:tcPr>
          <w:p w14:paraId="4ED633FE"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2011, 2014</w:t>
            </w:r>
          </w:p>
        </w:tc>
        <w:tc>
          <w:tcPr>
            <w:tcW w:w="2839" w:type="dxa"/>
            <w:tcBorders>
              <w:top w:val="nil"/>
              <w:left w:val="nil"/>
              <w:bottom w:val="single" w:sz="4" w:space="0" w:color="auto"/>
              <w:right w:val="single" w:sz="4" w:space="0" w:color="auto"/>
            </w:tcBorders>
            <w:shd w:val="clear" w:color="auto" w:fill="auto"/>
            <w:hideMark/>
          </w:tcPr>
          <w:p w14:paraId="0A9578AF"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Ministry of Education and Science (90%) + Own Funds (10 %)</w:t>
            </w:r>
          </w:p>
        </w:tc>
        <w:tc>
          <w:tcPr>
            <w:tcW w:w="1125" w:type="dxa"/>
            <w:tcBorders>
              <w:top w:val="nil"/>
              <w:left w:val="nil"/>
              <w:bottom w:val="single" w:sz="4" w:space="0" w:color="auto"/>
              <w:right w:val="single" w:sz="4" w:space="0" w:color="auto"/>
            </w:tcBorders>
            <w:shd w:val="clear" w:color="auto" w:fill="auto"/>
            <w:vAlign w:val="center"/>
            <w:hideMark/>
          </w:tcPr>
          <w:p w14:paraId="23438A26"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10+</w:t>
            </w:r>
          </w:p>
        </w:tc>
        <w:tc>
          <w:tcPr>
            <w:tcW w:w="1102" w:type="dxa"/>
            <w:tcBorders>
              <w:top w:val="nil"/>
              <w:left w:val="nil"/>
              <w:bottom w:val="single" w:sz="4" w:space="0" w:color="auto"/>
              <w:right w:val="single" w:sz="4" w:space="0" w:color="auto"/>
            </w:tcBorders>
            <w:shd w:val="clear" w:color="auto" w:fill="auto"/>
            <w:vAlign w:val="center"/>
            <w:hideMark/>
          </w:tcPr>
          <w:p w14:paraId="71178C99"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50</w:t>
            </w:r>
          </w:p>
        </w:tc>
      </w:tr>
      <w:tr w:rsidR="007947BF" w:rsidRPr="008463F3" w14:paraId="644F6356" w14:textId="77777777" w:rsidTr="00DA2AFC">
        <w:tc>
          <w:tcPr>
            <w:tcW w:w="2312" w:type="dxa"/>
            <w:vMerge/>
            <w:tcBorders>
              <w:top w:val="nil"/>
              <w:left w:val="single" w:sz="4" w:space="0" w:color="auto"/>
              <w:bottom w:val="single" w:sz="4" w:space="0" w:color="auto"/>
              <w:right w:val="single" w:sz="4" w:space="0" w:color="auto"/>
            </w:tcBorders>
            <w:vAlign w:val="center"/>
            <w:hideMark/>
          </w:tcPr>
          <w:p w14:paraId="6C6D4AB7"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37D83E46"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64</w:t>
            </w:r>
          </w:p>
        </w:tc>
        <w:tc>
          <w:tcPr>
            <w:tcW w:w="4536" w:type="dxa"/>
            <w:tcBorders>
              <w:top w:val="nil"/>
              <w:left w:val="nil"/>
              <w:bottom w:val="single" w:sz="4" w:space="0" w:color="auto"/>
              <w:right w:val="single" w:sz="4" w:space="0" w:color="auto"/>
            </w:tcBorders>
            <w:shd w:val="clear" w:color="auto" w:fill="auto"/>
            <w:hideMark/>
          </w:tcPr>
          <w:p w14:paraId="7DD9DD91"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xml:space="preserve">X-RAY </w:t>
            </w:r>
            <w:proofErr w:type="spellStart"/>
            <w:r w:rsidRPr="008463F3">
              <w:rPr>
                <w:rFonts w:eastAsia="Times New Roman" w:cs="Times New Roman"/>
                <w:color w:val="000000"/>
                <w:sz w:val="20"/>
                <w:szCs w:val="20"/>
                <w:lang w:val="en-GB" w:eastAsia="sr-Latn-RS"/>
              </w:rPr>
              <w:t>Difractometer</w:t>
            </w:r>
            <w:proofErr w:type="spellEnd"/>
            <w:r w:rsidRPr="008463F3">
              <w:rPr>
                <w:rFonts w:eastAsia="Times New Roman" w:cs="Times New Roman"/>
                <w:color w:val="000000"/>
                <w:sz w:val="20"/>
                <w:szCs w:val="20"/>
                <w:lang w:val="en-GB" w:eastAsia="sr-Latn-RS"/>
              </w:rPr>
              <w:t xml:space="preserve"> Shimadzu XRD 6000</w:t>
            </w:r>
          </w:p>
        </w:tc>
        <w:tc>
          <w:tcPr>
            <w:tcW w:w="1275" w:type="dxa"/>
            <w:tcBorders>
              <w:top w:val="nil"/>
              <w:left w:val="nil"/>
              <w:bottom w:val="single" w:sz="4" w:space="0" w:color="auto"/>
              <w:right w:val="single" w:sz="4" w:space="0" w:color="auto"/>
            </w:tcBorders>
            <w:shd w:val="clear" w:color="auto" w:fill="auto"/>
            <w:hideMark/>
          </w:tcPr>
          <w:p w14:paraId="2A15F139"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150.000</w:t>
            </w:r>
          </w:p>
        </w:tc>
        <w:tc>
          <w:tcPr>
            <w:tcW w:w="1134" w:type="dxa"/>
            <w:tcBorders>
              <w:top w:val="nil"/>
              <w:left w:val="nil"/>
              <w:bottom w:val="single" w:sz="4" w:space="0" w:color="auto"/>
              <w:right w:val="single" w:sz="4" w:space="0" w:color="auto"/>
            </w:tcBorders>
            <w:shd w:val="clear" w:color="auto" w:fill="auto"/>
            <w:hideMark/>
          </w:tcPr>
          <w:p w14:paraId="26D3E0C4"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2011 + 2015</w:t>
            </w:r>
          </w:p>
        </w:tc>
        <w:tc>
          <w:tcPr>
            <w:tcW w:w="2839" w:type="dxa"/>
            <w:tcBorders>
              <w:top w:val="nil"/>
              <w:left w:val="nil"/>
              <w:bottom w:val="single" w:sz="4" w:space="0" w:color="auto"/>
              <w:right w:val="single" w:sz="4" w:space="0" w:color="auto"/>
            </w:tcBorders>
            <w:shd w:val="clear" w:color="auto" w:fill="auto"/>
            <w:hideMark/>
          </w:tcPr>
          <w:p w14:paraId="29627680"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Ministry of Education and Science (90%) + Own Funds (10 %)</w:t>
            </w:r>
          </w:p>
        </w:tc>
        <w:tc>
          <w:tcPr>
            <w:tcW w:w="1125" w:type="dxa"/>
            <w:tcBorders>
              <w:top w:val="nil"/>
              <w:left w:val="nil"/>
              <w:bottom w:val="single" w:sz="4" w:space="0" w:color="auto"/>
              <w:right w:val="single" w:sz="4" w:space="0" w:color="auto"/>
            </w:tcBorders>
            <w:shd w:val="clear" w:color="auto" w:fill="auto"/>
            <w:vAlign w:val="center"/>
            <w:hideMark/>
          </w:tcPr>
          <w:p w14:paraId="4168E84A"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10+</w:t>
            </w:r>
          </w:p>
        </w:tc>
        <w:tc>
          <w:tcPr>
            <w:tcW w:w="1102" w:type="dxa"/>
            <w:tcBorders>
              <w:top w:val="nil"/>
              <w:left w:val="nil"/>
              <w:bottom w:val="single" w:sz="4" w:space="0" w:color="auto"/>
              <w:right w:val="single" w:sz="4" w:space="0" w:color="auto"/>
            </w:tcBorders>
            <w:shd w:val="clear" w:color="auto" w:fill="auto"/>
            <w:vAlign w:val="center"/>
            <w:hideMark/>
          </w:tcPr>
          <w:p w14:paraId="70A425EA"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10</w:t>
            </w:r>
          </w:p>
        </w:tc>
      </w:tr>
      <w:tr w:rsidR="007947BF" w:rsidRPr="008463F3" w14:paraId="07B5AAD9" w14:textId="77777777" w:rsidTr="00DA2AFC">
        <w:tc>
          <w:tcPr>
            <w:tcW w:w="2312" w:type="dxa"/>
            <w:vMerge/>
            <w:tcBorders>
              <w:top w:val="nil"/>
              <w:left w:val="single" w:sz="4" w:space="0" w:color="auto"/>
              <w:bottom w:val="single" w:sz="4" w:space="0" w:color="auto"/>
              <w:right w:val="single" w:sz="4" w:space="0" w:color="auto"/>
            </w:tcBorders>
            <w:vAlign w:val="center"/>
            <w:hideMark/>
          </w:tcPr>
          <w:p w14:paraId="54A2D8A5"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065E1C32"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65</w:t>
            </w:r>
          </w:p>
        </w:tc>
        <w:tc>
          <w:tcPr>
            <w:tcW w:w="4536" w:type="dxa"/>
            <w:tcBorders>
              <w:top w:val="nil"/>
              <w:left w:val="nil"/>
              <w:bottom w:val="single" w:sz="4" w:space="0" w:color="auto"/>
              <w:right w:val="single" w:sz="4" w:space="0" w:color="auto"/>
            </w:tcBorders>
            <w:shd w:val="clear" w:color="auto" w:fill="auto"/>
            <w:hideMark/>
          </w:tcPr>
          <w:p w14:paraId="636C4D01" w14:textId="77777777" w:rsidR="007947BF" w:rsidRPr="008463F3" w:rsidRDefault="007947BF" w:rsidP="00DA2AFC">
            <w:pPr>
              <w:spacing w:after="0" w:line="240" w:lineRule="auto"/>
              <w:rPr>
                <w:rFonts w:eastAsia="Times New Roman" w:cs="Times New Roman"/>
                <w:color w:val="000000"/>
                <w:sz w:val="20"/>
                <w:szCs w:val="20"/>
                <w:lang w:val="en-GB" w:eastAsia="sr-Latn-RS"/>
              </w:rPr>
            </w:pPr>
            <w:proofErr w:type="spellStart"/>
            <w:r w:rsidRPr="008463F3">
              <w:rPr>
                <w:rFonts w:eastAsia="Times New Roman" w:cs="Times New Roman"/>
                <w:color w:val="000000"/>
                <w:sz w:val="20"/>
                <w:szCs w:val="20"/>
                <w:lang w:val="en-GB" w:eastAsia="sr-Latn-RS"/>
              </w:rPr>
              <w:t>Fluoroscence</w:t>
            </w:r>
            <w:proofErr w:type="spellEnd"/>
            <w:r w:rsidRPr="008463F3">
              <w:rPr>
                <w:rFonts w:eastAsia="Times New Roman" w:cs="Times New Roman"/>
                <w:color w:val="000000"/>
                <w:sz w:val="20"/>
                <w:szCs w:val="20"/>
                <w:lang w:val="en-GB" w:eastAsia="sr-Latn-RS"/>
              </w:rPr>
              <w:t xml:space="preserve"> X-RAY spectrophotometer Shimadzu EDX 900</w:t>
            </w:r>
          </w:p>
        </w:tc>
        <w:tc>
          <w:tcPr>
            <w:tcW w:w="1275" w:type="dxa"/>
            <w:tcBorders>
              <w:top w:val="nil"/>
              <w:left w:val="nil"/>
              <w:bottom w:val="single" w:sz="4" w:space="0" w:color="auto"/>
              <w:right w:val="single" w:sz="4" w:space="0" w:color="auto"/>
            </w:tcBorders>
            <w:shd w:val="clear" w:color="auto" w:fill="auto"/>
            <w:hideMark/>
          </w:tcPr>
          <w:p w14:paraId="4CD30AF6"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80.000</w:t>
            </w:r>
          </w:p>
        </w:tc>
        <w:tc>
          <w:tcPr>
            <w:tcW w:w="1134" w:type="dxa"/>
            <w:tcBorders>
              <w:top w:val="nil"/>
              <w:left w:val="nil"/>
              <w:bottom w:val="single" w:sz="4" w:space="0" w:color="auto"/>
              <w:right w:val="single" w:sz="4" w:space="0" w:color="auto"/>
            </w:tcBorders>
            <w:shd w:val="clear" w:color="auto" w:fill="auto"/>
            <w:hideMark/>
          </w:tcPr>
          <w:p w14:paraId="575852E9"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2011 +2015</w:t>
            </w:r>
          </w:p>
        </w:tc>
        <w:tc>
          <w:tcPr>
            <w:tcW w:w="2839" w:type="dxa"/>
            <w:tcBorders>
              <w:top w:val="nil"/>
              <w:left w:val="nil"/>
              <w:bottom w:val="single" w:sz="4" w:space="0" w:color="auto"/>
              <w:right w:val="single" w:sz="4" w:space="0" w:color="auto"/>
            </w:tcBorders>
            <w:shd w:val="clear" w:color="auto" w:fill="auto"/>
            <w:hideMark/>
          </w:tcPr>
          <w:p w14:paraId="7271A2C9"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Ministry of Education and Science (80%) + Own Funds (20%)</w:t>
            </w:r>
          </w:p>
        </w:tc>
        <w:tc>
          <w:tcPr>
            <w:tcW w:w="1125" w:type="dxa"/>
            <w:tcBorders>
              <w:top w:val="nil"/>
              <w:left w:val="nil"/>
              <w:bottom w:val="single" w:sz="4" w:space="0" w:color="auto"/>
              <w:right w:val="single" w:sz="4" w:space="0" w:color="auto"/>
            </w:tcBorders>
            <w:shd w:val="clear" w:color="auto" w:fill="auto"/>
            <w:vAlign w:val="center"/>
            <w:hideMark/>
          </w:tcPr>
          <w:p w14:paraId="0C7EF9AD"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10+</w:t>
            </w:r>
          </w:p>
        </w:tc>
        <w:tc>
          <w:tcPr>
            <w:tcW w:w="1102" w:type="dxa"/>
            <w:tcBorders>
              <w:top w:val="nil"/>
              <w:left w:val="nil"/>
              <w:bottom w:val="single" w:sz="4" w:space="0" w:color="auto"/>
              <w:right w:val="single" w:sz="4" w:space="0" w:color="auto"/>
            </w:tcBorders>
            <w:shd w:val="clear" w:color="auto" w:fill="auto"/>
            <w:vAlign w:val="center"/>
            <w:hideMark/>
          </w:tcPr>
          <w:p w14:paraId="7E3D10AD"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w:t>
            </w:r>
          </w:p>
        </w:tc>
      </w:tr>
      <w:tr w:rsidR="007947BF" w:rsidRPr="008463F3" w14:paraId="1EC74480" w14:textId="77777777" w:rsidTr="00DA2AFC">
        <w:tc>
          <w:tcPr>
            <w:tcW w:w="2312" w:type="dxa"/>
            <w:vMerge/>
            <w:tcBorders>
              <w:top w:val="nil"/>
              <w:left w:val="single" w:sz="4" w:space="0" w:color="auto"/>
              <w:bottom w:val="single" w:sz="4" w:space="0" w:color="auto"/>
              <w:right w:val="single" w:sz="4" w:space="0" w:color="auto"/>
            </w:tcBorders>
            <w:vAlign w:val="center"/>
            <w:hideMark/>
          </w:tcPr>
          <w:p w14:paraId="5F67ECD2"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30F511A7"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66</w:t>
            </w:r>
          </w:p>
        </w:tc>
        <w:tc>
          <w:tcPr>
            <w:tcW w:w="4536" w:type="dxa"/>
            <w:tcBorders>
              <w:top w:val="nil"/>
              <w:left w:val="nil"/>
              <w:bottom w:val="single" w:sz="4" w:space="0" w:color="auto"/>
              <w:right w:val="single" w:sz="4" w:space="0" w:color="auto"/>
            </w:tcBorders>
            <w:shd w:val="clear" w:color="auto" w:fill="auto"/>
            <w:hideMark/>
          </w:tcPr>
          <w:p w14:paraId="44B2F395"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Scanning Probe Microscope SPM970</w:t>
            </w:r>
          </w:p>
        </w:tc>
        <w:tc>
          <w:tcPr>
            <w:tcW w:w="1275" w:type="dxa"/>
            <w:tcBorders>
              <w:top w:val="nil"/>
              <w:left w:val="nil"/>
              <w:bottom w:val="single" w:sz="4" w:space="0" w:color="auto"/>
              <w:right w:val="single" w:sz="4" w:space="0" w:color="auto"/>
            </w:tcBorders>
            <w:shd w:val="clear" w:color="auto" w:fill="auto"/>
            <w:hideMark/>
          </w:tcPr>
          <w:p w14:paraId="203772A6"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70.000</w:t>
            </w:r>
          </w:p>
        </w:tc>
        <w:tc>
          <w:tcPr>
            <w:tcW w:w="1134" w:type="dxa"/>
            <w:tcBorders>
              <w:top w:val="nil"/>
              <w:left w:val="nil"/>
              <w:bottom w:val="single" w:sz="4" w:space="0" w:color="auto"/>
              <w:right w:val="single" w:sz="4" w:space="0" w:color="auto"/>
            </w:tcBorders>
            <w:shd w:val="clear" w:color="auto" w:fill="auto"/>
            <w:hideMark/>
          </w:tcPr>
          <w:p w14:paraId="0A3603C7"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2011</w:t>
            </w:r>
          </w:p>
        </w:tc>
        <w:tc>
          <w:tcPr>
            <w:tcW w:w="2839" w:type="dxa"/>
            <w:tcBorders>
              <w:top w:val="nil"/>
              <w:left w:val="nil"/>
              <w:bottom w:val="single" w:sz="4" w:space="0" w:color="auto"/>
              <w:right w:val="single" w:sz="4" w:space="0" w:color="auto"/>
            </w:tcBorders>
            <w:shd w:val="clear" w:color="auto" w:fill="auto"/>
            <w:hideMark/>
          </w:tcPr>
          <w:p w14:paraId="553BA8FB"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Ministry of Education and Science</w:t>
            </w:r>
          </w:p>
        </w:tc>
        <w:tc>
          <w:tcPr>
            <w:tcW w:w="1125" w:type="dxa"/>
            <w:tcBorders>
              <w:top w:val="nil"/>
              <w:left w:val="nil"/>
              <w:bottom w:val="single" w:sz="4" w:space="0" w:color="auto"/>
              <w:right w:val="single" w:sz="4" w:space="0" w:color="auto"/>
            </w:tcBorders>
            <w:shd w:val="clear" w:color="auto" w:fill="auto"/>
            <w:vAlign w:val="center"/>
            <w:hideMark/>
          </w:tcPr>
          <w:p w14:paraId="6CCE8E28"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10+</w:t>
            </w:r>
          </w:p>
        </w:tc>
        <w:tc>
          <w:tcPr>
            <w:tcW w:w="1102" w:type="dxa"/>
            <w:tcBorders>
              <w:top w:val="nil"/>
              <w:left w:val="nil"/>
              <w:bottom w:val="single" w:sz="4" w:space="0" w:color="auto"/>
              <w:right w:val="single" w:sz="4" w:space="0" w:color="auto"/>
            </w:tcBorders>
            <w:shd w:val="clear" w:color="auto" w:fill="auto"/>
            <w:vAlign w:val="center"/>
            <w:hideMark/>
          </w:tcPr>
          <w:p w14:paraId="4B3080BA"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w:t>
            </w:r>
          </w:p>
        </w:tc>
      </w:tr>
      <w:tr w:rsidR="007947BF" w:rsidRPr="008463F3" w14:paraId="28698BB7" w14:textId="77777777" w:rsidTr="00DA2AFC">
        <w:tc>
          <w:tcPr>
            <w:tcW w:w="2312" w:type="dxa"/>
            <w:vMerge/>
            <w:tcBorders>
              <w:top w:val="nil"/>
              <w:left w:val="single" w:sz="4" w:space="0" w:color="auto"/>
              <w:bottom w:val="single" w:sz="4" w:space="0" w:color="auto"/>
              <w:right w:val="single" w:sz="4" w:space="0" w:color="auto"/>
            </w:tcBorders>
            <w:vAlign w:val="center"/>
            <w:hideMark/>
          </w:tcPr>
          <w:p w14:paraId="5D9BAFAD"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38AF5D22"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67</w:t>
            </w:r>
          </w:p>
        </w:tc>
        <w:tc>
          <w:tcPr>
            <w:tcW w:w="4536" w:type="dxa"/>
            <w:tcBorders>
              <w:top w:val="nil"/>
              <w:left w:val="nil"/>
              <w:bottom w:val="single" w:sz="4" w:space="0" w:color="auto"/>
              <w:right w:val="single" w:sz="4" w:space="0" w:color="auto"/>
            </w:tcBorders>
            <w:shd w:val="clear" w:color="auto" w:fill="auto"/>
            <w:hideMark/>
          </w:tcPr>
          <w:p w14:paraId="3A94C0A9"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Particle Size Analy</w:t>
            </w:r>
            <w:r>
              <w:rPr>
                <w:rFonts w:eastAsia="Times New Roman" w:cs="Times New Roman"/>
                <w:color w:val="000000"/>
                <w:sz w:val="20"/>
                <w:szCs w:val="20"/>
                <w:lang w:val="en-GB" w:eastAsia="sr-Latn-RS"/>
              </w:rPr>
              <w:t>s</w:t>
            </w:r>
            <w:r w:rsidRPr="008463F3">
              <w:rPr>
                <w:rFonts w:eastAsia="Times New Roman" w:cs="Times New Roman"/>
                <w:color w:val="000000"/>
                <w:sz w:val="20"/>
                <w:szCs w:val="20"/>
                <w:lang w:val="en-GB" w:eastAsia="sr-Latn-RS"/>
              </w:rPr>
              <w:t>er SALD 3101</w:t>
            </w:r>
          </w:p>
        </w:tc>
        <w:tc>
          <w:tcPr>
            <w:tcW w:w="1275" w:type="dxa"/>
            <w:tcBorders>
              <w:top w:val="nil"/>
              <w:left w:val="nil"/>
              <w:bottom w:val="single" w:sz="4" w:space="0" w:color="auto"/>
              <w:right w:val="single" w:sz="4" w:space="0" w:color="auto"/>
            </w:tcBorders>
            <w:shd w:val="clear" w:color="auto" w:fill="auto"/>
            <w:hideMark/>
          </w:tcPr>
          <w:p w14:paraId="77AFEF07"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100.000</w:t>
            </w:r>
          </w:p>
        </w:tc>
        <w:tc>
          <w:tcPr>
            <w:tcW w:w="1134" w:type="dxa"/>
            <w:tcBorders>
              <w:top w:val="nil"/>
              <w:left w:val="nil"/>
              <w:bottom w:val="single" w:sz="4" w:space="0" w:color="auto"/>
              <w:right w:val="single" w:sz="4" w:space="0" w:color="auto"/>
            </w:tcBorders>
            <w:shd w:val="clear" w:color="auto" w:fill="auto"/>
            <w:hideMark/>
          </w:tcPr>
          <w:p w14:paraId="3371E55E"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2011</w:t>
            </w:r>
          </w:p>
        </w:tc>
        <w:tc>
          <w:tcPr>
            <w:tcW w:w="2839" w:type="dxa"/>
            <w:tcBorders>
              <w:top w:val="nil"/>
              <w:left w:val="nil"/>
              <w:bottom w:val="single" w:sz="4" w:space="0" w:color="auto"/>
              <w:right w:val="single" w:sz="4" w:space="0" w:color="auto"/>
            </w:tcBorders>
            <w:shd w:val="clear" w:color="auto" w:fill="auto"/>
            <w:hideMark/>
          </w:tcPr>
          <w:p w14:paraId="33790A83"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Ministry of Education and Science</w:t>
            </w:r>
          </w:p>
        </w:tc>
        <w:tc>
          <w:tcPr>
            <w:tcW w:w="1125" w:type="dxa"/>
            <w:tcBorders>
              <w:top w:val="nil"/>
              <w:left w:val="nil"/>
              <w:bottom w:val="single" w:sz="4" w:space="0" w:color="auto"/>
              <w:right w:val="single" w:sz="4" w:space="0" w:color="auto"/>
            </w:tcBorders>
            <w:shd w:val="clear" w:color="auto" w:fill="auto"/>
            <w:vAlign w:val="center"/>
            <w:hideMark/>
          </w:tcPr>
          <w:p w14:paraId="45950261"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10+</w:t>
            </w:r>
          </w:p>
        </w:tc>
        <w:tc>
          <w:tcPr>
            <w:tcW w:w="1102" w:type="dxa"/>
            <w:tcBorders>
              <w:top w:val="nil"/>
              <w:left w:val="nil"/>
              <w:bottom w:val="single" w:sz="4" w:space="0" w:color="auto"/>
              <w:right w:val="single" w:sz="4" w:space="0" w:color="auto"/>
            </w:tcBorders>
            <w:shd w:val="clear" w:color="auto" w:fill="auto"/>
            <w:vAlign w:val="center"/>
            <w:hideMark/>
          </w:tcPr>
          <w:p w14:paraId="00892553"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w:t>
            </w:r>
          </w:p>
        </w:tc>
      </w:tr>
      <w:tr w:rsidR="007947BF" w:rsidRPr="008463F3" w14:paraId="24988E72" w14:textId="77777777" w:rsidTr="00DA2AFC">
        <w:tc>
          <w:tcPr>
            <w:tcW w:w="2312" w:type="dxa"/>
            <w:vMerge/>
            <w:tcBorders>
              <w:top w:val="nil"/>
              <w:left w:val="single" w:sz="4" w:space="0" w:color="auto"/>
              <w:bottom w:val="single" w:sz="4" w:space="0" w:color="auto"/>
              <w:right w:val="single" w:sz="4" w:space="0" w:color="auto"/>
            </w:tcBorders>
            <w:vAlign w:val="center"/>
            <w:hideMark/>
          </w:tcPr>
          <w:p w14:paraId="7421A58C"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49D8EECC"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68</w:t>
            </w:r>
          </w:p>
        </w:tc>
        <w:tc>
          <w:tcPr>
            <w:tcW w:w="4536" w:type="dxa"/>
            <w:tcBorders>
              <w:top w:val="nil"/>
              <w:left w:val="nil"/>
              <w:bottom w:val="single" w:sz="4" w:space="0" w:color="auto"/>
              <w:right w:val="single" w:sz="4" w:space="0" w:color="auto"/>
            </w:tcBorders>
            <w:shd w:val="clear" w:color="auto" w:fill="auto"/>
            <w:hideMark/>
          </w:tcPr>
          <w:p w14:paraId="224DDECE"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Highly sensitive Radon determination equipment for water, air and soil samples</w:t>
            </w:r>
          </w:p>
        </w:tc>
        <w:tc>
          <w:tcPr>
            <w:tcW w:w="1275" w:type="dxa"/>
            <w:tcBorders>
              <w:top w:val="nil"/>
              <w:left w:val="nil"/>
              <w:bottom w:val="single" w:sz="4" w:space="0" w:color="auto"/>
              <w:right w:val="single" w:sz="4" w:space="0" w:color="auto"/>
            </w:tcBorders>
            <w:shd w:val="clear" w:color="auto" w:fill="auto"/>
            <w:hideMark/>
          </w:tcPr>
          <w:p w14:paraId="20693E62"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70.000</w:t>
            </w:r>
          </w:p>
        </w:tc>
        <w:tc>
          <w:tcPr>
            <w:tcW w:w="1134" w:type="dxa"/>
            <w:tcBorders>
              <w:top w:val="nil"/>
              <w:left w:val="nil"/>
              <w:bottom w:val="single" w:sz="4" w:space="0" w:color="auto"/>
              <w:right w:val="single" w:sz="4" w:space="0" w:color="auto"/>
            </w:tcBorders>
            <w:shd w:val="clear" w:color="auto" w:fill="auto"/>
            <w:hideMark/>
          </w:tcPr>
          <w:p w14:paraId="008AFC43"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2018</w:t>
            </w:r>
          </w:p>
        </w:tc>
        <w:tc>
          <w:tcPr>
            <w:tcW w:w="2839" w:type="dxa"/>
            <w:tcBorders>
              <w:top w:val="nil"/>
              <w:left w:val="nil"/>
              <w:bottom w:val="single" w:sz="4" w:space="0" w:color="auto"/>
              <w:right w:val="single" w:sz="4" w:space="0" w:color="auto"/>
            </w:tcBorders>
            <w:shd w:val="clear" w:color="auto" w:fill="auto"/>
            <w:hideMark/>
          </w:tcPr>
          <w:p w14:paraId="6EFC54D4"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Own funds</w:t>
            </w:r>
          </w:p>
        </w:tc>
        <w:tc>
          <w:tcPr>
            <w:tcW w:w="1125" w:type="dxa"/>
            <w:tcBorders>
              <w:top w:val="nil"/>
              <w:left w:val="nil"/>
              <w:bottom w:val="single" w:sz="4" w:space="0" w:color="auto"/>
              <w:right w:val="single" w:sz="4" w:space="0" w:color="auto"/>
            </w:tcBorders>
            <w:shd w:val="clear" w:color="auto" w:fill="auto"/>
            <w:vAlign w:val="center"/>
            <w:hideMark/>
          </w:tcPr>
          <w:p w14:paraId="614F3596"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10+</w:t>
            </w:r>
          </w:p>
        </w:tc>
        <w:tc>
          <w:tcPr>
            <w:tcW w:w="1102" w:type="dxa"/>
            <w:tcBorders>
              <w:top w:val="nil"/>
              <w:left w:val="nil"/>
              <w:bottom w:val="single" w:sz="4" w:space="0" w:color="auto"/>
              <w:right w:val="single" w:sz="4" w:space="0" w:color="auto"/>
            </w:tcBorders>
            <w:shd w:val="clear" w:color="auto" w:fill="auto"/>
            <w:vAlign w:val="center"/>
            <w:hideMark/>
          </w:tcPr>
          <w:p w14:paraId="36C7A884"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4</w:t>
            </w:r>
          </w:p>
        </w:tc>
      </w:tr>
      <w:tr w:rsidR="007947BF" w:rsidRPr="008463F3" w14:paraId="68103B45" w14:textId="77777777" w:rsidTr="00DA2AFC">
        <w:tc>
          <w:tcPr>
            <w:tcW w:w="2312" w:type="dxa"/>
            <w:vMerge/>
            <w:tcBorders>
              <w:top w:val="nil"/>
              <w:left w:val="single" w:sz="4" w:space="0" w:color="auto"/>
              <w:bottom w:val="single" w:sz="4" w:space="0" w:color="auto"/>
              <w:right w:val="single" w:sz="4" w:space="0" w:color="auto"/>
            </w:tcBorders>
            <w:vAlign w:val="center"/>
            <w:hideMark/>
          </w:tcPr>
          <w:p w14:paraId="0B9D71A0"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321CC22B"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69</w:t>
            </w:r>
          </w:p>
        </w:tc>
        <w:tc>
          <w:tcPr>
            <w:tcW w:w="4536" w:type="dxa"/>
            <w:tcBorders>
              <w:top w:val="nil"/>
              <w:left w:val="nil"/>
              <w:bottom w:val="single" w:sz="4" w:space="0" w:color="auto"/>
              <w:right w:val="single" w:sz="4" w:space="0" w:color="auto"/>
            </w:tcBorders>
            <w:shd w:val="clear" w:color="auto" w:fill="auto"/>
            <w:hideMark/>
          </w:tcPr>
          <w:p w14:paraId="1451CA8F"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Specific smaller equipment, consisting of sampling, analytical and measurement equipment + reference materials</w:t>
            </w:r>
          </w:p>
        </w:tc>
        <w:tc>
          <w:tcPr>
            <w:tcW w:w="1275" w:type="dxa"/>
            <w:tcBorders>
              <w:top w:val="nil"/>
              <w:left w:val="nil"/>
              <w:bottom w:val="single" w:sz="4" w:space="0" w:color="auto"/>
              <w:right w:val="single" w:sz="4" w:space="0" w:color="auto"/>
            </w:tcBorders>
            <w:shd w:val="clear" w:color="auto" w:fill="auto"/>
            <w:hideMark/>
          </w:tcPr>
          <w:p w14:paraId="20D488BF"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300.000</w:t>
            </w:r>
          </w:p>
        </w:tc>
        <w:tc>
          <w:tcPr>
            <w:tcW w:w="1134" w:type="dxa"/>
            <w:tcBorders>
              <w:top w:val="nil"/>
              <w:left w:val="nil"/>
              <w:bottom w:val="single" w:sz="4" w:space="0" w:color="auto"/>
              <w:right w:val="single" w:sz="4" w:space="0" w:color="auto"/>
            </w:tcBorders>
            <w:shd w:val="clear" w:color="auto" w:fill="auto"/>
            <w:hideMark/>
          </w:tcPr>
          <w:p w14:paraId="148ED517"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2012-2020</w:t>
            </w:r>
          </w:p>
        </w:tc>
        <w:tc>
          <w:tcPr>
            <w:tcW w:w="2839" w:type="dxa"/>
            <w:tcBorders>
              <w:top w:val="nil"/>
              <w:left w:val="nil"/>
              <w:bottom w:val="single" w:sz="4" w:space="0" w:color="auto"/>
              <w:right w:val="single" w:sz="4" w:space="0" w:color="auto"/>
            </w:tcBorders>
            <w:shd w:val="clear" w:color="auto" w:fill="auto"/>
            <w:hideMark/>
          </w:tcPr>
          <w:p w14:paraId="469194B1"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Own Funds</w:t>
            </w:r>
          </w:p>
        </w:tc>
        <w:tc>
          <w:tcPr>
            <w:tcW w:w="1125" w:type="dxa"/>
            <w:tcBorders>
              <w:top w:val="nil"/>
              <w:left w:val="nil"/>
              <w:bottom w:val="single" w:sz="4" w:space="0" w:color="auto"/>
              <w:right w:val="single" w:sz="4" w:space="0" w:color="auto"/>
            </w:tcBorders>
            <w:shd w:val="clear" w:color="auto" w:fill="auto"/>
            <w:vAlign w:val="center"/>
            <w:hideMark/>
          </w:tcPr>
          <w:p w14:paraId="5A023320"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 +</w:t>
            </w:r>
          </w:p>
        </w:tc>
        <w:tc>
          <w:tcPr>
            <w:tcW w:w="1102" w:type="dxa"/>
            <w:tcBorders>
              <w:top w:val="nil"/>
              <w:left w:val="nil"/>
              <w:bottom w:val="single" w:sz="4" w:space="0" w:color="auto"/>
              <w:right w:val="single" w:sz="4" w:space="0" w:color="auto"/>
            </w:tcBorders>
            <w:shd w:val="clear" w:color="auto" w:fill="auto"/>
            <w:vAlign w:val="center"/>
            <w:hideMark/>
          </w:tcPr>
          <w:p w14:paraId="217030E3"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30</w:t>
            </w:r>
          </w:p>
        </w:tc>
      </w:tr>
      <w:tr w:rsidR="007947BF" w:rsidRPr="008463F3" w14:paraId="0E580003" w14:textId="77777777" w:rsidTr="00DA2AFC">
        <w:tc>
          <w:tcPr>
            <w:tcW w:w="2312" w:type="dxa"/>
            <w:vMerge w:val="restart"/>
            <w:tcBorders>
              <w:top w:val="nil"/>
              <w:left w:val="single" w:sz="4" w:space="0" w:color="auto"/>
              <w:bottom w:val="single" w:sz="4" w:space="0" w:color="000000"/>
              <w:right w:val="single" w:sz="4" w:space="0" w:color="auto"/>
            </w:tcBorders>
            <w:shd w:val="clear" w:color="auto" w:fill="auto"/>
            <w:vAlign w:val="center"/>
            <w:hideMark/>
          </w:tcPr>
          <w:p w14:paraId="51BEB8DB"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proofErr w:type="spellStart"/>
            <w:r w:rsidRPr="008463F3">
              <w:rPr>
                <w:rFonts w:eastAsia="Times New Roman" w:cs="Times New Roman"/>
                <w:color w:val="000000"/>
                <w:sz w:val="20"/>
                <w:szCs w:val="20"/>
                <w:lang w:val="en-GB" w:eastAsia="sr-Latn-RS"/>
              </w:rPr>
              <w:t>Goce</w:t>
            </w:r>
            <w:proofErr w:type="spellEnd"/>
            <w:r w:rsidRPr="008463F3">
              <w:rPr>
                <w:rFonts w:eastAsia="Times New Roman" w:cs="Times New Roman"/>
                <w:color w:val="000000"/>
                <w:sz w:val="20"/>
                <w:szCs w:val="20"/>
                <w:lang w:val="en-GB" w:eastAsia="sr-Latn-RS"/>
              </w:rPr>
              <w:t xml:space="preserve"> </w:t>
            </w:r>
            <w:proofErr w:type="spellStart"/>
            <w:r w:rsidRPr="008463F3">
              <w:rPr>
                <w:rFonts w:eastAsia="Times New Roman" w:cs="Times New Roman"/>
                <w:color w:val="000000"/>
                <w:sz w:val="20"/>
                <w:szCs w:val="20"/>
                <w:lang w:val="en-GB" w:eastAsia="sr-Latn-RS"/>
              </w:rPr>
              <w:t>Delcev</w:t>
            </w:r>
            <w:proofErr w:type="spellEnd"/>
            <w:r>
              <w:rPr>
                <w:rFonts w:eastAsia="Times New Roman" w:cs="Times New Roman"/>
                <w:color w:val="000000"/>
                <w:sz w:val="20"/>
                <w:szCs w:val="20"/>
                <w:lang w:val="en-GB" w:eastAsia="sr-Latn-RS"/>
              </w:rPr>
              <w:t xml:space="preserve"> University</w:t>
            </w:r>
            <w:r w:rsidRPr="008463F3">
              <w:rPr>
                <w:rFonts w:eastAsia="Times New Roman" w:cs="Times New Roman"/>
                <w:color w:val="000000"/>
                <w:sz w:val="20"/>
                <w:szCs w:val="20"/>
                <w:lang w:val="en-GB" w:eastAsia="sr-Latn-RS"/>
              </w:rPr>
              <w:t>, Faculty of Medical Sciences, Health Sciences Research Group</w:t>
            </w:r>
          </w:p>
        </w:tc>
        <w:tc>
          <w:tcPr>
            <w:tcW w:w="397" w:type="dxa"/>
            <w:tcBorders>
              <w:top w:val="nil"/>
              <w:left w:val="nil"/>
              <w:bottom w:val="single" w:sz="4" w:space="0" w:color="auto"/>
              <w:right w:val="single" w:sz="4" w:space="0" w:color="auto"/>
            </w:tcBorders>
            <w:shd w:val="clear" w:color="auto" w:fill="auto"/>
            <w:hideMark/>
          </w:tcPr>
          <w:p w14:paraId="1CC68DE4"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70</w:t>
            </w:r>
          </w:p>
        </w:tc>
        <w:tc>
          <w:tcPr>
            <w:tcW w:w="4536" w:type="dxa"/>
            <w:tcBorders>
              <w:top w:val="nil"/>
              <w:left w:val="nil"/>
              <w:bottom w:val="single" w:sz="4" w:space="0" w:color="auto"/>
              <w:right w:val="single" w:sz="4" w:space="0" w:color="auto"/>
            </w:tcBorders>
            <w:shd w:val="clear" w:color="auto" w:fill="auto"/>
            <w:hideMark/>
          </w:tcPr>
          <w:p w14:paraId="083E1FA0"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RADIOPHARMACY</w:t>
            </w:r>
            <w:r w:rsidRPr="008463F3">
              <w:rPr>
                <w:rFonts w:eastAsia="Times New Roman" w:cs="Times New Roman"/>
                <w:color w:val="000000"/>
                <w:sz w:val="20"/>
                <w:szCs w:val="20"/>
                <w:lang w:val="en-GB" w:eastAsia="sr-Latn-RS"/>
              </w:rPr>
              <w:br/>
            </w:r>
            <w:proofErr w:type="spellStart"/>
            <w:r w:rsidRPr="008463F3">
              <w:rPr>
                <w:rFonts w:eastAsia="Times New Roman" w:cs="Times New Roman"/>
                <w:color w:val="000000"/>
                <w:sz w:val="20"/>
                <w:szCs w:val="20"/>
                <w:lang w:val="en-GB" w:eastAsia="sr-Latn-RS"/>
              </w:rPr>
              <w:t>Liophiliser</w:t>
            </w:r>
            <w:proofErr w:type="spellEnd"/>
          </w:p>
        </w:tc>
        <w:tc>
          <w:tcPr>
            <w:tcW w:w="1275" w:type="dxa"/>
            <w:tcBorders>
              <w:top w:val="nil"/>
              <w:left w:val="nil"/>
              <w:bottom w:val="single" w:sz="4" w:space="0" w:color="auto"/>
              <w:right w:val="single" w:sz="4" w:space="0" w:color="auto"/>
            </w:tcBorders>
            <w:shd w:val="clear" w:color="auto" w:fill="auto"/>
            <w:hideMark/>
          </w:tcPr>
          <w:p w14:paraId="524FEEA7"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50.000</w:t>
            </w:r>
          </w:p>
        </w:tc>
        <w:tc>
          <w:tcPr>
            <w:tcW w:w="1134" w:type="dxa"/>
            <w:tcBorders>
              <w:top w:val="nil"/>
              <w:left w:val="nil"/>
              <w:bottom w:val="single" w:sz="4" w:space="0" w:color="auto"/>
              <w:right w:val="single" w:sz="4" w:space="0" w:color="auto"/>
            </w:tcBorders>
            <w:shd w:val="clear" w:color="auto" w:fill="auto"/>
            <w:hideMark/>
          </w:tcPr>
          <w:p w14:paraId="5F8358FA"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2011</w:t>
            </w:r>
          </w:p>
        </w:tc>
        <w:tc>
          <w:tcPr>
            <w:tcW w:w="2839" w:type="dxa"/>
            <w:tcBorders>
              <w:top w:val="nil"/>
              <w:left w:val="nil"/>
              <w:bottom w:val="single" w:sz="4" w:space="0" w:color="auto"/>
              <w:right w:val="single" w:sz="4" w:space="0" w:color="auto"/>
            </w:tcBorders>
            <w:shd w:val="clear" w:color="auto" w:fill="auto"/>
            <w:hideMark/>
          </w:tcPr>
          <w:p w14:paraId="4CF966A1"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Ministry of Education and Science</w:t>
            </w:r>
          </w:p>
        </w:tc>
        <w:tc>
          <w:tcPr>
            <w:tcW w:w="1125" w:type="dxa"/>
            <w:tcBorders>
              <w:top w:val="nil"/>
              <w:left w:val="nil"/>
              <w:bottom w:val="single" w:sz="4" w:space="0" w:color="auto"/>
              <w:right w:val="single" w:sz="4" w:space="0" w:color="auto"/>
            </w:tcBorders>
            <w:shd w:val="clear" w:color="auto" w:fill="auto"/>
            <w:vAlign w:val="center"/>
            <w:hideMark/>
          </w:tcPr>
          <w:p w14:paraId="16E31957"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10+</w:t>
            </w:r>
          </w:p>
        </w:tc>
        <w:tc>
          <w:tcPr>
            <w:tcW w:w="1102" w:type="dxa"/>
            <w:tcBorders>
              <w:top w:val="nil"/>
              <w:left w:val="nil"/>
              <w:bottom w:val="single" w:sz="4" w:space="0" w:color="auto"/>
              <w:right w:val="single" w:sz="4" w:space="0" w:color="auto"/>
            </w:tcBorders>
            <w:shd w:val="clear" w:color="auto" w:fill="auto"/>
            <w:vAlign w:val="center"/>
            <w:hideMark/>
          </w:tcPr>
          <w:p w14:paraId="214FD2D5"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w:t>
            </w:r>
          </w:p>
        </w:tc>
      </w:tr>
      <w:tr w:rsidR="007947BF" w:rsidRPr="008463F3" w14:paraId="6ED0B24A" w14:textId="77777777" w:rsidTr="00DA2AFC">
        <w:tc>
          <w:tcPr>
            <w:tcW w:w="2312" w:type="dxa"/>
            <w:vMerge/>
            <w:tcBorders>
              <w:top w:val="nil"/>
              <w:left w:val="single" w:sz="4" w:space="0" w:color="auto"/>
              <w:bottom w:val="single" w:sz="4" w:space="0" w:color="000000"/>
              <w:right w:val="single" w:sz="4" w:space="0" w:color="auto"/>
            </w:tcBorders>
            <w:vAlign w:val="center"/>
            <w:hideMark/>
          </w:tcPr>
          <w:p w14:paraId="61052344"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1D26E00A"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71</w:t>
            </w:r>
          </w:p>
        </w:tc>
        <w:tc>
          <w:tcPr>
            <w:tcW w:w="4536" w:type="dxa"/>
            <w:tcBorders>
              <w:top w:val="nil"/>
              <w:left w:val="nil"/>
              <w:bottom w:val="single" w:sz="4" w:space="0" w:color="auto"/>
              <w:right w:val="single" w:sz="4" w:space="0" w:color="auto"/>
            </w:tcBorders>
            <w:shd w:val="clear" w:color="auto" w:fill="auto"/>
            <w:hideMark/>
          </w:tcPr>
          <w:p w14:paraId="776DAE87"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Isotope isolation chamber</w:t>
            </w:r>
          </w:p>
        </w:tc>
        <w:tc>
          <w:tcPr>
            <w:tcW w:w="1275" w:type="dxa"/>
            <w:tcBorders>
              <w:top w:val="nil"/>
              <w:left w:val="nil"/>
              <w:bottom w:val="single" w:sz="4" w:space="0" w:color="auto"/>
              <w:right w:val="single" w:sz="4" w:space="0" w:color="auto"/>
            </w:tcBorders>
            <w:shd w:val="clear" w:color="auto" w:fill="auto"/>
            <w:hideMark/>
          </w:tcPr>
          <w:p w14:paraId="45CD7B83"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100.000</w:t>
            </w:r>
          </w:p>
        </w:tc>
        <w:tc>
          <w:tcPr>
            <w:tcW w:w="1134" w:type="dxa"/>
            <w:tcBorders>
              <w:top w:val="nil"/>
              <w:left w:val="nil"/>
              <w:bottom w:val="single" w:sz="4" w:space="0" w:color="auto"/>
              <w:right w:val="single" w:sz="4" w:space="0" w:color="auto"/>
            </w:tcBorders>
            <w:shd w:val="clear" w:color="auto" w:fill="auto"/>
            <w:hideMark/>
          </w:tcPr>
          <w:p w14:paraId="77081DD6"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2011</w:t>
            </w:r>
          </w:p>
        </w:tc>
        <w:tc>
          <w:tcPr>
            <w:tcW w:w="2839" w:type="dxa"/>
            <w:tcBorders>
              <w:top w:val="nil"/>
              <w:left w:val="nil"/>
              <w:bottom w:val="single" w:sz="4" w:space="0" w:color="auto"/>
              <w:right w:val="single" w:sz="4" w:space="0" w:color="auto"/>
            </w:tcBorders>
            <w:shd w:val="clear" w:color="auto" w:fill="auto"/>
            <w:hideMark/>
          </w:tcPr>
          <w:p w14:paraId="0D6DA55D"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Ministry of Education and Science</w:t>
            </w:r>
          </w:p>
        </w:tc>
        <w:tc>
          <w:tcPr>
            <w:tcW w:w="1125" w:type="dxa"/>
            <w:tcBorders>
              <w:top w:val="nil"/>
              <w:left w:val="nil"/>
              <w:bottom w:val="single" w:sz="4" w:space="0" w:color="auto"/>
              <w:right w:val="single" w:sz="4" w:space="0" w:color="auto"/>
            </w:tcBorders>
            <w:shd w:val="clear" w:color="auto" w:fill="auto"/>
            <w:vAlign w:val="center"/>
            <w:hideMark/>
          </w:tcPr>
          <w:p w14:paraId="426D95C2"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 +</w:t>
            </w:r>
          </w:p>
        </w:tc>
        <w:tc>
          <w:tcPr>
            <w:tcW w:w="1102" w:type="dxa"/>
            <w:tcBorders>
              <w:top w:val="nil"/>
              <w:left w:val="nil"/>
              <w:bottom w:val="single" w:sz="4" w:space="0" w:color="auto"/>
              <w:right w:val="single" w:sz="4" w:space="0" w:color="auto"/>
            </w:tcBorders>
            <w:shd w:val="clear" w:color="auto" w:fill="auto"/>
            <w:vAlign w:val="center"/>
            <w:hideMark/>
          </w:tcPr>
          <w:p w14:paraId="01171D6E"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w:t>
            </w:r>
          </w:p>
        </w:tc>
      </w:tr>
      <w:tr w:rsidR="007947BF" w:rsidRPr="008463F3" w14:paraId="13616A8A" w14:textId="77777777" w:rsidTr="00DA2AFC">
        <w:tc>
          <w:tcPr>
            <w:tcW w:w="2312" w:type="dxa"/>
            <w:vMerge/>
            <w:tcBorders>
              <w:top w:val="nil"/>
              <w:left w:val="single" w:sz="4" w:space="0" w:color="auto"/>
              <w:bottom w:val="single" w:sz="4" w:space="0" w:color="000000"/>
              <w:right w:val="single" w:sz="4" w:space="0" w:color="auto"/>
            </w:tcBorders>
            <w:vAlign w:val="center"/>
            <w:hideMark/>
          </w:tcPr>
          <w:p w14:paraId="5754BCF7"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68E22D50"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72</w:t>
            </w:r>
          </w:p>
        </w:tc>
        <w:tc>
          <w:tcPr>
            <w:tcW w:w="4536" w:type="dxa"/>
            <w:tcBorders>
              <w:top w:val="nil"/>
              <w:left w:val="nil"/>
              <w:bottom w:val="single" w:sz="4" w:space="0" w:color="auto"/>
              <w:right w:val="single" w:sz="4" w:space="0" w:color="auto"/>
            </w:tcBorders>
            <w:shd w:val="clear" w:color="auto" w:fill="auto"/>
            <w:hideMark/>
          </w:tcPr>
          <w:p w14:paraId="47F1513F"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Phosphorus/Instant imaging system</w:t>
            </w:r>
          </w:p>
        </w:tc>
        <w:tc>
          <w:tcPr>
            <w:tcW w:w="1275" w:type="dxa"/>
            <w:tcBorders>
              <w:top w:val="nil"/>
              <w:left w:val="nil"/>
              <w:bottom w:val="single" w:sz="4" w:space="0" w:color="auto"/>
              <w:right w:val="single" w:sz="4" w:space="0" w:color="auto"/>
            </w:tcBorders>
            <w:shd w:val="clear" w:color="auto" w:fill="auto"/>
            <w:hideMark/>
          </w:tcPr>
          <w:p w14:paraId="0FC6A90B"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50.000</w:t>
            </w:r>
          </w:p>
        </w:tc>
        <w:tc>
          <w:tcPr>
            <w:tcW w:w="1134" w:type="dxa"/>
            <w:tcBorders>
              <w:top w:val="nil"/>
              <w:left w:val="nil"/>
              <w:bottom w:val="single" w:sz="4" w:space="0" w:color="auto"/>
              <w:right w:val="single" w:sz="4" w:space="0" w:color="auto"/>
            </w:tcBorders>
            <w:shd w:val="clear" w:color="auto" w:fill="auto"/>
            <w:hideMark/>
          </w:tcPr>
          <w:p w14:paraId="534FC597"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2011</w:t>
            </w:r>
          </w:p>
        </w:tc>
        <w:tc>
          <w:tcPr>
            <w:tcW w:w="2839" w:type="dxa"/>
            <w:tcBorders>
              <w:top w:val="nil"/>
              <w:left w:val="nil"/>
              <w:bottom w:val="single" w:sz="4" w:space="0" w:color="auto"/>
              <w:right w:val="single" w:sz="4" w:space="0" w:color="auto"/>
            </w:tcBorders>
            <w:shd w:val="clear" w:color="auto" w:fill="auto"/>
            <w:hideMark/>
          </w:tcPr>
          <w:p w14:paraId="365C0D58"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Ministry of Education and Science</w:t>
            </w:r>
          </w:p>
        </w:tc>
        <w:tc>
          <w:tcPr>
            <w:tcW w:w="1125" w:type="dxa"/>
            <w:tcBorders>
              <w:top w:val="nil"/>
              <w:left w:val="nil"/>
              <w:bottom w:val="single" w:sz="4" w:space="0" w:color="auto"/>
              <w:right w:val="single" w:sz="4" w:space="0" w:color="auto"/>
            </w:tcBorders>
            <w:shd w:val="clear" w:color="auto" w:fill="auto"/>
            <w:vAlign w:val="center"/>
            <w:hideMark/>
          </w:tcPr>
          <w:p w14:paraId="0478BA7F"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10+</w:t>
            </w:r>
          </w:p>
        </w:tc>
        <w:tc>
          <w:tcPr>
            <w:tcW w:w="1102" w:type="dxa"/>
            <w:tcBorders>
              <w:top w:val="nil"/>
              <w:left w:val="nil"/>
              <w:bottom w:val="single" w:sz="4" w:space="0" w:color="auto"/>
              <w:right w:val="single" w:sz="4" w:space="0" w:color="auto"/>
            </w:tcBorders>
            <w:shd w:val="clear" w:color="auto" w:fill="auto"/>
            <w:vAlign w:val="center"/>
            <w:hideMark/>
          </w:tcPr>
          <w:p w14:paraId="26973F3A"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w:t>
            </w:r>
          </w:p>
        </w:tc>
      </w:tr>
      <w:tr w:rsidR="007947BF" w:rsidRPr="008463F3" w14:paraId="3913660D" w14:textId="77777777" w:rsidTr="00DA2AFC">
        <w:tc>
          <w:tcPr>
            <w:tcW w:w="2312" w:type="dxa"/>
            <w:vMerge/>
            <w:tcBorders>
              <w:top w:val="nil"/>
              <w:left w:val="single" w:sz="4" w:space="0" w:color="auto"/>
              <w:bottom w:val="single" w:sz="4" w:space="0" w:color="000000"/>
              <w:right w:val="single" w:sz="4" w:space="0" w:color="auto"/>
            </w:tcBorders>
            <w:vAlign w:val="center"/>
            <w:hideMark/>
          </w:tcPr>
          <w:p w14:paraId="1B40FB23"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26EF40BD"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73</w:t>
            </w:r>
          </w:p>
        </w:tc>
        <w:tc>
          <w:tcPr>
            <w:tcW w:w="4536" w:type="dxa"/>
            <w:tcBorders>
              <w:top w:val="nil"/>
              <w:left w:val="nil"/>
              <w:bottom w:val="single" w:sz="4" w:space="0" w:color="auto"/>
              <w:right w:val="single" w:sz="4" w:space="0" w:color="auto"/>
            </w:tcBorders>
            <w:shd w:val="clear" w:color="auto" w:fill="auto"/>
            <w:hideMark/>
          </w:tcPr>
          <w:p w14:paraId="43935007"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xml:space="preserve">HPLC </w:t>
            </w:r>
          </w:p>
        </w:tc>
        <w:tc>
          <w:tcPr>
            <w:tcW w:w="1275" w:type="dxa"/>
            <w:tcBorders>
              <w:top w:val="nil"/>
              <w:left w:val="nil"/>
              <w:bottom w:val="single" w:sz="4" w:space="0" w:color="auto"/>
              <w:right w:val="single" w:sz="4" w:space="0" w:color="auto"/>
            </w:tcBorders>
            <w:shd w:val="clear" w:color="auto" w:fill="auto"/>
            <w:hideMark/>
          </w:tcPr>
          <w:p w14:paraId="0571ED52"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100.000</w:t>
            </w:r>
          </w:p>
        </w:tc>
        <w:tc>
          <w:tcPr>
            <w:tcW w:w="1134" w:type="dxa"/>
            <w:tcBorders>
              <w:top w:val="nil"/>
              <w:left w:val="nil"/>
              <w:bottom w:val="single" w:sz="4" w:space="0" w:color="auto"/>
              <w:right w:val="single" w:sz="4" w:space="0" w:color="auto"/>
            </w:tcBorders>
            <w:shd w:val="clear" w:color="auto" w:fill="auto"/>
            <w:hideMark/>
          </w:tcPr>
          <w:p w14:paraId="7EAA0EEB"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2011</w:t>
            </w:r>
          </w:p>
        </w:tc>
        <w:tc>
          <w:tcPr>
            <w:tcW w:w="2839" w:type="dxa"/>
            <w:tcBorders>
              <w:top w:val="nil"/>
              <w:left w:val="nil"/>
              <w:bottom w:val="single" w:sz="4" w:space="0" w:color="auto"/>
              <w:right w:val="single" w:sz="4" w:space="0" w:color="auto"/>
            </w:tcBorders>
            <w:shd w:val="clear" w:color="auto" w:fill="auto"/>
            <w:hideMark/>
          </w:tcPr>
          <w:p w14:paraId="5D0B4D0C"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Ministry of Education and Science</w:t>
            </w:r>
          </w:p>
        </w:tc>
        <w:tc>
          <w:tcPr>
            <w:tcW w:w="1125" w:type="dxa"/>
            <w:tcBorders>
              <w:top w:val="nil"/>
              <w:left w:val="nil"/>
              <w:bottom w:val="single" w:sz="4" w:space="0" w:color="auto"/>
              <w:right w:val="single" w:sz="4" w:space="0" w:color="auto"/>
            </w:tcBorders>
            <w:shd w:val="clear" w:color="auto" w:fill="auto"/>
            <w:vAlign w:val="center"/>
            <w:hideMark/>
          </w:tcPr>
          <w:p w14:paraId="1597B2FB"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10+</w:t>
            </w:r>
          </w:p>
        </w:tc>
        <w:tc>
          <w:tcPr>
            <w:tcW w:w="1102" w:type="dxa"/>
            <w:tcBorders>
              <w:top w:val="nil"/>
              <w:left w:val="nil"/>
              <w:bottom w:val="single" w:sz="4" w:space="0" w:color="auto"/>
              <w:right w:val="single" w:sz="4" w:space="0" w:color="auto"/>
            </w:tcBorders>
            <w:shd w:val="clear" w:color="auto" w:fill="auto"/>
            <w:vAlign w:val="center"/>
            <w:hideMark/>
          </w:tcPr>
          <w:p w14:paraId="77BA170E"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w:t>
            </w:r>
          </w:p>
        </w:tc>
      </w:tr>
      <w:tr w:rsidR="007947BF" w:rsidRPr="008463F3" w14:paraId="52D4DF04" w14:textId="77777777" w:rsidTr="00DA2AFC">
        <w:tc>
          <w:tcPr>
            <w:tcW w:w="2312" w:type="dxa"/>
            <w:vMerge/>
            <w:tcBorders>
              <w:top w:val="nil"/>
              <w:left w:val="single" w:sz="4" w:space="0" w:color="auto"/>
              <w:bottom w:val="single" w:sz="4" w:space="0" w:color="000000"/>
              <w:right w:val="single" w:sz="4" w:space="0" w:color="auto"/>
            </w:tcBorders>
            <w:vAlign w:val="center"/>
            <w:hideMark/>
          </w:tcPr>
          <w:p w14:paraId="383EE534"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5FEBC59E"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74</w:t>
            </w:r>
          </w:p>
        </w:tc>
        <w:tc>
          <w:tcPr>
            <w:tcW w:w="4536" w:type="dxa"/>
            <w:tcBorders>
              <w:top w:val="nil"/>
              <w:left w:val="nil"/>
              <w:bottom w:val="single" w:sz="4" w:space="0" w:color="auto"/>
              <w:right w:val="single" w:sz="4" w:space="0" w:color="auto"/>
            </w:tcBorders>
            <w:shd w:val="clear" w:color="auto" w:fill="auto"/>
            <w:hideMark/>
          </w:tcPr>
          <w:p w14:paraId="73093468"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Additional smaller equipment, consisting of analytical, sample preparation and storage equipment</w:t>
            </w:r>
          </w:p>
        </w:tc>
        <w:tc>
          <w:tcPr>
            <w:tcW w:w="1275" w:type="dxa"/>
            <w:tcBorders>
              <w:top w:val="nil"/>
              <w:left w:val="nil"/>
              <w:bottom w:val="single" w:sz="4" w:space="0" w:color="auto"/>
              <w:right w:val="single" w:sz="4" w:space="0" w:color="auto"/>
            </w:tcBorders>
            <w:shd w:val="clear" w:color="auto" w:fill="auto"/>
            <w:hideMark/>
          </w:tcPr>
          <w:p w14:paraId="432C7D35"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200.000</w:t>
            </w:r>
          </w:p>
        </w:tc>
        <w:tc>
          <w:tcPr>
            <w:tcW w:w="1134" w:type="dxa"/>
            <w:tcBorders>
              <w:top w:val="nil"/>
              <w:left w:val="nil"/>
              <w:bottom w:val="single" w:sz="4" w:space="0" w:color="auto"/>
              <w:right w:val="single" w:sz="4" w:space="0" w:color="auto"/>
            </w:tcBorders>
            <w:shd w:val="clear" w:color="auto" w:fill="auto"/>
            <w:hideMark/>
          </w:tcPr>
          <w:p w14:paraId="1CCC24CF"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2011</w:t>
            </w:r>
          </w:p>
        </w:tc>
        <w:tc>
          <w:tcPr>
            <w:tcW w:w="2839" w:type="dxa"/>
            <w:tcBorders>
              <w:top w:val="nil"/>
              <w:left w:val="nil"/>
              <w:bottom w:val="single" w:sz="4" w:space="0" w:color="auto"/>
              <w:right w:val="single" w:sz="4" w:space="0" w:color="auto"/>
            </w:tcBorders>
            <w:shd w:val="clear" w:color="auto" w:fill="auto"/>
            <w:hideMark/>
          </w:tcPr>
          <w:p w14:paraId="5EACE8C6"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Ministry of Education and Science</w:t>
            </w:r>
          </w:p>
        </w:tc>
        <w:tc>
          <w:tcPr>
            <w:tcW w:w="1125" w:type="dxa"/>
            <w:tcBorders>
              <w:top w:val="nil"/>
              <w:left w:val="nil"/>
              <w:bottom w:val="single" w:sz="4" w:space="0" w:color="auto"/>
              <w:right w:val="single" w:sz="4" w:space="0" w:color="auto"/>
            </w:tcBorders>
            <w:shd w:val="clear" w:color="auto" w:fill="auto"/>
            <w:vAlign w:val="center"/>
            <w:hideMark/>
          </w:tcPr>
          <w:p w14:paraId="2A6ACA06"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10</w:t>
            </w:r>
          </w:p>
        </w:tc>
        <w:tc>
          <w:tcPr>
            <w:tcW w:w="1102" w:type="dxa"/>
            <w:tcBorders>
              <w:top w:val="nil"/>
              <w:left w:val="nil"/>
              <w:bottom w:val="single" w:sz="4" w:space="0" w:color="auto"/>
              <w:right w:val="single" w:sz="4" w:space="0" w:color="auto"/>
            </w:tcBorders>
            <w:shd w:val="clear" w:color="auto" w:fill="auto"/>
            <w:vAlign w:val="center"/>
            <w:hideMark/>
          </w:tcPr>
          <w:p w14:paraId="5DD516B4"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w:t>
            </w:r>
          </w:p>
        </w:tc>
      </w:tr>
      <w:tr w:rsidR="007947BF" w:rsidRPr="008463F3" w14:paraId="45361472" w14:textId="77777777" w:rsidTr="00DA2AFC">
        <w:tc>
          <w:tcPr>
            <w:tcW w:w="2312" w:type="dxa"/>
            <w:vMerge/>
            <w:tcBorders>
              <w:top w:val="nil"/>
              <w:left w:val="single" w:sz="4" w:space="0" w:color="auto"/>
              <w:bottom w:val="single" w:sz="4" w:space="0" w:color="000000"/>
              <w:right w:val="single" w:sz="4" w:space="0" w:color="auto"/>
            </w:tcBorders>
            <w:vAlign w:val="center"/>
            <w:hideMark/>
          </w:tcPr>
          <w:p w14:paraId="4B7C7E4F"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02067F16"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75</w:t>
            </w:r>
          </w:p>
        </w:tc>
        <w:tc>
          <w:tcPr>
            <w:tcW w:w="4536" w:type="dxa"/>
            <w:tcBorders>
              <w:top w:val="nil"/>
              <w:left w:val="nil"/>
              <w:bottom w:val="single" w:sz="4" w:space="0" w:color="auto"/>
              <w:right w:val="single" w:sz="4" w:space="0" w:color="auto"/>
            </w:tcBorders>
            <w:shd w:val="clear" w:color="auto" w:fill="auto"/>
            <w:hideMark/>
          </w:tcPr>
          <w:p w14:paraId="4E460F10"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DENTAL MEDICINE LAB</w:t>
            </w:r>
            <w:r w:rsidRPr="008463F3">
              <w:rPr>
                <w:rFonts w:eastAsia="Times New Roman" w:cs="Times New Roman"/>
                <w:color w:val="000000"/>
                <w:sz w:val="20"/>
                <w:szCs w:val="20"/>
                <w:lang w:val="en-GB" w:eastAsia="sr-Latn-RS"/>
              </w:rPr>
              <w:br/>
              <w:t>CAD CAM System</w:t>
            </w:r>
          </w:p>
        </w:tc>
        <w:tc>
          <w:tcPr>
            <w:tcW w:w="1275" w:type="dxa"/>
            <w:tcBorders>
              <w:top w:val="nil"/>
              <w:left w:val="nil"/>
              <w:bottom w:val="single" w:sz="4" w:space="0" w:color="auto"/>
              <w:right w:val="single" w:sz="4" w:space="0" w:color="auto"/>
            </w:tcBorders>
            <w:shd w:val="clear" w:color="auto" w:fill="auto"/>
            <w:hideMark/>
          </w:tcPr>
          <w:p w14:paraId="70BCA8C3"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200.000</w:t>
            </w:r>
          </w:p>
        </w:tc>
        <w:tc>
          <w:tcPr>
            <w:tcW w:w="1134" w:type="dxa"/>
            <w:tcBorders>
              <w:top w:val="nil"/>
              <w:left w:val="nil"/>
              <w:bottom w:val="single" w:sz="4" w:space="0" w:color="auto"/>
              <w:right w:val="single" w:sz="4" w:space="0" w:color="auto"/>
            </w:tcBorders>
            <w:shd w:val="clear" w:color="auto" w:fill="auto"/>
            <w:hideMark/>
          </w:tcPr>
          <w:p w14:paraId="10A32A6B"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2011</w:t>
            </w:r>
          </w:p>
        </w:tc>
        <w:tc>
          <w:tcPr>
            <w:tcW w:w="2839" w:type="dxa"/>
            <w:tcBorders>
              <w:top w:val="nil"/>
              <w:left w:val="nil"/>
              <w:bottom w:val="single" w:sz="4" w:space="0" w:color="auto"/>
              <w:right w:val="single" w:sz="4" w:space="0" w:color="auto"/>
            </w:tcBorders>
            <w:shd w:val="clear" w:color="auto" w:fill="auto"/>
            <w:hideMark/>
          </w:tcPr>
          <w:p w14:paraId="5E9EFBCC"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Ministry of Education and Science</w:t>
            </w:r>
          </w:p>
        </w:tc>
        <w:tc>
          <w:tcPr>
            <w:tcW w:w="1125" w:type="dxa"/>
            <w:tcBorders>
              <w:top w:val="nil"/>
              <w:left w:val="nil"/>
              <w:bottom w:val="single" w:sz="4" w:space="0" w:color="auto"/>
              <w:right w:val="single" w:sz="4" w:space="0" w:color="auto"/>
            </w:tcBorders>
            <w:shd w:val="clear" w:color="auto" w:fill="auto"/>
            <w:vAlign w:val="center"/>
            <w:hideMark/>
          </w:tcPr>
          <w:p w14:paraId="142EB267"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10+</w:t>
            </w:r>
          </w:p>
        </w:tc>
        <w:tc>
          <w:tcPr>
            <w:tcW w:w="1102" w:type="dxa"/>
            <w:tcBorders>
              <w:top w:val="nil"/>
              <w:left w:val="nil"/>
              <w:bottom w:val="single" w:sz="4" w:space="0" w:color="auto"/>
              <w:right w:val="single" w:sz="4" w:space="0" w:color="auto"/>
            </w:tcBorders>
            <w:shd w:val="clear" w:color="auto" w:fill="auto"/>
            <w:vAlign w:val="center"/>
            <w:hideMark/>
          </w:tcPr>
          <w:p w14:paraId="5E7EE578"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Education only</w:t>
            </w:r>
          </w:p>
        </w:tc>
      </w:tr>
      <w:tr w:rsidR="007947BF" w:rsidRPr="008463F3" w14:paraId="0FE4BDC8" w14:textId="77777777" w:rsidTr="00DA2AFC">
        <w:tc>
          <w:tcPr>
            <w:tcW w:w="2312" w:type="dxa"/>
            <w:vMerge/>
            <w:tcBorders>
              <w:top w:val="nil"/>
              <w:left w:val="single" w:sz="4" w:space="0" w:color="auto"/>
              <w:bottom w:val="single" w:sz="4" w:space="0" w:color="000000"/>
              <w:right w:val="single" w:sz="4" w:space="0" w:color="auto"/>
            </w:tcBorders>
            <w:vAlign w:val="center"/>
            <w:hideMark/>
          </w:tcPr>
          <w:p w14:paraId="46BB29D0"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153FE695"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76</w:t>
            </w:r>
          </w:p>
        </w:tc>
        <w:tc>
          <w:tcPr>
            <w:tcW w:w="4536" w:type="dxa"/>
            <w:tcBorders>
              <w:top w:val="nil"/>
              <w:left w:val="nil"/>
              <w:bottom w:val="single" w:sz="4" w:space="0" w:color="auto"/>
              <w:right w:val="single" w:sz="4" w:space="0" w:color="auto"/>
            </w:tcBorders>
            <w:shd w:val="clear" w:color="auto" w:fill="auto"/>
            <w:hideMark/>
          </w:tcPr>
          <w:p w14:paraId="4F7DA9AF"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Dental Lasers</w:t>
            </w:r>
          </w:p>
        </w:tc>
        <w:tc>
          <w:tcPr>
            <w:tcW w:w="1275" w:type="dxa"/>
            <w:tcBorders>
              <w:top w:val="nil"/>
              <w:left w:val="nil"/>
              <w:bottom w:val="single" w:sz="4" w:space="0" w:color="auto"/>
              <w:right w:val="single" w:sz="4" w:space="0" w:color="auto"/>
            </w:tcBorders>
            <w:shd w:val="clear" w:color="auto" w:fill="auto"/>
            <w:hideMark/>
          </w:tcPr>
          <w:p w14:paraId="22E38A53"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50.000</w:t>
            </w:r>
          </w:p>
        </w:tc>
        <w:tc>
          <w:tcPr>
            <w:tcW w:w="1134" w:type="dxa"/>
            <w:tcBorders>
              <w:top w:val="nil"/>
              <w:left w:val="nil"/>
              <w:bottom w:val="single" w:sz="4" w:space="0" w:color="auto"/>
              <w:right w:val="single" w:sz="4" w:space="0" w:color="auto"/>
            </w:tcBorders>
            <w:shd w:val="clear" w:color="auto" w:fill="auto"/>
            <w:hideMark/>
          </w:tcPr>
          <w:p w14:paraId="0E3E4D46"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2011</w:t>
            </w:r>
          </w:p>
        </w:tc>
        <w:tc>
          <w:tcPr>
            <w:tcW w:w="2839" w:type="dxa"/>
            <w:tcBorders>
              <w:top w:val="nil"/>
              <w:left w:val="nil"/>
              <w:bottom w:val="single" w:sz="4" w:space="0" w:color="auto"/>
              <w:right w:val="single" w:sz="4" w:space="0" w:color="auto"/>
            </w:tcBorders>
            <w:shd w:val="clear" w:color="auto" w:fill="auto"/>
            <w:hideMark/>
          </w:tcPr>
          <w:p w14:paraId="072735F9"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Ministry of Education and Science</w:t>
            </w:r>
          </w:p>
        </w:tc>
        <w:tc>
          <w:tcPr>
            <w:tcW w:w="1125" w:type="dxa"/>
            <w:tcBorders>
              <w:top w:val="nil"/>
              <w:left w:val="nil"/>
              <w:bottom w:val="single" w:sz="4" w:space="0" w:color="auto"/>
              <w:right w:val="single" w:sz="4" w:space="0" w:color="auto"/>
            </w:tcBorders>
            <w:shd w:val="clear" w:color="auto" w:fill="auto"/>
            <w:vAlign w:val="center"/>
            <w:hideMark/>
          </w:tcPr>
          <w:p w14:paraId="064E4623"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10+</w:t>
            </w:r>
          </w:p>
        </w:tc>
        <w:tc>
          <w:tcPr>
            <w:tcW w:w="1102" w:type="dxa"/>
            <w:tcBorders>
              <w:top w:val="nil"/>
              <w:left w:val="nil"/>
              <w:bottom w:val="single" w:sz="4" w:space="0" w:color="auto"/>
              <w:right w:val="single" w:sz="4" w:space="0" w:color="auto"/>
            </w:tcBorders>
            <w:shd w:val="clear" w:color="auto" w:fill="auto"/>
            <w:vAlign w:val="center"/>
            <w:hideMark/>
          </w:tcPr>
          <w:p w14:paraId="03E5546E"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Education only</w:t>
            </w:r>
          </w:p>
        </w:tc>
      </w:tr>
      <w:tr w:rsidR="007947BF" w:rsidRPr="008463F3" w14:paraId="37E715DD" w14:textId="77777777" w:rsidTr="00DA2AFC">
        <w:tc>
          <w:tcPr>
            <w:tcW w:w="2312" w:type="dxa"/>
            <w:vMerge/>
            <w:tcBorders>
              <w:top w:val="nil"/>
              <w:left w:val="single" w:sz="4" w:space="0" w:color="auto"/>
              <w:bottom w:val="single" w:sz="4" w:space="0" w:color="000000"/>
              <w:right w:val="single" w:sz="4" w:space="0" w:color="auto"/>
            </w:tcBorders>
            <w:vAlign w:val="center"/>
            <w:hideMark/>
          </w:tcPr>
          <w:p w14:paraId="55514F83"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2B6434B9"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77</w:t>
            </w:r>
          </w:p>
        </w:tc>
        <w:tc>
          <w:tcPr>
            <w:tcW w:w="4536" w:type="dxa"/>
            <w:tcBorders>
              <w:top w:val="nil"/>
              <w:left w:val="nil"/>
              <w:bottom w:val="single" w:sz="4" w:space="0" w:color="auto"/>
              <w:right w:val="single" w:sz="4" w:space="0" w:color="auto"/>
            </w:tcBorders>
            <w:shd w:val="clear" w:color="auto" w:fill="auto"/>
            <w:hideMark/>
          </w:tcPr>
          <w:p w14:paraId="3E4778C5"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Additional smaller equipment, consisting of lasers, motors, mixers and dryers.</w:t>
            </w:r>
          </w:p>
        </w:tc>
        <w:tc>
          <w:tcPr>
            <w:tcW w:w="1275" w:type="dxa"/>
            <w:tcBorders>
              <w:top w:val="nil"/>
              <w:left w:val="nil"/>
              <w:bottom w:val="single" w:sz="4" w:space="0" w:color="auto"/>
              <w:right w:val="single" w:sz="4" w:space="0" w:color="auto"/>
            </w:tcBorders>
            <w:shd w:val="clear" w:color="auto" w:fill="auto"/>
            <w:hideMark/>
          </w:tcPr>
          <w:p w14:paraId="56F0F60E"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100.000</w:t>
            </w:r>
          </w:p>
        </w:tc>
        <w:tc>
          <w:tcPr>
            <w:tcW w:w="1134" w:type="dxa"/>
            <w:tcBorders>
              <w:top w:val="nil"/>
              <w:left w:val="nil"/>
              <w:bottom w:val="single" w:sz="4" w:space="0" w:color="auto"/>
              <w:right w:val="single" w:sz="4" w:space="0" w:color="auto"/>
            </w:tcBorders>
            <w:shd w:val="clear" w:color="auto" w:fill="auto"/>
            <w:hideMark/>
          </w:tcPr>
          <w:p w14:paraId="751C64C7"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2011</w:t>
            </w:r>
          </w:p>
        </w:tc>
        <w:tc>
          <w:tcPr>
            <w:tcW w:w="2839" w:type="dxa"/>
            <w:tcBorders>
              <w:top w:val="nil"/>
              <w:left w:val="nil"/>
              <w:bottom w:val="single" w:sz="4" w:space="0" w:color="auto"/>
              <w:right w:val="single" w:sz="4" w:space="0" w:color="auto"/>
            </w:tcBorders>
            <w:shd w:val="clear" w:color="auto" w:fill="auto"/>
            <w:hideMark/>
          </w:tcPr>
          <w:p w14:paraId="5D53237F"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Ministry of Education and Science</w:t>
            </w:r>
          </w:p>
        </w:tc>
        <w:tc>
          <w:tcPr>
            <w:tcW w:w="1125" w:type="dxa"/>
            <w:tcBorders>
              <w:top w:val="nil"/>
              <w:left w:val="nil"/>
              <w:bottom w:val="single" w:sz="4" w:space="0" w:color="auto"/>
              <w:right w:val="single" w:sz="4" w:space="0" w:color="auto"/>
            </w:tcBorders>
            <w:shd w:val="clear" w:color="auto" w:fill="auto"/>
            <w:vAlign w:val="center"/>
            <w:hideMark/>
          </w:tcPr>
          <w:p w14:paraId="5985AD0E"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10+</w:t>
            </w:r>
          </w:p>
        </w:tc>
        <w:tc>
          <w:tcPr>
            <w:tcW w:w="1102" w:type="dxa"/>
            <w:tcBorders>
              <w:top w:val="nil"/>
              <w:left w:val="nil"/>
              <w:bottom w:val="single" w:sz="4" w:space="0" w:color="auto"/>
              <w:right w:val="single" w:sz="4" w:space="0" w:color="auto"/>
            </w:tcBorders>
            <w:shd w:val="clear" w:color="auto" w:fill="auto"/>
            <w:vAlign w:val="center"/>
            <w:hideMark/>
          </w:tcPr>
          <w:p w14:paraId="784CDDD4"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Education only</w:t>
            </w:r>
          </w:p>
        </w:tc>
      </w:tr>
      <w:tr w:rsidR="007947BF" w:rsidRPr="008463F3" w14:paraId="13202738" w14:textId="77777777" w:rsidTr="00DA2AFC">
        <w:tc>
          <w:tcPr>
            <w:tcW w:w="2312" w:type="dxa"/>
            <w:vMerge w:val="restart"/>
            <w:tcBorders>
              <w:top w:val="nil"/>
              <w:left w:val="single" w:sz="4" w:space="0" w:color="auto"/>
              <w:bottom w:val="single" w:sz="4" w:space="0" w:color="000000"/>
              <w:right w:val="single" w:sz="4" w:space="0" w:color="auto"/>
            </w:tcBorders>
            <w:shd w:val="clear" w:color="auto" w:fill="auto"/>
            <w:vAlign w:val="center"/>
            <w:hideMark/>
          </w:tcPr>
          <w:p w14:paraId="373E7EE6"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proofErr w:type="spellStart"/>
            <w:r w:rsidRPr="008463F3">
              <w:rPr>
                <w:rFonts w:eastAsia="Times New Roman" w:cs="Times New Roman"/>
                <w:color w:val="000000"/>
                <w:sz w:val="20"/>
                <w:szCs w:val="20"/>
                <w:lang w:val="en-GB" w:eastAsia="sr-Latn-RS"/>
              </w:rPr>
              <w:t>Goce</w:t>
            </w:r>
            <w:proofErr w:type="spellEnd"/>
            <w:r w:rsidRPr="008463F3">
              <w:rPr>
                <w:rFonts w:eastAsia="Times New Roman" w:cs="Times New Roman"/>
                <w:color w:val="000000"/>
                <w:sz w:val="20"/>
                <w:szCs w:val="20"/>
                <w:lang w:val="en-GB" w:eastAsia="sr-Latn-RS"/>
              </w:rPr>
              <w:t xml:space="preserve"> </w:t>
            </w:r>
            <w:proofErr w:type="spellStart"/>
            <w:r w:rsidRPr="008463F3">
              <w:rPr>
                <w:rFonts w:eastAsia="Times New Roman" w:cs="Times New Roman"/>
                <w:color w:val="000000"/>
                <w:sz w:val="20"/>
                <w:szCs w:val="20"/>
                <w:lang w:val="en-GB" w:eastAsia="sr-Latn-RS"/>
              </w:rPr>
              <w:t>Delcev</w:t>
            </w:r>
            <w:proofErr w:type="spellEnd"/>
            <w:r>
              <w:rPr>
                <w:rFonts w:eastAsia="Times New Roman" w:cs="Times New Roman"/>
                <w:color w:val="000000"/>
                <w:sz w:val="20"/>
                <w:szCs w:val="20"/>
                <w:lang w:val="en-GB" w:eastAsia="sr-Latn-RS"/>
              </w:rPr>
              <w:t xml:space="preserve"> </w:t>
            </w:r>
            <w:proofErr w:type="spellStart"/>
            <w:r>
              <w:rPr>
                <w:rFonts w:eastAsia="Times New Roman" w:cs="Times New Roman"/>
                <w:color w:val="000000"/>
                <w:sz w:val="20"/>
                <w:szCs w:val="20"/>
                <w:lang w:val="en-GB" w:eastAsia="sr-Latn-RS"/>
              </w:rPr>
              <w:t>Univeristy</w:t>
            </w:r>
            <w:proofErr w:type="spellEnd"/>
            <w:r w:rsidRPr="008463F3">
              <w:rPr>
                <w:rFonts w:eastAsia="Times New Roman" w:cs="Times New Roman"/>
                <w:color w:val="000000"/>
                <w:sz w:val="20"/>
                <w:szCs w:val="20"/>
                <w:lang w:val="en-GB" w:eastAsia="sr-Latn-RS"/>
              </w:rPr>
              <w:t>, Faculty of Agriculture, UNILAB</w:t>
            </w:r>
          </w:p>
        </w:tc>
        <w:tc>
          <w:tcPr>
            <w:tcW w:w="397" w:type="dxa"/>
            <w:tcBorders>
              <w:top w:val="nil"/>
              <w:left w:val="nil"/>
              <w:bottom w:val="single" w:sz="4" w:space="0" w:color="auto"/>
              <w:right w:val="single" w:sz="4" w:space="0" w:color="auto"/>
            </w:tcBorders>
            <w:shd w:val="clear" w:color="auto" w:fill="auto"/>
            <w:hideMark/>
          </w:tcPr>
          <w:p w14:paraId="73971F8F"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78</w:t>
            </w:r>
          </w:p>
        </w:tc>
        <w:tc>
          <w:tcPr>
            <w:tcW w:w="4536" w:type="dxa"/>
            <w:tcBorders>
              <w:top w:val="nil"/>
              <w:left w:val="nil"/>
              <w:bottom w:val="single" w:sz="4" w:space="0" w:color="auto"/>
              <w:right w:val="single" w:sz="4" w:space="0" w:color="auto"/>
            </w:tcBorders>
            <w:shd w:val="clear" w:color="auto" w:fill="auto"/>
            <w:hideMark/>
          </w:tcPr>
          <w:p w14:paraId="07A2A145"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xml:space="preserve">Gas Chromatography PACKAGE 450/320-MS TRIPLE QUAD GC/MS/MS </w:t>
            </w:r>
          </w:p>
        </w:tc>
        <w:tc>
          <w:tcPr>
            <w:tcW w:w="1275" w:type="dxa"/>
            <w:tcBorders>
              <w:top w:val="nil"/>
              <w:left w:val="nil"/>
              <w:bottom w:val="single" w:sz="4" w:space="0" w:color="auto"/>
              <w:right w:val="single" w:sz="4" w:space="0" w:color="auto"/>
            </w:tcBorders>
            <w:shd w:val="clear" w:color="auto" w:fill="auto"/>
            <w:hideMark/>
          </w:tcPr>
          <w:p w14:paraId="05119256"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80.000</w:t>
            </w:r>
          </w:p>
        </w:tc>
        <w:tc>
          <w:tcPr>
            <w:tcW w:w="1134" w:type="dxa"/>
            <w:tcBorders>
              <w:top w:val="nil"/>
              <w:left w:val="nil"/>
              <w:bottom w:val="single" w:sz="4" w:space="0" w:color="auto"/>
              <w:right w:val="single" w:sz="4" w:space="0" w:color="auto"/>
            </w:tcBorders>
            <w:shd w:val="clear" w:color="auto" w:fill="auto"/>
            <w:hideMark/>
          </w:tcPr>
          <w:p w14:paraId="0E279E8C"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2015</w:t>
            </w:r>
          </w:p>
        </w:tc>
        <w:tc>
          <w:tcPr>
            <w:tcW w:w="2839" w:type="dxa"/>
            <w:tcBorders>
              <w:top w:val="nil"/>
              <w:left w:val="nil"/>
              <w:bottom w:val="single" w:sz="4" w:space="0" w:color="auto"/>
              <w:right w:val="single" w:sz="4" w:space="0" w:color="auto"/>
            </w:tcBorders>
            <w:shd w:val="clear" w:color="auto" w:fill="auto"/>
            <w:hideMark/>
          </w:tcPr>
          <w:p w14:paraId="20FA2845"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Ministry of Education and Science</w:t>
            </w:r>
          </w:p>
        </w:tc>
        <w:tc>
          <w:tcPr>
            <w:tcW w:w="1125" w:type="dxa"/>
            <w:tcBorders>
              <w:top w:val="nil"/>
              <w:left w:val="nil"/>
              <w:bottom w:val="single" w:sz="4" w:space="0" w:color="auto"/>
              <w:right w:val="single" w:sz="4" w:space="0" w:color="auto"/>
            </w:tcBorders>
            <w:shd w:val="clear" w:color="auto" w:fill="auto"/>
            <w:vAlign w:val="center"/>
            <w:hideMark/>
          </w:tcPr>
          <w:p w14:paraId="37E79684"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10+</w:t>
            </w:r>
          </w:p>
        </w:tc>
        <w:tc>
          <w:tcPr>
            <w:tcW w:w="1102" w:type="dxa"/>
            <w:tcBorders>
              <w:top w:val="nil"/>
              <w:left w:val="nil"/>
              <w:bottom w:val="single" w:sz="4" w:space="0" w:color="auto"/>
              <w:right w:val="single" w:sz="4" w:space="0" w:color="auto"/>
            </w:tcBorders>
            <w:shd w:val="clear" w:color="auto" w:fill="auto"/>
            <w:vAlign w:val="center"/>
            <w:hideMark/>
          </w:tcPr>
          <w:p w14:paraId="4A860950"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w:t>
            </w:r>
          </w:p>
        </w:tc>
      </w:tr>
      <w:tr w:rsidR="007947BF" w:rsidRPr="008463F3" w14:paraId="01DC650F" w14:textId="77777777" w:rsidTr="00DA2AFC">
        <w:tc>
          <w:tcPr>
            <w:tcW w:w="2312" w:type="dxa"/>
            <w:vMerge/>
            <w:tcBorders>
              <w:top w:val="nil"/>
              <w:left w:val="single" w:sz="4" w:space="0" w:color="auto"/>
              <w:bottom w:val="single" w:sz="4" w:space="0" w:color="000000"/>
              <w:right w:val="single" w:sz="4" w:space="0" w:color="auto"/>
            </w:tcBorders>
            <w:vAlign w:val="center"/>
            <w:hideMark/>
          </w:tcPr>
          <w:p w14:paraId="538D4B10"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6E8575BC"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79</w:t>
            </w:r>
          </w:p>
        </w:tc>
        <w:tc>
          <w:tcPr>
            <w:tcW w:w="4536" w:type="dxa"/>
            <w:tcBorders>
              <w:top w:val="nil"/>
              <w:left w:val="nil"/>
              <w:bottom w:val="single" w:sz="4" w:space="0" w:color="auto"/>
              <w:right w:val="single" w:sz="4" w:space="0" w:color="auto"/>
            </w:tcBorders>
            <w:shd w:val="clear" w:color="auto" w:fill="auto"/>
            <w:hideMark/>
          </w:tcPr>
          <w:p w14:paraId="11028DBC"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ICP MS - Agilent</w:t>
            </w:r>
          </w:p>
        </w:tc>
        <w:tc>
          <w:tcPr>
            <w:tcW w:w="1275" w:type="dxa"/>
            <w:tcBorders>
              <w:top w:val="nil"/>
              <w:left w:val="nil"/>
              <w:bottom w:val="single" w:sz="4" w:space="0" w:color="auto"/>
              <w:right w:val="single" w:sz="4" w:space="0" w:color="auto"/>
            </w:tcBorders>
            <w:shd w:val="clear" w:color="auto" w:fill="auto"/>
            <w:hideMark/>
          </w:tcPr>
          <w:p w14:paraId="2A041015"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150.000</w:t>
            </w:r>
          </w:p>
        </w:tc>
        <w:tc>
          <w:tcPr>
            <w:tcW w:w="1134" w:type="dxa"/>
            <w:tcBorders>
              <w:top w:val="nil"/>
              <w:left w:val="nil"/>
              <w:bottom w:val="single" w:sz="4" w:space="0" w:color="auto"/>
              <w:right w:val="single" w:sz="4" w:space="0" w:color="auto"/>
            </w:tcBorders>
            <w:shd w:val="clear" w:color="auto" w:fill="auto"/>
            <w:hideMark/>
          </w:tcPr>
          <w:p w14:paraId="78E9C49A"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2008</w:t>
            </w:r>
          </w:p>
        </w:tc>
        <w:tc>
          <w:tcPr>
            <w:tcW w:w="2839" w:type="dxa"/>
            <w:tcBorders>
              <w:top w:val="nil"/>
              <w:left w:val="nil"/>
              <w:bottom w:val="single" w:sz="4" w:space="0" w:color="auto"/>
              <w:right w:val="single" w:sz="4" w:space="0" w:color="auto"/>
            </w:tcBorders>
            <w:shd w:val="clear" w:color="auto" w:fill="auto"/>
            <w:hideMark/>
          </w:tcPr>
          <w:p w14:paraId="3B283305"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Ministry of Education and Science</w:t>
            </w:r>
          </w:p>
        </w:tc>
        <w:tc>
          <w:tcPr>
            <w:tcW w:w="1125" w:type="dxa"/>
            <w:tcBorders>
              <w:top w:val="nil"/>
              <w:left w:val="nil"/>
              <w:bottom w:val="single" w:sz="4" w:space="0" w:color="auto"/>
              <w:right w:val="single" w:sz="4" w:space="0" w:color="auto"/>
            </w:tcBorders>
            <w:shd w:val="clear" w:color="auto" w:fill="auto"/>
            <w:vAlign w:val="center"/>
            <w:hideMark/>
          </w:tcPr>
          <w:p w14:paraId="103A1006"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10+</w:t>
            </w:r>
          </w:p>
        </w:tc>
        <w:tc>
          <w:tcPr>
            <w:tcW w:w="1102" w:type="dxa"/>
            <w:tcBorders>
              <w:top w:val="nil"/>
              <w:left w:val="nil"/>
              <w:bottom w:val="single" w:sz="4" w:space="0" w:color="auto"/>
              <w:right w:val="single" w:sz="4" w:space="0" w:color="auto"/>
            </w:tcBorders>
            <w:shd w:val="clear" w:color="auto" w:fill="auto"/>
            <w:vAlign w:val="center"/>
            <w:hideMark/>
          </w:tcPr>
          <w:p w14:paraId="1E857B6A"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w:t>
            </w:r>
          </w:p>
        </w:tc>
      </w:tr>
      <w:tr w:rsidR="007947BF" w:rsidRPr="008463F3" w14:paraId="3E8B2ABA" w14:textId="77777777" w:rsidTr="00DA2AFC">
        <w:tc>
          <w:tcPr>
            <w:tcW w:w="2312" w:type="dxa"/>
            <w:vMerge/>
            <w:tcBorders>
              <w:top w:val="nil"/>
              <w:left w:val="single" w:sz="4" w:space="0" w:color="auto"/>
              <w:bottom w:val="single" w:sz="4" w:space="0" w:color="000000"/>
              <w:right w:val="single" w:sz="4" w:space="0" w:color="auto"/>
            </w:tcBorders>
            <w:vAlign w:val="center"/>
            <w:hideMark/>
          </w:tcPr>
          <w:p w14:paraId="7F1D91DD"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2C71CBF1"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80</w:t>
            </w:r>
          </w:p>
        </w:tc>
        <w:tc>
          <w:tcPr>
            <w:tcW w:w="4536" w:type="dxa"/>
            <w:tcBorders>
              <w:top w:val="nil"/>
              <w:left w:val="nil"/>
              <w:bottom w:val="single" w:sz="4" w:space="0" w:color="auto"/>
              <w:right w:val="single" w:sz="4" w:space="0" w:color="auto"/>
            </w:tcBorders>
            <w:shd w:val="clear" w:color="auto" w:fill="auto"/>
            <w:hideMark/>
          </w:tcPr>
          <w:p w14:paraId="24A9A250"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xml:space="preserve">ICP OES </w:t>
            </w:r>
            <w:proofErr w:type="spellStart"/>
            <w:r w:rsidRPr="008463F3">
              <w:rPr>
                <w:rFonts w:eastAsia="Times New Roman" w:cs="Times New Roman"/>
                <w:color w:val="000000"/>
                <w:sz w:val="20"/>
                <w:szCs w:val="20"/>
                <w:lang w:val="en-GB" w:eastAsia="sr-Latn-RS"/>
              </w:rPr>
              <w:t>Shimazdu</w:t>
            </w:r>
            <w:proofErr w:type="spellEnd"/>
          </w:p>
        </w:tc>
        <w:tc>
          <w:tcPr>
            <w:tcW w:w="1275" w:type="dxa"/>
            <w:tcBorders>
              <w:top w:val="nil"/>
              <w:left w:val="nil"/>
              <w:bottom w:val="single" w:sz="4" w:space="0" w:color="auto"/>
              <w:right w:val="single" w:sz="4" w:space="0" w:color="auto"/>
            </w:tcBorders>
            <w:shd w:val="clear" w:color="auto" w:fill="auto"/>
            <w:hideMark/>
          </w:tcPr>
          <w:p w14:paraId="1AC48EA9"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50.000</w:t>
            </w:r>
          </w:p>
        </w:tc>
        <w:tc>
          <w:tcPr>
            <w:tcW w:w="1134" w:type="dxa"/>
            <w:tcBorders>
              <w:top w:val="nil"/>
              <w:left w:val="nil"/>
              <w:bottom w:val="single" w:sz="4" w:space="0" w:color="auto"/>
              <w:right w:val="single" w:sz="4" w:space="0" w:color="auto"/>
            </w:tcBorders>
            <w:shd w:val="clear" w:color="auto" w:fill="auto"/>
            <w:hideMark/>
          </w:tcPr>
          <w:p w14:paraId="01A1BAB2"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2015</w:t>
            </w:r>
          </w:p>
        </w:tc>
        <w:tc>
          <w:tcPr>
            <w:tcW w:w="2839" w:type="dxa"/>
            <w:tcBorders>
              <w:top w:val="nil"/>
              <w:left w:val="nil"/>
              <w:bottom w:val="single" w:sz="4" w:space="0" w:color="auto"/>
              <w:right w:val="single" w:sz="4" w:space="0" w:color="auto"/>
            </w:tcBorders>
            <w:shd w:val="clear" w:color="auto" w:fill="auto"/>
            <w:hideMark/>
          </w:tcPr>
          <w:p w14:paraId="3483F536"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Ministry of Education and Science</w:t>
            </w:r>
          </w:p>
        </w:tc>
        <w:tc>
          <w:tcPr>
            <w:tcW w:w="1125" w:type="dxa"/>
            <w:tcBorders>
              <w:top w:val="nil"/>
              <w:left w:val="nil"/>
              <w:bottom w:val="single" w:sz="4" w:space="0" w:color="auto"/>
              <w:right w:val="single" w:sz="4" w:space="0" w:color="auto"/>
            </w:tcBorders>
            <w:shd w:val="clear" w:color="auto" w:fill="auto"/>
            <w:vAlign w:val="center"/>
            <w:hideMark/>
          </w:tcPr>
          <w:p w14:paraId="4562FB73"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10+</w:t>
            </w:r>
          </w:p>
        </w:tc>
        <w:tc>
          <w:tcPr>
            <w:tcW w:w="1102" w:type="dxa"/>
            <w:tcBorders>
              <w:top w:val="nil"/>
              <w:left w:val="nil"/>
              <w:bottom w:val="single" w:sz="4" w:space="0" w:color="auto"/>
              <w:right w:val="single" w:sz="4" w:space="0" w:color="auto"/>
            </w:tcBorders>
            <w:shd w:val="clear" w:color="auto" w:fill="auto"/>
            <w:vAlign w:val="center"/>
            <w:hideMark/>
          </w:tcPr>
          <w:p w14:paraId="0155402A"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w:t>
            </w:r>
          </w:p>
        </w:tc>
      </w:tr>
      <w:tr w:rsidR="007947BF" w:rsidRPr="008463F3" w14:paraId="7EE8FB88" w14:textId="77777777" w:rsidTr="00DA2AFC">
        <w:tc>
          <w:tcPr>
            <w:tcW w:w="2312" w:type="dxa"/>
            <w:vMerge/>
            <w:tcBorders>
              <w:top w:val="nil"/>
              <w:left w:val="single" w:sz="4" w:space="0" w:color="auto"/>
              <w:bottom w:val="single" w:sz="4" w:space="0" w:color="000000"/>
              <w:right w:val="single" w:sz="4" w:space="0" w:color="auto"/>
            </w:tcBorders>
            <w:vAlign w:val="center"/>
            <w:hideMark/>
          </w:tcPr>
          <w:p w14:paraId="7BF3067F"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354D3524"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81</w:t>
            </w:r>
          </w:p>
        </w:tc>
        <w:tc>
          <w:tcPr>
            <w:tcW w:w="4536" w:type="dxa"/>
            <w:tcBorders>
              <w:top w:val="nil"/>
              <w:left w:val="nil"/>
              <w:bottom w:val="single" w:sz="4" w:space="0" w:color="auto"/>
              <w:right w:val="single" w:sz="4" w:space="0" w:color="auto"/>
            </w:tcBorders>
            <w:shd w:val="clear" w:color="auto" w:fill="auto"/>
            <w:hideMark/>
          </w:tcPr>
          <w:p w14:paraId="6DFC7B6B"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Additional smaller equipment, consisting of analytical, sample preparation and storage equipment</w:t>
            </w:r>
          </w:p>
        </w:tc>
        <w:tc>
          <w:tcPr>
            <w:tcW w:w="1275" w:type="dxa"/>
            <w:tcBorders>
              <w:top w:val="nil"/>
              <w:left w:val="nil"/>
              <w:bottom w:val="single" w:sz="4" w:space="0" w:color="auto"/>
              <w:right w:val="single" w:sz="4" w:space="0" w:color="auto"/>
            </w:tcBorders>
            <w:shd w:val="clear" w:color="auto" w:fill="auto"/>
            <w:hideMark/>
          </w:tcPr>
          <w:p w14:paraId="0A17B3CE"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500.000</w:t>
            </w:r>
          </w:p>
        </w:tc>
        <w:tc>
          <w:tcPr>
            <w:tcW w:w="1134" w:type="dxa"/>
            <w:tcBorders>
              <w:top w:val="nil"/>
              <w:left w:val="nil"/>
              <w:bottom w:val="single" w:sz="4" w:space="0" w:color="auto"/>
              <w:right w:val="single" w:sz="4" w:space="0" w:color="auto"/>
            </w:tcBorders>
            <w:shd w:val="clear" w:color="auto" w:fill="auto"/>
            <w:hideMark/>
          </w:tcPr>
          <w:p w14:paraId="4A59AA18"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2011-2018</w:t>
            </w:r>
          </w:p>
        </w:tc>
        <w:tc>
          <w:tcPr>
            <w:tcW w:w="2839" w:type="dxa"/>
            <w:tcBorders>
              <w:top w:val="nil"/>
              <w:left w:val="nil"/>
              <w:bottom w:val="single" w:sz="4" w:space="0" w:color="auto"/>
              <w:right w:val="single" w:sz="4" w:space="0" w:color="auto"/>
            </w:tcBorders>
            <w:shd w:val="clear" w:color="auto" w:fill="auto"/>
            <w:hideMark/>
          </w:tcPr>
          <w:p w14:paraId="6CDF46C3"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xml:space="preserve">Ministry of Education and Science (80%) Own Funds (20%) </w:t>
            </w:r>
          </w:p>
        </w:tc>
        <w:tc>
          <w:tcPr>
            <w:tcW w:w="1125" w:type="dxa"/>
            <w:tcBorders>
              <w:top w:val="nil"/>
              <w:left w:val="nil"/>
              <w:bottom w:val="single" w:sz="4" w:space="0" w:color="auto"/>
              <w:right w:val="single" w:sz="4" w:space="0" w:color="auto"/>
            </w:tcBorders>
            <w:shd w:val="clear" w:color="auto" w:fill="auto"/>
            <w:vAlign w:val="center"/>
            <w:hideMark/>
          </w:tcPr>
          <w:p w14:paraId="4CAAA432"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10+</w:t>
            </w:r>
          </w:p>
        </w:tc>
        <w:tc>
          <w:tcPr>
            <w:tcW w:w="1102" w:type="dxa"/>
            <w:tcBorders>
              <w:top w:val="nil"/>
              <w:left w:val="nil"/>
              <w:bottom w:val="single" w:sz="4" w:space="0" w:color="auto"/>
              <w:right w:val="single" w:sz="4" w:space="0" w:color="auto"/>
            </w:tcBorders>
            <w:shd w:val="clear" w:color="auto" w:fill="auto"/>
            <w:vAlign w:val="center"/>
            <w:hideMark/>
          </w:tcPr>
          <w:p w14:paraId="4969E7A8"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w:t>
            </w:r>
          </w:p>
        </w:tc>
      </w:tr>
      <w:tr w:rsidR="007947BF" w:rsidRPr="008463F3" w14:paraId="3365F6B5" w14:textId="77777777" w:rsidTr="00DA2AFC">
        <w:tc>
          <w:tcPr>
            <w:tcW w:w="2312" w:type="dxa"/>
            <w:vMerge w:val="restart"/>
            <w:tcBorders>
              <w:top w:val="nil"/>
              <w:left w:val="single" w:sz="4" w:space="0" w:color="auto"/>
              <w:bottom w:val="single" w:sz="4" w:space="0" w:color="auto"/>
              <w:right w:val="single" w:sz="4" w:space="0" w:color="auto"/>
            </w:tcBorders>
            <w:shd w:val="clear" w:color="auto" w:fill="auto"/>
            <w:vAlign w:val="center"/>
            <w:hideMark/>
          </w:tcPr>
          <w:p w14:paraId="4B069900"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xml:space="preserve">Private scientific institution Institute for Advanced Composites and Robotics </w:t>
            </w:r>
            <w:proofErr w:type="spellStart"/>
            <w:r w:rsidRPr="008463F3">
              <w:rPr>
                <w:rFonts w:eastAsia="Times New Roman" w:cs="Times New Roman"/>
                <w:color w:val="000000"/>
                <w:sz w:val="20"/>
                <w:szCs w:val="20"/>
                <w:lang w:val="en-GB" w:eastAsia="sr-Latn-RS"/>
              </w:rPr>
              <w:t>Prilep</w:t>
            </w:r>
            <w:proofErr w:type="spellEnd"/>
          </w:p>
        </w:tc>
        <w:tc>
          <w:tcPr>
            <w:tcW w:w="397" w:type="dxa"/>
            <w:tcBorders>
              <w:top w:val="nil"/>
              <w:left w:val="nil"/>
              <w:bottom w:val="single" w:sz="4" w:space="0" w:color="auto"/>
              <w:right w:val="single" w:sz="4" w:space="0" w:color="auto"/>
            </w:tcBorders>
            <w:shd w:val="clear" w:color="auto" w:fill="auto"/>
            <w:hideMark/>
          </w:tcPr>
          <w:p w14:paraId="572873EF"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82</w:t>
            </w:r>
          </w:p>
        </w:tc>
        <w:tc>
          <w:tcPr>
            <w:tcW w:w="4536" w:type="dxa"/>
            <w:tcBorders>
              <w:top w:val="nil"/>
              <w:left w:val="nil"/>
              <w:bottom w:val="single" w:sz="4" w:space="0" w:color="auto"/>
              <w:right w:val="single" w:sz="4" w:space="0" w:color="auto"/>
            </w:tcBorders>
            <w:shd w:val="clear" w:color="auto" w:fill="auto"/>
            <w:hideMark/>
          </w:tcPr>
          <w:p w14:paraId="45F476FC"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Slitting equipment</w:t>
            </w:r>
            <w:r w:rsidRPr="008463F3">
              <w:rPr>
                <w:rFonts w:eastAsia="Times New Roman" w:cs="Times New Roman"/>
                <w:color w:val="000000"/>
                <w:sz w:val="20"/>
                <w:szCs w:val="20"/>
                <w:lang w:val="en-GB" w:eastAsia="sr-Latn-RS"/>
              </w:rPr>
              <w:br/>
              <w:t>Type - NSU-300D-2R</w:t>
            </w:r>
          </w:p>
        </w:tc>
        <w:tc>
          <w:tcPr>
            <w:tcW w:w="1275" w:type="dxa"/>
            <w:tcBorders>
              <w:top w:val="nil"/>
              <w:left w:val="nil"/>
              <w:bottom w:val="single" w:sz="4" w:space="0" w:color="auto"/>
              <w:right w:val="single" w:sz="4" w:space="0" w:color="auto"/>
            </w:tcBorders>
            <w:shd w:val="clear" w:color="auto" w:fill="auto"/>
            <w:hideMark/>
          </w:tcPr>
          <w:p w14:paraId="4E856F3F"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181.500</w:t>
            </w:r>
          </w:p>
        </w:tc>
        <w:tc>
          <w:tcPr>
            <w:tcW w:w="1134" w:type="dxa"/>
            <w:tcBorders>
              <w:top w:val="nil"/>
              <w:left w:val="nil"/>
              <w:bottom w:val="single" w:sz="4" w:space="0" w:color="auto"/>
              <w:right w:val="single" w:sz="4" w:space="0" w:color="auto"/>
            </w:tcBorders>
            <w:shd w:val="clear" w:color="auto" w:fill="auto"/>
            <w:hideMark/>
          </w:tcPr>
          <w:p w14:paraId="7009AB96"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2013</w:t>
            </w:r>
          </w:p>
        </w:tc>
        <w:tc>
          <w:tcPr>
            <w:tcW w:w="2839" w:type="dxa"/>
            <w:tcBorders>
              <w:top w:val="nil"/>
              <w:left w:val="nil"/>
              <w:bottom w:val="single" w:sz="4" w:space="0" w:color="auto"/>
              <w:right w:val="single" w:sz="4" w:space="0" w:color="auto"/>
            </w:tcBorders>
            <w:shd w:val="clear" w:color="auto" w:fill="auto"/>
            <w:hideMark/>
          </w:tcPr>
          <w:p w14:paraId="3E088251"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Own funds</w:t>
            </w:r>
          </w:p>
        </w:tc>
        <w:tc>
          <w:tcPr>
            <w:tcW w:w="1125" w:type="dxa"/>
            <w:tcBorders>
              <w:top w:val="nil"/>
              <w:left w:val="nil"/>
              <w:bottom w:val="single" w:sz="4" w:space="0" w:color="auto"/>
              <w:right w:val="single" w:sz="4" w:space="0" w:color="auto"/>
            </w:tcBorders>
            <w:shd w:val="clear" w:color="auto" w:fill="auto"/>
            <w:vAlign w:val="center"/>
            <w:hideMark/>
          </w:tcPr>
          <w:p w14:paraId="677C3BC2"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w:t>
            </w:r>
          </w:p>
        </w:tc>
        <w:tc>
          <w:tcPr>
            <w:tcW w:w="1102" w:type="dxa"/>
            <w:tcBorders>
              <w:top w:val="nil"/>
              <w:left w:val="nil"/>
              <w:bottom w:val="single" w:sz="4" w:space="0" w:color="auto"/>
              <w:right w:val="single" w:sz="4" w:space="0" w:color="auto"/>
            </w:tcBorders>
            <w:shd w:val="clear" w:color="auto" w:fill="auto"/>
            <w:vAlign w:val="center"/>
            <w:hideMark/>
          </w:tcPr>
          <w:p w14:paraId="240D759E"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5</w:t>
            </w:r>
          </w:p>
        </w:tc>
      </w:tr>
      <w:tr w:rsidR="007947BF" w:rsidRPr="008463F3" w14:paraId="32506AF5" w14:textId="77777777" w:rsidTr="00DA2AFC">
        <w:tc>
          <w:tcPr>
            <w:tcW w:w="2312" w:type="dxa"/>
            <w:vMerge/>
            <w:tcBorders>
              <w:top w:val="nil"/>
              <w:left w:val="single" w:sz="4" w:space="0" w:color="auto"/>
              <w:bottom w:val="single" w:sz="4" w:space="0" w:color="auto"/>
              <w:right w:val="single" w:sz="4" w:space="0" w:color="auto"/>
            </w:tcBorders>
            <w:vAlign w:val="center"/>
            <w:hideMark/>
          </w:tcPr>
          <w:p w14:paraId="69B63C18"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hideMark/>
          </w:tcPr>
          <w:p w14:paraId="0F2C435B"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83</w:t>
            </w:r>
          </w:p>
        </w:tc>
        <w:tc>
          <w:tcPr>
            <w:tcW w:w="4536" w:type="dxa"/>
            <w:tcBorders>
              <w:top w:val="nil"/>
              <w:left w:val="nil"/>
              <w:bottom w:val="single" w:sz="4" w:space="0" w:color="auto"/>
              <w:right w:val="single" w:sz="4" w:space="0" w:color="auto"/>
            </w:tcBorders>
            <w:shd w:val="clear" w:color="auto" w:fill="auto"/>
            <w:hideMark/>
          </w:tcPr>
          <w:p w14:paraId="3020BD58"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AFP/ATL Robot Machine</w:t>
            </w:r>
            <w:r w:rsidRPr="008463F3">
              <w:rPr>
                <w:rFonts w:eastAsia="Times New Roman" w:cs="Times New Roman"/>
                <w:color w:val="000000"/>
                <w:sz w:val="20"/>
                <w:szCs w:val="20"/>
                <w:lang w:val="en-GB" w:eastAsia="sr-Latn-RS"/>
              </w:rPr>
              <w:br/>
              <w:t>Type - AFP Libra - MRFP-4T64</w:t>
            </w:r>
          </w:p>
        </w:tc>
        <w:tc>
          <w:tcPr>
            <w:tcW w:w="1275" w:type="dxa"/>
            <w:tcBorders>
              <w:top w:val="nil"/>
              <w:left w:val="nil"/>
              <w:bottom w:val="single" w:sz="4" w:space="0" w:color="auto"/>
              <w:right w:val="single" w:sz="4" w:space="0" w:color="auto"/>
            </w:tcBorders>
            <w:shd w:val="clear" w:color="auto" w:fill="auto"/>
            <w:hideMark/>
          </w:tcPr>
          <w:p w14:paraId="730CB727"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916.082</w:t>
            </w:r>
          </w:p>
        </w:tc>
        <w:tc>
          <w:tcPr>
            <w:tcW w:w="1134" w:type="dxa"/>
            <w:tcBorders>
              <w:top w:val="nil"/>
              <w:left w:val="nil"/>
              <w:bottom w:val="single" w:sz="4" w:space="0" w:color="auto"/>
              <w:right w:val="single" w:sz="4" w:space="0" w:color="auto"/>
            </w:tcBorders>
            <w:shd w:val="clear" w:color="auto" w:fill="auto"/>
            <w:hideMark/>
          </w:tcPr>
          <w:p w14:paraId="49DB395F"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2018</w:t>
            </w:r>
          </w:p>
        </w:tc>
        <w:tc>
          <w:tcPr>
            <w:tcW w:w="2839" w:type="dxa"/>
            <w:tcBorders>
              <w:top w:val="nil"/>
              <w:left w:val="nil"/>
              <w:bottom w:val="single" w:sz="4" w:space="0" w:color="auto"/>
              <w:right w:val="single" w:sz="4" w:space="0" w:color="auto"/>
            </w:tcBorders>
            <w:shd w:val="clear" w:color="auto" w:fill="auto"/>
            <w:hideMark/>
          </w:tcPr>
          <w:p w14:paraId="7A34C20E"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xml:space="preserve">Other sources – Agreement </w:t>
            </w:r>
            <w:r>
              <w:rPr>
                <w:rFonts w:eastAsia="Times New Roman" w:cs="Times New Roman"/>
                <w:color w:val="000000"/>
                <w:sz w:val="20"/>
                <w:szCs w:val="20"/>
                <w:lang w:val="en-GB" w:eastAsia="sr-Latn-RS"/>
              </w:rPr>
              <w:t>on</w:t>
            </w:r>
            <w:r w:rsidRPr="008463F3">
              <w:rPr>
                <w:rFonts w:eastAsia="Times New Roman" w:cs="Times New Roman"/>
                <w:color w:val="000000"/>
                <w:sz w:val="20"/>
                <w:szCs w:val="20"/>
                <w:lang w:val="en-GB" w:eastAsia="sr-Latn-RS"/>
              </w:rPr>
              <w:t xml:space="preserve"> business cooperation with the owner</w:t>
            </w:r>
          </w:p>
        </w:tc>
        <w:tc>
          <w:tcPr>
            <w:tcW w:w="1125" w:type="dxa"/>
            <w:tcBorders>
              <w:top w:val="nil"/>
              <w:left w:val="nil"/>
              <w:bottom w:val="single" w:sz="4" w:space="0" w:color="auto"/>
              <w:right w:val="single" w:sz="4" w:space="0" w:color="auto"/>
            </w:tcBorders>
            <w:shd w:val="clear" w:color="auto" w:fill="auto"/>
            <w:vAlign w:val="center"/>
            <w:hideMark/>
          </w:tcPr>
          <w:p w14:paraId="55059D67"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w:t>
            </w:r>
          </w:p>
        </w:tc>
        <w:tc>
          <w:tcPr>
            <w:tcW w:w="1102" w:type="dxa"/>
            <w:tcBorders>
              <w:top w:val="nil"/>
              <w:left w:val="nil"/>
              <w:bottom w:val="single" w:sz="4" w:space="0" w:color="auto"/>
              <w:right w:val="single" w:sz="4" w:space="0" w:color="auto"/>
            </w:tcBorders>
            <w:shd w:val="clear" w:color="auto" w:fill="auto"/>
            <w:vAlign w:val="center"/>
            <w:hideMark/>
          </w:tcPr>
          <w:p w14:paraId="53745E3F"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7</w:t>
            </w:r>
          </w:p>
        </w:tc>
      </w:tr>
      <w:tr w:rsidR="007947BF" w:rsidRPr="008463F3" w14:paraId="0A019F19" w14:textId="77777777" w:rsidTr="00DA2AFC">
        <w:tc>
          <w:tcPr>
            <w:tcW w:w="2312" w:type="dxa"/>
            <w:vMerge/>
            <w:tcBorders>
              <w:top w:val="nil"/>
              <w:left w:val="single" w:sz="4" w:space="0" w:color="auto"/>
              <w:bottom w:val="nil"/>
              <w:right w:val="single" w:sz="4" w:space="0" w:color="auto"/>
            </w:tcBorders>
            <w:vAlign w:val="center"/>
            <w:hideMark/>
          </w:tcPr>
          <w:p w14:paraId="52240B33"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nil"/>
              <w:right w:val="single" w:sz="4" w:space="0" w:color="auto"/>
            </w:tcBorders>
            <w:shd w:val="clear" w:color="auto" w:fill="auto"/>
            <w:hideMark/>
          </w:tcPr>
          <w:p w14:paraId="4BCE8755"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84</w:t>
            </w:r>
          </w:p>
        </w:tc>
        <w:tc>
          <w:tcPr>
            <w:tcW w:w="4536" w:type="dxa"/>
            <w:tcBorders>
              <w:top w:val="nil"/>
              <w:left w:val="nil"/>
              <w:bottom w:val="nil"/>
              <w:right w:val="single" w:sz="4" w:space="0" w:color="auto"/>
            </w:tcBorders>
            <w:shd w:val="clear" w:color="auto" w:fill="auto"/>
            <w:hideMark/>
          </w:tcPr>
          <w:p w14:paraId="4D2A9F9F" w14:textId="77777777" w:rsidR="007947BF" w:rsidRPr="008463F3" w:rsidRDefault="007947BF" w:rsidP="00DA2AFC">
            <w:pPr>
              <w:spacing w:after="0" w:line="240" w:lineRule="auto"/>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Diode Laser</w:t>
            </w:r>
            <w:r w:rsidRPr="008463F3">
              <w:rPr>
                <w:rFonts w:eastAsia="Times New Roman" w:cs="Times New Roman"/>
                <w:color w:val="000000"/>
                <w:sz w:val="20"/>
                <w:szCs w:val="20"/>
                <w:lang w:val="en-GB" w:eastAsia="sr-Latn-RS"/>
              </w:rPr>
              <w:br/>
              <w:t>Type - LDM 3000-100</w:t>
            </w:r>
          </w:p>
        </w:tc>
        <w:tc>
          <w:tcPr>
            <w:tcW w:w="1275" w:type="dxa"/>
            <w:tcBorders>
              <w:top w:val="nil"/>
              <w:left w:val="nil"/>
              <w:bottom w:val="nil"/>
              <w:right w:val="single" w:sz="4" w:space="0" w:color="auto"/>
            </w:tcBorders>
            <w:shd w:val="clear" w:color="auto" w:fill="auto"/>
            <w:hideMark/>
          </w:tcPr>
          <w:p w14:paraId="773A6522"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109.337</w:t>
            </w:r>
          </w:p>
        </w:tc>
        <w:tc>
          <w:tcPr>
            <w:tcW w:w="1134" w:type="dxa"/>
            <w:tcBorders>
              <w:top w:val="nil"/>
              <w:left w:val="nil"/>
              <w:bottom w:val="nil"/>
              <w:right w:val="single" w:sz="4" w:space="0" w:color="auto"/>
            </w:tcBorders>
            <w:shd w:val="clear" w:color="auto" w:fill="auto"/>
            <w:hideMark/>
          </w:tcPr>
          <w:p w14:paraId="1646C968"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2018</w:t>
            </w:r>
          </w:p>
        </w:tc>
        <w:tc>
          <w:tcPr>
            <w:tcW w:w="2839" w:type="dxa"/>
            <w:tcBorders>
              <w:top w:val="nil"/>
              <w:left w:val="nil"/>
              <w:bottom w:val="nil"/>
              <w:right w:val="single" w:sz="4" w:space="0" w:color="auto"/>
            </w:tcBorders>
            <w:shd w:val="clear" w:color="auto" w:fill="auto"/>
            <w:hideMark/>
          </w:tcPr>
          <w:p w14:paraId="34A95E98"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 xml:space="preserve">Other sources – Agreement </w:t>
            </w:r>
            <w:r>
              <w:rPr>
                <w:rFonts w:eastAsia="Times New Roman" w:cs="Times New Roman"/>
                <w:color w:val="000000"/>
                <w:sz w:val="20"/>
                <w:szCs w:val="20"/>
                <w:lang w:val="en-GB" w:eastAsia="sr-Latn-RS"/>
              </w:rPr>
              <w:t>on</w:t>
            </w:r>
            <w:r w:rsidRPr="008463F3">
              <w:rPr>
                <w:rFonts w:eastAsia="Times New Roman" w:cs="Times New Roman"/>
                <w:color w:val="000000"/>
                <w:sz w:val="20"/>
                <w:szCs w:val="20"/>
                <w:lang w:val="en-GB" w:eastAsia="sr-Latn-RS"/>
              </w:rPr>
              <w:t xml:space="preserve"> business cooperation with the owner</w:t>
            </w:r>
          </w:p>
        </w:tc>
        <w:tc>
          <w:tcPr>
            <w:tcW w:w="1125" w:type="dxa"/>
            <w:tcBorders>
              <w:top w:val="nil"/>
              <w:left w:val="nil"/>
              <w:bottom w:val="nil"/>
              <w:right w:val="single" w:sz="4" w:space="0" w:color="auto"/>
            </w:tcBorders>
            <w:shd w:val="clear" w:color="auto" w:fill="auto"/>
            <w:vAlign w:val="center"/>
            <w:hideMark/>
          </w:tcPr>
          <w:p w14:paraId="609EAF74"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20</w:t>
            </w:r>
          </w:p>
        </w:tc>
        <w:tc>
          <w:tcPr>
            <w:tcW w:w="1102" w:type="dxa"/>
            <w:tcBorders>
              <w:top w:val="nil"/>
              <w:left w:val="nil"/>
              <w:bottom w:val="nil"/>
              <w:right w:val="single" w:sz="4" w:space="0" w:color="auto"/>
            </w:tcBorders>
            <w:shd w:val="clear" w:color="auto" w:fill="auto"/>
            <w:vAlign w:val="center"/>
            <w:hideMark/>
          </w:tcPr>
          <w:p w14:paraId="42BDE4DC"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r w:rsidRPr="008463F3">
              <w:rPr>
                <w:rFonts w:eastAsia="Times New Roman" w:cs="Times New Roman"/>
                <w:color w:val="000000"/>
                <w:sz w:val="20"/>
                <w:szCs w:val="20"/>
                <w:lang w:val="en-GB" w:eastAsia="sr-Latn-RS"/>
              </w:rPr>
              <w:t>7</w:t>
            </w:r>
          </w:p>
        </w:tc>
      </w:tr>
      <w:tr w:rsidR="007947BF" w:rsidRPr="008463F3" w14:paraId="7DD0A550" w14:textId="77777777" w:rsidTr="00DA2AFC">
        <w:tc>
          <w:tcPr>
            <w:tcW w:w="2312" w:type="dxa"/>
            <w:tcBorders>
              <w:top w:val="nil"/>
              <w:left w:val="single" w:sz="4" w:space="0" w:color="auto"/>
              <w:bottom w:val="single" w:sz="4" w:space="0" w:color="auto"/>
              <w:right w:val="single" w:sz="4" w:space="0" w:color="auto"/>
            </w:tcBorders>
            <w:vAlign w:val="center"/>
          </w:tcPr>
          <w:p w14:paraId="7B412705"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397" w:type="dxa"/>
            <w:tcBorders>
              <w:top w:val="nil"/>
              <w:left w:val="nil"/>
              <w:bottom w:val="single" w:sz="4" w:space="0" w:color="auto"/>
              <w:right w:val="single" w:sz="4" w:space="0" w:color="auto"/>
            </w:tcBorders>
            <w:shd w:val="clear" w:color="auto" w:fill="auto"/>
          </w:tcPr>
          <w:p w14:paraId="0D82D9B7"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p>
        </w:tc>
        <w:tc>
          <w:tcPr>
            <w:tcW w:w="4536" w:type="dxa"/>
            <w:tcBorders>
              <w:top w:val="nil"/>
              <w:left w:val="nil"/>
              <w:bottom w:val="single" w:sz="4" w:space="0" w:color="auto"/>
              <w:right w:val="single" w:sz="4" w:space="0" w:color="auto"/>
            </w:tcBorders>
            <w:shd w:val="clear" w:color="auto" w:fill="auto"/>
          </w:tcPr>
          <w:p w14:paraId="6FE6EE5C" w14:textId="77777777" w:rsidR="007947BF" w:rsidRPr="008463F3" w:rsidRDefault="007947BF" w:rsidP="00DA2AFC">
            <w:pPr>
              <w:spacing w:after="0" w:line="240" w:lineRule="auto"/>
              <w:rPr>
                <w:rFonts w:eastAsia="Times New Roman" w:cs="Times New Roman"/>
                <w:color w:val="000000"/>
                <w:sz w:val="20"/>
                <w:szCs w:val="20"/>
                <w:lang w:val="en-GB" w:eastAsia="sr-Latn-RS"/>
              </w:rPr>
            </w:pPr>
          </w:p>
        </w:tc>
        <w:tc>
          <w:tcPr>
            <w:tcW w:w="1275" w:type="dxa"/>
            <w:tcBorders>
              <w:top w:val="nil"/>
              <w:left w:val="nil"/>
              <w:bottom w:val="single" w:sz="4" w:space="0" w:color="auto"/>
              <w:right w:val="single" w:sz="4" w:space="0" w:color="auto"/>
            </w:tcBorders>
            <w:shd w:val="clear" w:color="auto" w:fill="auto"/>
          </w:tcPr>
          <w:p w14:paraId="0953380F"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p>
        </w:tc>
        <w:tc>
          <w:tcPr>
            <w:tcW w:w="1134" w:type="dxa"/>
            <w:tcBorders>
              <w:top w:val="nil"/>
              <w:left w:val="nil"/>
              <w:bottom w:val="single" w:sz="4" w:space="0" w:color="auto"/>
              <w:right w:val="single" w:sz="4" w:space="0" w:color="auto"/>
            </w:tcBorders>
            <w:shd w:val="clear" w:color="auto" w:fill="auto"/>
          </w:tcPr>
          <w:p w14:paraId="589A5C02"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p>
        </w:tc>
        <w:tc>
          <w:tcPr>
            <w:tcW w:w="2839" w:type="dxa"/>
            <w:tcBorders>
              <w:top w:val="nil"/>
              <w:left w:val="nil"/>
              <w:bottom w:val="single" w:sz="4" w:space="0" w:color="auto"/>
              <w:right w:val="single" w:sz="4" w:space="0" w:color="auto"/>
            </w:tcBorders>
            <w:shd w:val="clear" w:color="auto" w:fill="auto"/>
          </w:tcPr>
          <w:p w14:paraId="34C89A49"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p>
        </w:tc>
        <w:tc>
          <w:tcPr>
            <w:tcW w:w="1125" w:type="dxa"/>
            <w:tcBorders>
              <w:top w:val="nil"/>
              <w:left w:val="nil"/>
              <w:bottom w:val="single" w:sz="4" w:space="0" w:color="auto"/>
              <w:right w:val="single" w:sz="4" w:space="0" w:color="auto"/>
            </w:tcBorders>
            <w:shd w:val="clear" w:color="auto" w:fill="auto"/>
            <w:vAlign w:val="center"/>
          </w:tcPr>
          <w:p w14:paraId="0ED3A908"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p>
        </w:tc>
        <w:tc>
          <w:tcPr>
            <w:tcW w:w="1102" w:type="dxa"/>
            <w:tcBorders>
              <w:top w:val="nil"/>
              <w:left w:val="nil"/>
              <w:bottom w:val="single" w:sz="4" w:space="0" w:color="auto"/>
              <w:right w:val="single" w:sz="4" w:space="0" w:color="auto"/>
            </w:tcBorders>
            <w:shd w:val="clear" w:color="auto" w:fill="auto"/>
            <w:vAlign w:val="center"/>
          </w:tcPr>
          <w:p w14:paraId="69084875" w14:textId="77777777" w:rsidR="007947BF" w:rsidRPr="008463F3" w:rsidRDefault="007947BF" w:rsidP="00DA2AFC">
            <w:pPr>
              <w:spacing w:after="0" w:line="240" w:lineRule="auto"/>
              <w:jc w:val="center"/>
              <w:rPr>
                <w:rFonts w:eastAsia="Times New Roman" w:cs="Times New Roman"/>
                <w:color w:val="000000"/>
                <w:sz w:val="20"/>
                <w:szCs w:val="20"/>
                <w:lang w:val="en-GB" w:eastAsia="sr-Latn-RS"/>
              </w:rPr>
            </w:pPr>
          </w:p>
        </w:tc>
      </w:tr>
      <w:tr w:rsidR="007947BF" w:rsidRPr="00B84E42" w14:paraId="4121F9AF" w14:textId="77777777" w:rsidTr="00DA2AFC">
        <w:tc>
          <w:tcPr>
            <w:tcW w:w="2312" w:type="dxa"/>
            <w:vMerge w:val="restart"/>
            <w:tcBorders>
              <w:top w:val="nil"/>
              <w:left w:val="single" w:sz="4" w:space="0" w:color="auto"/>
              <w:right w:val="single" w:sz="4" w:space="0" w:color="auto"/>
            </w:tcBorders>
            <w:vAlign w:val="center"/>
          </w:tcPr>
          <w:p w14:paraId="4862F515" w14:textId="77777777" w:rsidR="007947BF" w:rsidRPr="00A21742" w:rsidRDefault="007947BF" w:rsidP="00DA2AFC">
            <w:pPr>
              <w:spacing w:after="0" w:line="240" w:lineRule="auto"/>
              <w:rPr>
                <w:rFonts w:eastAsia="Times New Roman" w:cs="Times New Roman"/>
                <w:sz w:val="20"/>
                <w:szCs w:val="20"/>
                <w:lang w:val="en-GB" w:eastAsia="sr-Latn-RS"/>
              </w:rPr>
            </w:pPr>
            <w:r w:rsidRPr="00A21742">
              <w:rPr>
                <w:rFonts w:eastAsia="Times New Roman" w:cs="Times New Roman"/>
                <w:sz w:val="20"/>
                <w:szCs w:val="20"/>
                <w:lang w:val="en-GB" w:eastAsia="sr-Latn-RS"/>
              </w:rPr>
              <w:t xml:space="preserve">Georgi D. </w:t>
            </w:r>
            <w:proofErr w:type="spellStart"/>
            <w:r w:rsidRPr="00A21742">
              <w:rPr>
                <w:rFonts w:eastAsia="Times New Roman" w:cs="Times New Roman"/>
                <w:sz w:val="20"/>
                <w:szCs w:val="20"/>
                <w:lang w:val="en-GB" w:eastAsia="sr-Latn-RS"/>
              </w:rPr>
              <w:t>Efremov</w:t>
            </w:r>
            <w:proofErr w:type="spellEnd"/>
            <w:r w:rsidRPr="00A21742">
              <w:rPr>
                <w:rFonts w:eastAsia="Times New Roman" w:cs="Times New Roman"/>
                <w:sz w:val="20"/>
                <w:szCs w:val="20"/>
                <w:lang w:val="en-GB" w:eastAsia="sr-Latn-RS"/>
              </w:rPr>
              <w:t xml:space="preserve"> Research Centre for Genetic Engineering and Biotechnology ,</w:t>
            </w:r>
          </w:p>
          <w:p w14:paraId="17610CC2" w14:textId="77777777" w:rsidR="007947BF" w:rsidRPr="00A21742" w:rsidRDefault="007947BF" w:rsidP="00DA2AFC">
            <w:pPr>
              <w:spacing w:after="0" w:line="240" w:lineRule="auto"/>
              <w:rPr>
                <w:rFonts w:eastAsia="Times New Roman" w:cs="Times New Roman"/>
                <w:sz w:val="20"/>
                <w:szCs w:val="20"/>
                <w:lang w:val="en-GB" w:eastAsia="sr-Latn-RS"/>
              </w:rPr>
            </w:pPr>
            <w:r w:rsidRPr="00A21742">
              <w:rPr>
                <w:rFonts w:eastAsia="Times New Roman" w:cs="Times New Roman"/>
                <w:sz w:val="20"/>
                <w:szCs w:val="20"/>
                <w:lang w:val="en-GB" w:eastAsia="sr-Latn-RS"/>
              </w:rPr>
              <w:t>Macedonian Academy of Sciences and Arts</w:t>
            </w:r>
          </w:p>
        </w:tc>
        <w:tc>
          <w:tcPr>
            <w:tcW w:w="397" w:type="dxa"/>
            <w:tcBorders>
              <w:top w:val="nil"/>
              <w:left w:val="nil"/>
              <w:bottom w:val="single" w:sz="4" w:space="0" w:color="auto"/>
              <w:right w:val="single" w:sz="4" w:space="0" w:color="auto"/>
            </w:tcBorders>
            <w:shd w:val="clear" w:color="auto" w:fill="auto"/>
          </w:tcPr>
          <w:p w14:paraId="0133380F"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85</w:t>
            </w:r>
          </w:p>
        </w:tc>
        <w:tc>
          <w:tcPr>
            <w:tcW w:w="4536" w:type="dxa"/>
            <w:tcBorders>
              <w:top w:val="nil"/>
              <w:left w:val="nil"/>
              <w:bottom w:val="single" w:sz="4" w:space="0" w:color="auto"/>
              <w:right w:val="single" w:sz="4" w:space="0" w:color="auto"/>
            </w:tcBorders>
            <w:shd w:val="clear" w:color="auto" w:fill="auto"/>
          </w:tcPr>
          <w:p w14:paraId="24FA592A" w14:textId="77777777" w:rsidR="007947BF" w:rsidRPr="00A21742" w:rsidRDefault="007947BF" w:rsidP="00DA2AFC">
            <w:pPr>
              <w:spacing w:after="0" w:line="240" w:lineRule="auto"/>
              <w:rPr>
                <w:rFonts w:eastAsia="Times New Roman" w:cs="Times New Roman"/>
                <w:sz w:val="20"/>
                <w:szCs w:val="20"/>
                <w:lang w:val="en-GB" w:eastAsia="sr-Latn-RS"/>
              </w:rPr>
            </w:pPr>
            <w:r w:rsidRPr="00A21742">
              <w:rPr>
                <w:rFonts w:eastAsia="Times New Roman" w:cs="Times New Roman"/>
                <w:sz w:val="20"/>
                <w:szCs w:val="20"/>
                <w:lang w:val="en-GB" w:eastAsia="sr-Latn-RS"/>
              </w:rPr>
              <w:t>DNA Microarray Scanner system (High-Res-Microarray), Agilent</w:t>
            </w:r>
          </w:p>
        </w:tc>
        <w:tc>
          <w:tcPr>
            <w:tcW w:w="1275" w:type="dxa"/>
            <w:tcBorders>
              <w:top w:val="nil"/>
              <w:left w:val="nil"/>
              <w:bottom w:val="single" w:sz="4" w:space="0" w:color="auto"/>
              <w:right w:val="single" w:sz="4" w:space="0" w:color="auto"/>
            </w:tcBorders>
            <w:shd w:val="clear" w:color="auto" w:fill="auto"/>
          </w:tcPr>
          <w:p w14:paraId="333B5F33"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98.000</w:t>
            </w:r>
          </w:p>
        </w:tc>
        <w:tc>
          <w:tcPr>
            <w:tcW w:w="1134" w:type="dxa"/>
            <w:tcBorders>
              <w:top w:val="nil"/>
              <w:left w:val="nil"/>
              <w:bottom w:val="single" w:sz="4" w:space="0" w:color="auto"/>
              <w:right w:val="single" w:sz="4" w:space="0" w:color="auto"/>
            </w:tcBorders>
            <w:shd w:val="clear" w:color="auto" w:fill="auto"/>
          </w:tcPr>
          <w:p w14:paraId="07BFFCB0"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2009</w:t>
            </w:r>
          </w:p>
        </w:tc>
        <w:tc>
          <w:tcPr>
            <w:tcW w:w="2839" w:type="dxa"/>
            <w:tcBorders>
              <w:top w:val="nil"/>
              <w:left w:val="nil"/>
              <w:bottom w:val="single" w:sz="4" w:space="0" w:color="auto"/>
              <w:right w:val="single" w:sz="4" w:space="0" w:color="auto"/>
            </w:tcBorders>
            <w:shd w:val="clear" w:color="auto" w:fill="auto"/>
          </w:tcPr>
          <w:p w14:paraId="6B4D9CE7"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EU grant (REGPOT)</w:t>
            </w:r>
          </w:p>
        </w:tc>
        <w:tc>
          <w:tcPr>
            <w:tcW w:w="1125" w:type="dxa"/>
            <w:tcBorders>
              <w:top w:val="nil"/>
              <w:left w:val="nil"/>
              <w:bottom w:val="single" w:sz="4" w:space="0" w:color="auto"/>
              <w:right w:val="single" w:sz="4" w:space="0" w:color="auto"/>
            </w:tcBorders>
            <w:shd w:val="clear" w:color="auto" w:fill="auto"/>
            <w:vAlign w:val="center"/>
          </w:tcPr>
          <w:p w14:paraId="1B892B84"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10</w:t>
            </w:r>
          </w:p>
        </w:tc>
        <w:tc>
          <w:tcPr>
            <w:tcW w:w="1102" w:type="dxa"/>
            <w:tcBorders>
              <w:top w:val="nil"/>
              <w:left w:val="nil"/>
              <w:bottom w:val="single" w:sz="4" w:space="0" w:color="auto"/>
              <w:right w:val="single" w:sz="4" w:space="0" w:color="auto"/>
            </w:tcBorders>
            <w:shd w:val="clear" w:color="auto" w:fill="auto"/>
            <w:vAlign w:val="center"/>
          </w:tcPr>
          <w:p w14:paraId="78571DDF"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10</w:t>
            </w:r>
          </w:p>
        </w:tc>
      </w:tr>
      <w:tr w:rsidR="007947BF" w:rsidRPr="00B84E42" w14:paraId="45006A2F" w14:textId="77777777" w:rsidTr="00DA2AFC">
        <w:tc>
          <w:tcPr>
            <w:tcW w:w="2312" w:type="dxa"/>
            <w:vMerge/>
            <w:tcBorders>
              <w:left w:val="single" w:sz="4" w:space="0" w:color="auto"/>
              <w:right w:val="single" w:sz="4" w:space="0" w:color="auto"/>
            </w:tcBorders>
            <w:vAlign w:val="center"/>
          </w:tcPr>
          <w:p w14:paraId="4F748A36" w14:textId="77777777" w:rsidR="007947BF" w:rsidRPr="00A21742" w:rsidRDefault="007947BF" w:rsidP="00DA2AFC">
            <w:pPr>
              <w:spacing w:after="0" w:line="240" w:lineRule="auto"/>
              <w:rPr>
                <w:rFonts w:eastAsia="Times New Roman" w:cs="Times New Roman"/>
                <w:sz w:val="20"/>
                <w:szCs w:val="20"/>
                <w:lang w:val="en-GB" w:eastAsia="sr-Latn-RS"/>
              </w:rPr>
            </w:pPr>
          </w:p>
        </w:tc>
        <w:tc>
          <w:tcPr>
            <w:tcW w:w="397" w:type="dxa"/>
            <w:tcBorders>
              <w:top w:val="nil"/>
              <w:left w:val="nil"/>
              <w:bottom w:val="single" w:sz="4" w:space="0" w:color="auto"/>
              <w:right w:val="single" w:sz="4" w:space="0" w:color="auto"/>
            </w:tcBorders>
            <w:shd w:val="clear" w:color="auto" w:fill="auto"/>
          </w:tcPr>
          <w:p w14:paraId="44E71913"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86</w:t>
            </w:r>
          </w:p>
        </w:tc>
        <w:tc>
          <w:tcPr>
            <w:tcW w:w="4536" w:type="dxa"/>
            <w:tcBorders>
              <w:top w:val="nil"/>
              <w:left w:val="nil"/>
              <w:bottom w:val="single" w:sz="4" w:space="0" w:color="auto"/>
              <w:right w:val="single" w:sz="4" w:space="0" w:color="auto"/>
            </w:tcBorders>
            <w:shd w:val="clear" w:color="auto" w:fill="auto"/>
          </w:tcPr>
          <w:p w14:paraId="70B9D779" w14:textId="77777777" w:rsidR="007947BF" w:rsidRPr="00A21742" w:rsidRDefault="007947BF" w:rsidP="00DA2AFC">
            <w:pPr>
              <w:spacing w:after="0" w:line="240" w:lineRule="auto"/>
              <w:rPr>
                <w:rFonts w:eastAsia="Times New Roman" w:cs="Times New Roman"/>
                <w:sz w:val="20"/>
                <w:szCs w:val="20"/>
                <w:lang w:val="en-GB" w:eastAsia="sr-Latn-RS"/>
              </w:rPr>
            </w:pPr>
            <w:proofErr w:type="spellStart"/>
            <w:r w:rsidRPr="00A21742">
              <w:rPr>
                <w:rFonts w:eastAsia="Times New Roman" w:cs="Times New Roman"/>
                <w:sz w:val="20"/>
                <w:szCs w:val="20"/>
                <w:lang w:val="en-GB" w:eastAsia="sr-Latn-RS"/>
              </w:rPr>
              <w:t>MiSeq</w:t>
            </w:r>
            <w:proofErr w:type="spellEnd"/>
            <w:r w:rsidRPr="00A21742">
              <w:rPr>
                <w:rFonts w:eastAsia="Times New Roman" w:cs="Times New Roman"/>
                <w:sz w:val="20"/>
                <w:szCs w:val="20"/>
                <w:lang w:val="en-GB" w:eastAsia="sr-Latn-RS"/>
              </w:rPr>
              <w:t xml:space="preserve"> personal sequencer, Illumina</w:t>
            </w:r>
          </w:p>
        </w:tc>
        <w:tc>
          <w:tcPr>
            <w:tcW w:w="1275" w:type="dxa"/>
            <w:tcBorders>
              <w:top w:val="nil"/>
              <w:left w:val="nil"/>
              <w:bottom w:val="single" w:sz="4" w:space="0" w:color="auto"/>
              <w:right w:val="single" w:sz="4" w:space="0" w:color="auto"/>
            </w:tcBorders>
            <w:shd w:val="clear" w:color="auto" w:fill="auto"/>
          </w:tcPr>
          <w:p w14:paraId="248C3A8A"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120.000</w:t>
            </w:r>
          </w:p>
        </w:tc>
        <w:tc>
          <w:tcPr>
            <w:tcW w:w="1134" w:type="dxa"/>
            <w:tcBorders>
              <w:top w:val="nil"/>
              <w:left w:val="nil"/>
              <w:bottom w:val="single" w:sz="4" w:space="0" w:color="auto"/>
              <w:right w:val="single" w:sz="4" w:space="0" w:color="auto"/>
            </w:tcBorders>
            <w:shd w:val="clear" w:color="auto" w:fill="auto"/>
          </w:tcPr>
          <w:p w14:paraId="32AE8418"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2012</w:t>
            </w:r>
          </w:p>
        </w:tc>
        <w:tc>
          <w:tcPr>
            <w:tcW w:w="2839" w:type="dxa"/>
            <w:tcBorders>
              <w:top w:val="nil"/>
              <w:left w:val="nil"/>
              <w:bottom w:val="single" w:sz="4" w:space="0" w:color="auto"/>
              <w:right w:val="single" w:sz="4" w:space="0" w:color="auto"/>
            </w:tcBorders>
            <w:shd w:val="clear" w:color="auto" w:fill="auto"/>
          </w:tcPr>
          <w:p w14:paraId="6C0E5CE4"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EU grant (REGPOT)</w:t>
            </w:r>
          </w:p>
        </w:tc>
        <w:tc>
          <w:tcPr>
            <w:tcW w:w="1125" w:type="dxa"/>
            <w:tcBorders>
              <w:top w:val="nil"/>
              <w:left w:val="nil"/>
              <w:bottom w:val="single" w:sz="4" w:space="0" w:color="auto"/>
              <w:right w:val="single" w:sz="4" w:space="0" w:color="auto"/>
            </w:tcBorders>
            <w:shd w:val="clear" w:color="auto" w:fill="auto"/>
            <w:vAlign w:val="center"/>
          </w:tcPr>
          <w:p w14:paraId="7E0E7E4D"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10</w:t>
            </w:r>
          </w:p>
        </w:tc>
        <w:tc>
          <w:tcPr>
            <w:tcW w:w="1102" w:type="dxa"/>
            <w:tcBorders>
              <w:top w:val="nil"/>
              <w:left w:val="nil"/>
              <w:bottom w:val="single" w:sz="4" w:space="0" w:color="auto"/>
              <w:right w:val="single" w:sz="4" w:space="0" w:color="auto"/>
            </w:tcBorders>
            <w:shd w:val="clear" w:color="auto" w:fill="auto"/>
            <w:vAlign w:val="center"/>
          </w:tcPr>
          <w:p w14:paraId="0D104A56"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30</w:t>
            </w:r>
          </w:p>
        </w:tc>
      </w:tr>
      <w:tr w:rsidR="007947BF" w:rsidRPr="00B84E42" w14:paraId="2B7081FF" w14:textId="77777777" w:rsidTr="00DA2AFC">
        <w:tc>
          <w:tcPr>
            <w:tcW w:w="2312" w:type="dxa"/>
            <w:vMerge/>
            <w:tcBorders>
              <w:left w:val="single" w:sz="4" w:space="0" w:color="auto"/>
              <w:right w:val="single" w:sz="4" w:space="0" w:color="auto"/>
            </w:tcBorders>
            <w:vAlign w:val="center"/>
          </w:tcPr>
          <w:p w14:paraId="3BF6559B" w14:textId="77777777" w:rsidR="007947BF" w:rsidRPr="00A21742" w:rsidRDefault="007947BF" w:rsidP="00DA2AFC">
            <w:pPr>
              <w:spacing w:after="0" w:line="240" w:lineRule="auto"/>
              <w:rPr>
                <w:rFonts w:eastAsia="Times New Roman" w:cs="Times New Roman"/>
                <w:sz w:val="20"/>
                <w:szCs w:val="20"/>
                <w:lang w:val="en-GB" w:eastAsia="sr-Latn-RS"/>
              </w:rPr>
            </w:pPr>
          </w:p>
        </w:tc>
        <w:tc>
          <w:tcPr>
            <w:tcW w:w="397" w:type="dxa"/>
            <w:tcBorders>
              <w:top w:val="nil"/>
              <w:left w:val="nil"/>
              <w:bottom w:val="single" w:sz="4" w:space="0" w:color="auto"/>
              <w:right w:val="single" w:sz="4" w:space="0" w:color="auto"/>
            </w:tcBorders>
            <w:shd w:val="clear" w:color="auto" w:fill="auto"/>
          </w:tcPr>
          <w:p w14:paraId="743EEE8D"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87</w:t>
            </w:r>
          </w:p>
        </w:tc>
        <w:tc>
          <w:tcPr>
            <w:tcW w:w="4536" w:type="dxa"/>
            <w:tcBorders>
              <w:top w:val="nil"/>
              <w:left w:val="nil"/>
              <w:bottom w:val="single" w:sz="4" w:space="0" w:color="auto"/>
              <w:right w:val="single" w:sz="4" w:space="0" w:color="auto"/>
            </w:tcBorders>
            <w:shd w:val="clear" w:color="auto" w:fill="auto"/>
          </w:tcPr>
          <w:p w14:paraId="2D528FDC" w14:textId="77777777" w:rsidR="007947BF" w:rsidRPr="00A21742" w:rsidRDefault="007947BF" w:rsidP="00DA2AFC">
            <w:pPr>
              <w:spacing w:after="0" w:line="240" w:lineRule="auto"/>
              <w:rPr>
                <w:rFonts w:eastAsia="Times New Roman" w:cs="Times New Roman"/>
                <w:sz w:val="20"/>
                <w:szCs w:val="20"/>
                <w:lang w:val="en-GB" w:eastAsia="sr-Latn-RS"/>
              </w:rPr>
            </w:pPr>
            <w:r w:rsidRPr="00A21742">
              <w:rPr>
                <w:rFonts w:eastAsia="Times New Roman" w:cs="Times New Roman"/>
                <w:sz w:val="20"/>
                <w:szCs w:val="20"/>
                <w:lang w:val="en-GB" w:eastAsia="sr-Latn-RS"/>
              </w:rPr>
              <w:t>3130 Genetic Analyser with computer, Applied Biosystems</w:t>
            </w:r>
          </w:p>
        </w:tc>
        <w:tc>
          <w:tcPr>
            <w:tcW w:w="1275" w:type="dxa"/>
            <w:tcBorders>
              <w:top w:val="nil"/>
              <w:left w:val="nil"/>
              <w:bottom w:val="single" w:sz="4" w:space="0" w:color="auto"/>
              <w:right w:val="single" w:sz="4" w:space="0" w:color="auto"/>
            </w:tcBorders>
            <w:shd w:val="clear" w:color="auto" w:fill="auto"/>
          </w:tcPr>
          <w:p w14:paraId="5365AF7B"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91.100</w:t>
            </w:r>
          </w:p>
        </w:tc>
        <w:tc>
          <w:tcPr>
            <w:tcW w:w="1134" w:type="dxa"/>
            <w:tcBorders>
              <w:top w:val="nil"/>
              <w:left w:val="nil"/>
              <w:bottom w:val="single" w:sz="4" w:space="0" w:color="auto"/>
              <w:right w:val="single" w:sz="4" w:space="0" w:color="auto"/>
            </w:tcBorders>
            <w:shd w:val="clear" w:color="auto" w:fill="auto"/>
          </w:tcPr>
          <w:p w14:paraId="7F09E33D"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2009</w:t>
            </w:r>
          </w:p>
        </w:tc>
        <w:tc>
          <w:tcPr>
            <w:tcW w:w="2839" w:type="dxa"/>
            <w:tcBorders>
              <w:top w:val="nil"/>
              <w:left w:val="nil"/>
              <w:bottom w:val="single" w:sz="4" w:space="0" w:color="auto"/>
              <w:right w:val="single" w:sz="4" w:space="0" w:color="auto"/>
            </w:tcBorders>
            <w:shd w:val="clear" w:color="auto" w:fill="auto"/>
          </w:tcPr>
          <w:p w14:paraId="395F8808"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Own funds</w:t>
            </w:r>
          </w:p>
        </w:tc>
        <w:tc>
          <w:tcPr>
            <w:tcW w:w="1125" w:type="dxa"/>
            <w:tcBorders>
              <w:top w:val="nil"/>
              <w:left w:val="nil"/>
              <w:bottom w:val="single" w:sz="4" w:space="0" w:color="auto"/>
              <w:right w:val="single" w:sz="4" w:space="0" w:color="auto"/>
            </w:tcBorders>
            <w:shd w:val="clear" w:color="auto" w:fill="auto"/>
            <w:vAlign w:val="center"/>
          </w:tcPr>
          <w:p w14:paraId="20F271E6"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10</w:t>
            </w:r>
          </w:p>
        </w:tc>
        <w:tc>
          <w:tcPr>
            <w:tcW w:w="1102" w:type="dxa"/>
            <w:tcBorders>
              <w:top w:val="nil"/>
              <w:left w:val="nil"/>
              <w:bottom w:val="single" w:sz="4" w:space="0" w:color="auto"/>
              <w:right w:val="single" w:sz="4" w:space="0" w:color="auto"/>
            </w:tcBorders>
            <w:shd w:val="clear" w:color="auto" w:fill="auto"/>
            <w:vAlign w:val="center"/>
          </w:tcPr>
          <w:p w14:paraId="100859FA"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30</w:t>
            </w:r>
          </w:p>
        </w:tc>
      </w:tr>
      <w:tr w:rsidR="007947BF" w:rsidRPr="00B84E42" w14:paraId="1E66FE4F" w14:textId="77777777" w:rsidTr="00DA2AFC">
        <w:tc>
          <w:tcPr>
            <w:tcW w:w="2312" w:type="dxa"/>
            <w:vMerge/>
            <w:tcBorders>
              <w:left w:val="single" w:sz="4" w:space="0" w:color="auto"/>
              <w:right w:val="single" w:sz="4" w:space="0" w:color="auto"/>
            </w:tcBorders>
            <w:vAlign w:val="center"/>
          </w:tcPr>
          <w:p w14:paraId="1637D3A1" w14:textId="77777777" w:rsidR="007947BF" w:rsidRPr="00A21742" w:rsidRDefault="007947BF" w:rsidP="00DA2AFC">
            <w:pPr>
              <w:spacing w:after="0" w:line="240" w:lineRule="auto"/>
              <w:rPr>
                <w:rFonts w:eastAsia="Times New Roman" w:cs="Times New Roman"/>
                <w:sz w:val="20"/>
                <w:szCs w:val="20"/>
                <w:lang w:val="en-GB" w:eastAsia="sr-Latn-RS"/>
              </w:rPr>
            </w:pPr>
          </w:p>
        </w:tc>
        <w:tc>
          <w:tcPr>
            <w:tcW w:w="397" w:type="dxa"/>
            <w:tcBorders>
              <w:top w:val="nil"/>
              <w:left w:val="nil"/>
              <w:bottom w:val="single" w:sz="4" w:space="0" w:color="auto"/>
              <w:right w:val="single" w:sz="4" w:space="0" w:color="auto"/>
            </w:tcBorders>
            <w:shd w:val="clear" w:color="auto" w:fill="auto"/>
          </w:tcPr>
          <w:p w14:paraId="76BE7F9B"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88</w:t>
            </w:r>
          </w:p>
        </w:tc>
        <w:tc>
          <w:tcPr>
            <w:tcW w:w="4536" w:type="dxa"/>
            <w:tcBorders>
              <w:top w:val="nil"/>
              <w:left w:val="nil"/>
              <w:bottom w:val="single" w:sz="4" w:space="0" w:color="auto"/>
              <w:right w:val="single" w:sz="4" w:space="0" w:color="auto"/>
            </w:tcBorders>
            <w:shd w:val="clear" w:color="auto" w:fill="auto"/>
          </w:tcPr>
          <w:p w14:paraId="05325F63" w14:textId="77777777" w:rsidR="007947BF" w:rsidRPr="00A21742" w:rsidRDefault="007947BF" w:rsidP="00DA2AFC">
            <w:pPr>
              <w:spacing w:after="0" w:line="240" w:lineRule="auto"/>
              <w:rPr>
                <w:rFonts w:eastAsia="Times New Roman" w:cs="Times New Roman"/>
                <w:sz w:val="20"/>
                <w:szCs w:val="20"/>
                <w:lang w:val="en-GB" w:eastAsia="sr-Latn-RS"/>
              </w:rPr>
            </w:pPr>
            <w:r w:rsidRPr="00A21742">
              <w:rPr>
                <w:rFonts w:eastAsia="Times New Roman" w:cs="Times New Roman"/>
                <w:sz w:val="20"/>
                <w:szCs w:val="20"/>
                <w:lang w:val="en-GB" w:eastAsia="sr-Latn-RS"/>
              </w:rPr>
              <w:t>3500 Genetic Analyser, Applied Biosystems</w:t>
            </w:r>
          </w:p>
        </w:tc>
        <w:tc>
          <w:tcPr>
            <w:tcW w:w="1275" w:type="dxa"/>
            <w:tcBorders>
              <w:top w:val="nil"/>
              <w:left w:val="nil"/>
              <w:bottom w:val="single" w:sz="4" w:space="0" w:color="auto"/>
              <w:right w:val="single" w:sz="4" w:space="0" w:color="auto"/>
            </w:tcBorders>
            <w:shd w:val="clear" w:color="auto" w:fill="auto"/>
          </w:tcPr>
          <w:p w14:paraId="78821907"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120.000</w:t>
            </w:r>
          </w:p>
        </w:tc>
        <w:tc>
          <w:tcPr>
            <w:tcW w:w="1134" w:type="dxa"/>
            <w:tcBorders>
              <w:top w:val="nil"/>
              <w:left w:val="nil"/>
              <w:bottom w:val="single" w:sz="4" w:space="0" w:color="auto"/>
              <w:right w:val="single" w:sz="4" w:space="0" w:color="auto"/>
            </w:tcBorders>
            <w:shd w:val="clear" w:color="auto" w:fill="auto"/>
          </w:tcPr>
          <w:p w14:paraId="320706FF"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2012</w:t>
            </w:r>
          </w:p>
        </w:tc>
        <w:tc>
          <w:tcPr>
            <w:tcW w:w="2839" w:type="dxa"/>
            <w:tcBorders>
              <w:top w:val="nil"/>
              <w:left w:val="nil"/>
              <w:bottom w:val="single" w:sz="4" w:space="0" w:color="auto"/>
              <w:right w:val="single" w:sz="4" w:space="0" w:color="auto"/>
            </w:tcBorders>
            <w:shd w:val="clear" w:color="auto" w:fill="auto"/>
          </w:tcPr>
          <w:p w14:paraId="52A43C60"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EU grant (REGPOT)</w:t>
            </w:r>
          </w:p>
        </w:tc>
        <w:tc>
          <w:tcPr>
            <w:tcW w:w="1125" w:type="dxa"/>
            <w:tcBorders>
              <w:top w:val="nil"/>
              <w:left w:val="nil"/>
              <w:bottom w:val="single" w:sz="4" w:space="0" w:color="auto"/>
              <w:right w:val="single" w:sz="4" w:space="0" w:color="auto"/>
            </w:tcBorders>
            <w:shd w:val="clear" w:color="auto" w:fill="auto"/>
            <w:vAlign w:val="center"/>
          </w:tcPr>
          <w:p w14:paraId="01AD239E"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10</w:t>
            </w:r>
          </w:p>
        </w:tc>
        <w:tc>
          <w:tcPr>
            <w:tcW w:w="1102" w:type="dxa"/>
            <w:tcBorders>
              <w:top w:val="nil"/>
              <w:left w:val="nil"/>
              <w:bottom w:val="single" w:sz="4" w:space="0" w:color="auto"/>
              <w:right w:val="single" w:sz="4" w:space="0" w:color="auto"/>
            </w:tcBorders>
            <w:shd w:val="clear" w:color="auto" w:fill="auto"/>
            <w:vAlign w:val="center"/>
          </w:tcPr>
          <w:p w14:paraId="6A3C17B9"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30</w:t>
            </w:r>
          </w:p>
        </w:tc>
      </w:tr>
      <w:tr w:rsidR="007947BF" w:rsidRPr="00B84E42" w14:paraId="2B0857CA" w14:textId="77777777" w:rsidTr="00DA2AFC">
        <w:tc>
          <w:tcPr>
            <w:tcW w:w="2312" w:type="dxa"/>
            <w:vMerge/>
            <w:tcBorders>
              <w:left w:val="single" w:sz="4" w:space="0" w:color="auto"/>
              <w:right w:val="single" w:sz="4" w:space="0" w:color="auto"/>
            </w:tcBorders>
            <w:vAlign w:val="center"/>
          </w:tcPr>
          <w:p w14:paraId="7036EEF8" w14:textId="77777777" w:rsidR="007947BF" w:rsidRPr="00A21742" w:rsidRDefault="007947BF" w:rsidP="00DA2AFC">
            <w:pPr>
              <w:spacing w:after="0" w:line="240" w:lineRule="auto"/>
              <w:rPr>
                <w:rFonts w:eastAsia="Times New Roman" w:cs="Times New Roman"/>
                <w:sz w:val="20"/>
                <w:szCs w:val="20"/>
                <w:lang w:val="en-GB" w:eastAsia="sr-Latn-RS"/>
              </w:rPr>
            </w:pPr>
          </w:p>
        </w:tc>
        <w:tc>
          <w:tcPr>
            <w:tcW w:w="397" w:type="dxa"/>
            <w:tcBorders>
              <w:top w:val="nil"/>
              <w:left w:val="nil"/>
              <w:bottom w:val="single" w:sz="4" w:space="0" w:color="auto"/>
              <w:right w:val="single" w:sz="4" w:space="0" w:color="auto"/>
            </w:tcBorders>
            <w:shd w:val="clear" w:color="auto" w:fill="auto"/>
          </w:tcPr>
          <w:p w14:paraId="067A8ADF"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89</w:t>
            </w:r>
          </w:p>
        </w:tc>
        <w:tc>
          <w:tcPr>
            <w:tcW w:w="4536" w:type="dxa"/>
            <w:tcBorders>
              <w:top w:val="nil"/>
              <w:left w:val="nil"/>
              <w:bottom w:val="single" w:sz="4" w:space="0" w:color="auto"/>
              <w:right w:val="single" w:sz="4" w:space="0" w:color="auto"/>
            </w:tcBorders>
            <w:shd w:val="clear" w:color="auto" w:fill="auto"/>
          </w:tcPr>
          <w:p w14:paraId="262E3A58" w14:textId="77777777" w:rsidR="007947BF" w:rsidRPr="00A21742" w:rsidRDefault="007947BF" w:rsidP="00DA2AFC">
            <w:pPr>
              <w:spacing w:after="0" w:line="240" w:lineRule="auto"/>
              <w:rPr>
                <w:rFonts w:eastAsia="Times New Roman" w:cs="Times New Roman"/>
                <w:sz w:val="20"/>
                <w:szCs w:val="20"/>
                <w:lang w:val="en-GB" w:eastAsia="sr-Latn-RS"/>
              </w:rPr>
            </w:pPr>
            <w:r w:rsidRPr="00A21742">
              <w:rPr>
                <w:rFonts w:eastAsia="Times New Roman" w:cs="Times New Roman"/>
                <w:sz w:val="20"/>
                <w:szCs w:val="20"/>
                <w:lang w:val="en-GB" w:eastAsia="sr-Latn-RS"/>
              </w:rPr>
              <w:t xml:space="preserve">2D DIGE scanner and electrophoretic system, </w:t>
            </w:r>
            <w:proofErr w:type="spellStart"/>
            <w:r w:rsidRPr="00A21742">
              <w:rPr>
                <w:rFonts w:eastAsia="Times New Roman" w:cs="Times New Roman"/>
                <w:sz w:val="20"/>
                <w:szCs w:val="20"/>
                <w:lang w:val="en-GB" w:eastAsia="sr-Latn-RS"/>
              </w:rPr>
              <w:t>Ettan</w:t>
            </w:r>
            <w:proofErr w:type="spellEnd"/>
            <w:r w:rsidRPr="00A21742">
              <w:rPr>
                <w:rFonts w:eastAsia="Times New Roman" w:cs="Times New Roman"/>
                <w:sz w:val="20"/>
                <w:szCs w:val="20"/>
                <w:lang w:val="en-GB" w:eastAsia="sr-Latn-RS"/>
              </w:rPr>
              <w:t xml:space="preserve"> DIGE Imager, LKB Austria</w:t>
            </w:r>
          </w:p>
        </w:tc>
        <w:tc>
          <w:tcPr>
            <w:tcW w:w="1275" w:type="dxa"/>
            <w:tcBorders>
              <w:top w:val="nil"/>
              <w:left w:val="nil"/>
              <w:bottom w:val="single" w:sz="4" w:space="0" w:color="auto"/>
              <w:right w:val="single" w:sz="4" w:space="0" w:color="auto"/>
            </w:tcBorders>
            <w:shd w:val="clear" w:color="auto" w:fill="auto"/>
          </w:tcPr>
          <w:p w14:paraId="568117B0"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118.000</w:t>
            </w:r>
          </w:p>
        </w:tc>
        <w:tc>
          <w:tcPr>
            <w:tcW w:w="1134" w:type="dxa"/>
            <w:tcBorders>
              <w:top w:val="nil"/>
              <w:left w:val="nil"/>
              <w:bottom w:val="single" w:sz="4" w:space="0" w:color="auto"/>
              <w:right w:val="single" w:sz="4" w:space="0" w:color="auto"/>
            </w:tcBorders>
            <w:shd w:val="clear" w:color="auto" w:fill="auto"/>
          </w:tcPr>
          <w:p w14:paraId="31768CFC"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2009</w:t>
            </w:r>
          </w:p>
        </w:tc>
        <w:tc>
          <w:tcPr>
            <w:tcW w:w="2839" w:type="dxa"/>
            <w:tcBorders>
              <w:top w:val="nil"/>
              <w:left w:val="nil"/>
              <w:bottom w:val="single" w:sz="4" w:space="0" w:color="auto"/>
              <w:right w:val="single" w:sz="4" w:space="0" w:color="auto"/>
            </w:tcBorders>
            <w:shd w:val="clear" w:color="auto" w:fill="auto"/>
          </w:tcPr>
          <w:p w14:paraId="2C0B756B"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EU grant (REGPOT)</w:t>
            </w:r>
          </w:p>
        </w:tc>
        <w:tc>
          <w:tcPr>
            <w:tcW w:w="1125" w:type="dxa"/>
            <w:tcBorders>
              <w:top w:val="nil"/>
              <w:left w:val="nil"/>
              <w:bottom w:val="single" w:sz="4" w:space="0" w:color="auto"/>
              <w:right w:val="single" w:sz="4" w:space="0" w:color="auto"/>
            </w:tcBorders>
            <w:shd w:val="clear" w:color="auto" w:fill="auto"/>
            <w:vAlign w:val="center"/>
          </w:tcPr>
          <w:p w14:paraId="4EA4437E"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10</w:t>
            </w:r>
          </w:p>
        </w:tc>
        <w:tc>
          <w:tcPr>
            <w:tcW w:w="1102" w:type="dxa"/>
            <w:tcBorders>
              <w:top w:val="nil"/>
              <w:left w:val="nil"/>
              <w:bottom w:val="single" w:sz="4" w:space="0" w:color="auto"/>
              <w:right w:val="single" w:sz="4" w:space="0" w:color="auto"/>
            </w:tcBorders>
            <w:shd w:val="clear" w:color="auto" w:fill="auto"/>
            <w:vAlign w:val="center"/>
          </w:tcPr>
          <w:p w14:paraId="0EBE0667"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10</w:t>
            </w:r>
          </w:p>
        </w:tc>
      </w:tr>
      <w:tr w:rsidR="007947BF" w:rsidRPr="00B84E42" w14:paraId="21DF0863" w14:textId="77777777" w:rsidTr="00DA2AFC">
        <w:tc>
          <w:tcPr>
            <w:tcW w:w="2312" w:type="dxa"/>
            <w:vMerge/>
            <w:tcBorders>
              <w:left w:val="single" w:sz="4" w:space="0" w:color="auto"/>
              <w:right w:val="single" w:sz="4" w:space="0" w:color="auto"/>
            </w:tcBorders>
            <w:vAlign w:val="center"/>
          </w:tcPr>
          <w:p w14:paraId="7A1CA6F6" w14:textId="77777777" w:rsidR="007947BF" w:rsidRPr="00A21742" w:rsidRDefault="007947BF" w:rsidP="00DA2AFC">
            <w:pPr>
              <w:spacing w:after="0" w:line="240" w:lineRule="auto"/>
              <w:rPr>
                <w:rFonts w:eastAsia="Times New Roman" w:cs="Times New Roman"/>
                <w:sz w:val="20"/>
                <w:szCs w:val="20"/>
                <w:lang w:val="en-GB" w:eastAsia="sr-Latn-RS"/>
              </w:rPr>
            </w:pPr>
          </w:p>
        </w:tc>
        <w:tc>
          <w:tcPr>
            <w:tcW w:w="397" w:type="dxa"/>
            <w:tcBorders>
              <w:top w:val="nil"/>
              <w:left w:val="nil"/>
              <w:bottom w:val="single" w:sz="4" w:space="0" w:color="auto"/>
              <w:right w:val="single" w:sz="4" w:space="0" w:color="auto"/>
            </w:tcBorders>
            <w:shd w:val="clear" w:color="auto" w:fill="auto"/>
          </w:tcPr>
          <w:p w14:paraId="383E2F9E"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90</w:t>
            </w:r>
          </w:p>
        </w:tc>
        <w:tc>
          <w:tcPr>
            <w:tcW w:w="4536" w:type="dxa"/>
            <w:tcBorders>
              <w:top w:val="nil"/>
              <w:left w:val="nil"/>
              <w:bottom w:val="single" w:sz="4" w:space="0" w:color="auto"/>
              <w:right w:val="single" w:sz="4" w:space="0" w:color="auto"/>
            </w:tcBorders>
            <w:shd w:val="clear" w:color="auto" w:fill="auto"/>
          </w:tcPr>
          <w:p w14:paraId="44B58ACD" w14:textId="77777777" w:rsidR="007947BF" w:rsidRPr="00A21742" w:rsidRDefault="007947BF" w:rsidP="00DA2AFC">
            <w:pPr>
              <w:spacing w:after="0" w:line="240" w:lineRule="auto"/>
              <w:rPr>
                <w:rFonts w:eastAsia="Times New Roman" w:cs="Times New Roman"/>
                <w:sz w:val="20"/>
                <w:szCs w:val="20"/>
                <w:lang w:val="en-GB" w:eastAsia="sr-Latn-RS"/>
              </w:rPr>
            </w:pPr>
            <w:r w:rsidRPr="00A21742">
              <w:rPr>
                <w:rFonts w:eastAsia="Times New Roman" w:cs="Times New Roman"/>
                <w:sz w:val="20"/>
                <w:szCs w:val="20"/>
                <w:lang w:val="en-GB" w:eastAsia="sr-Latn-RS"/>
              </w:rPr>
              <w:t xml:space="preserve">Mass spectrometer MALDI TOF </w:t>
            </w:r>
            <w:proofErr w:type="spellStart"/>
            <w:r w:rsidRPr="00A21742">
              <w:rPr>
                <w:rFonts w:eastAsia="Times New Roman" w:cs="Times New Roman"/>
                <w:sz w:val="20"/>
                <w:szCs w:val="20"/>
                <w:lang w:val="en-GB" w:eastAsia="sr-Latn-RS"/>
              </w:rPr>
              <w:t>TOF</w:t>
            </w:r>
            <w:proofErr w:type="spellEnd"/>
            <w:r w:rsidRPr="00A21742">
              <w:rPr>
                <w:rFonts w:eastAsia="Times New Roman" w:cs="Times New Roman"/>
                <w:sz w:val="20"/>
                <w:szCs w:val="20"/>
                <w:lang w:val="en-GB" w:eastAsia="sr-Latn-RS"/>
              </w:rPr>
              <w:t xml:space="preserve">, </w:t>
            </w:r>
            <w:proofErr w:type="spellStart"/>
            <w:r w:rsidRPr="00A21742">
              <w:rPr>
                <w:rFonts w:eastAsia="Times New Roman" w:cs="Times New Roman"/>
                <w:sz w:val="20"/>
                <w:szCs w:val="20"/>
                <w:lang w:val="en-GB" w:eastAsia="sr-Latn-RS"/>
              </w:rPr>
              <w:t>Axima</w:t>
            </w:r>
            <w:proofErr w:type="spellEnd"/>
            <w:r w:rsidRPr="00A21742">
              <w:rPr>
                <w:rFonts w:eastAsia="Times New Roman" w:cs="Times New Roman"/>
                <w:sz w:val="20"/>
                <w:szCs w:val="20"/>
                <w:lang w:val="en-GB" w:eastAsia="sr-Latn-RS"/>
              </w:rPr>
              <w:t xml:space="preserve"> Performance, </w:t>
            </w:r>
            <w:proofErr w:type="spellStart"/>
            <w:r w:rsidRPr="00A21742">
              <w:rPr>
                <w:rFonts w:eastAsia="Times New Roman" w:cs="Times New Roman"/>
                <w:sz w:val="20"/>
                <w:szCs w:val="20"/>
                <w:lang w:val="en-GB" w:eastAsia="sr-Latn-RS"/>
              </w:rPr>
              <w:t>Shimadzy</w:t>
            </w:r>
            <w:proofErr w:type="spellEnd"/>
          </w:p>
        </w:tc>
        <w:tc>
          <w:tcPr>
            <w:tcW w:w="1275" w:type="dxa"/>
            <w:tcBorders>
              <w:top w:val="nil"/>
              <w:left w:val="nil"/>
              <w:bottom w:val="single" w:sz="4" w:space="0" w:color="auto"/>
              <w:right w:val="single" w:sz="4" w:space="0" w:color="auto"/>
            </w:tcBorders>
            <w:shd w:val="clear" w:color="auto" w:fill="auto"/>
          </w:tcPr>
          <w:p w14:paraId="039AC27A"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570.000</w:t>
            </w:r>
          </w:p>
        </w:tc>
        <w:tc>
          <w:tcPr>
            <w:tcW w:w="1134" w:type="dxa"/>
            <w:tcBorders>
              <w:top w:val="nil"/>
              <w:left w:val="nil"/>
              <w:bottom w:val="single" w:sz="4" w:space="0" w:color="auto"/>
              <w:right w:val="single" w:sz="4" w:space="0" w:color="auto"/>
            </w:tcBorders>
            <w:shd w:val="clear" w:color="auto" w:fill="auto"/>
          </w:tcPr>
          <w:p w14:paraId="63237A4A"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2012</w:t>
            </w:r>
          </w:p>
        </w:tc>
        <w:tc>
          <w:tcPr>
            <w:tcW w:w="2839" w:type="dxa"/>
            <w:tcBorders>
              <w:top w:val="nil"/>
              <w:left w:val="nil"/>
              <w:bottom w:val="single" w:sz="4" w:space="0" w:color="auto"/>
              <w:right w:val="single" w:sz="4" w:space="0" w:color="auto"/>
            </w:tcBorders>
            <w:shd w:val="clear" w:color="auto" w:fill="auto"/>
          </w:tcPr>
          <w:p w14:paraId="63175D05"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Resources of the Ministry of Education and Science</w:t>
            </w:r>
          </w:p>
        </w:tc>
        <w:tc>
          <w:tcPr>
            <w:tcW w:w="1125" w:type="dxa"/>
            <w:tcBorders>
              <w:top w:val="nil"/>
              <w:left w:val="nil"/>
              <w:bottom w:val="single" w:sz="4" w:space="0" w:color="auto"/>
              <w:right w:val="single" w:sz="4" w:space="0" w:color="auto"/>
            </w:tcBorders>
            <w:shd w:val="clear" w:color="auto" w:fill="auto"/>
            <w:vAlign w:val="center"/>
          </w:tcPr>
          <w:p w14:paraId="1258777D"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10</w:t>
            </w:r>
          </w:p>
        </w:tc>
        <w:tc>
          <w:tcPr>
            <w:tcW w:w="1102" w:type="dxa"/>
            <w:tcBorders>
              <w:top w:val="nil"/>
              <w:left w:val="nil"/>
              <w:bottom w:val="single" w:sz="4" w:space="0" w:color="auto"/>
              <w:right w:val="single" w:sz="4" w:space="0" w:color="auto"/>
            </w:tcBorders>
            <w:shd w:val="clear" w:color="auto" w:fill="auto"/>
            <w:vAlign w:val="center"/>
          </w:tcPr>
          <w:p w14:paraId="66ECB4C0"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20</w:t>
            </w:r>
          </w:p>
        </w:tc>
      </w:tr>
      <w:tr w:rsidR="007947BF" w:rsidRPr="00B84E42" w14:paraId="10D4DBD6" w14:textId="77777777" w:rsidTr="00DA2AFC">
        <w:tc>
          <w:tcPr>
            <w:tcW w:w="2312" w:type="dxa"/>
            <w:vMerge/>
            <w:tcBorders>
              <w:left w:val="single" w:sz="4" w:space="0" w:color="auto"/>
              <w:right w:val="single" w:sz="4" w:space="0" w:color="auto"/>
            </w:tcBorders>
            <w:vAlign w:val="center"/>
          </w:tcPr>
          <w:p w14:paraId="04518141" w14:textId="77777777" w:rsidR="007947BF" w:rsidRPr="00A21742" w:rsidRDefault="007947BF" w:rsidP="00DA2AFC">
            <w:pPr>
              <w:spacing w:after="0" w:line="240" w:lineRule="auto"/>
              <w:rPr>
                <w:rFonts w:eastAsia="Times New Roman" w:cs="Times New Roman"/>
                <w:sz w:val="20"/>
                <w:szCs w:val="20"/>
                <w:lang w:val="en-GB" w:eastAsia="sr-Latn-RS"/>
              </w:rPr>
            </w:pPr>
          </w:p>
        </w:tc>
        <w:tc>
          <w:tcPr>
            <w:tcW w:w="397" w:type="dxa"/>
            <w:tcBorders>
              <w:top w:val="nil"/>
              <w:left w:val="nil"/>
              <w:bottom w:val="single" w:sz="4" w:space="0" w:color="auto"/>
              <w:right w:val="single" w:sz="4" w:space="0" w:color="auto"/>
            </w:tcBorders>
            <w:shd w:val="clear" w:color="auto" w:fill="auto"/>
          </w:tcPr>
          <w:p w14:paraId="45D8526F"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91</w:t>
            </w:r>
          </w:p>
        </w:tc>
        <w:tc>
          <w:tcPr>
            <w:tcW w:w="4536" w:type="dxa"/>
            <w:tcBorders>
              <w:top w:val="nil"/>
              <w:left w:val="nil"/>
              <w:bottom w:val="single" w:sz="4" w:space="0" w:color="auto"/>
              <w:right w:val="single" w:sz="4" w:space="0" w:color="auto"/>
            </w:tcBorders>
            <w:shd w:val="clear" w:color="auto" w:fill="auto"/>
          </w:tcPr>
          <w:p w14:paraId="16DF5287" w14:textId="77777777" w:rsidR="007947BF" w:rsidRPr="00A21742" w:rsidRDefault="007947BF" w:rsidP="00DA2AFC">
            <w:pPr>
              <w:spacing w:after="0" w:line="240" w:lineRule="auto"/>
              <w:rPr>
                <w:rFonts w:eastAsia="Times New Roman" w:cs="Times New Roman"/>
                <w:sz w:val="20"/>
                <w:szCs w:val="20"/>
                <w:lang w:val="en-GB" w:eastAsia="sr-Latn-RS"/>
              </w:rPr>
            </w:pPr>
            <w:r w:rsidRPr="00A21742">
              <w:rPr>
                <w:rFonts w:eastAsia="Times New Roman" w:cs="Times New Roman"/>
                <w:sz w:val="20"/>
                <w:szCs w:val="20"/>
                <w:lang w:val="en-GB" w:eastAsia="sr-Latn-RS"/>
              </w:rPr>
              <w:t xml:space="preserve">High Definition Mass Spectrometry, </w:t>
            </w:r>
            <w:proofErr w:type="spellStart"/>
            <w:r w:rsidRPr="00A21742">
              <w:rPr>
                <w:rFonts w:eastAsia="Times New Roman" w:cs="Times New Roman"/>
                <w:sz w:val="20"/>
                <w:szCs w:val="20"/>
                <w:lang w:val="en-GB" w:eastAsia="sr-Latn-RS"/>
              </w:rPr>
              <w:t>Synapt</w:t>
            </w:r>
            <w:proofErr w:type="spellEnd"/>
            <w:r w:rsidRPr="00A21742">
              <w:rPr>
                <w:rFonts w:eastAsia="Times New Roman" w:cs="Times New Roman"/>
                <w:sz w:val="20"/>
                <w:szCs w:val="20"/>
                <w:lang w:val="en-GB" w:eastAsia="sr-Latn-RS"/>
              </w:rPr>
              <w:t xml:space="preserve"> G2-SI, Waters</w:t>
            </w:r>
          </w:p>
        </w:tc>
        <w:tc>
          <w:tcPr>
            <w:tcW w:w="1275" w:type="dxa"/>
            <w:tcBorders>
              <w:top w:val="nil"/>
              <w:left w:val="nil"/>
              <w:bottom w:val="single" w:sz="4" w:space="0" w:color="auto"/>
              <w:right w:val="single" w:sz="4" w:space="0" w:color="auto"/>
            </w:tcBorders>
            <w:shd w:val="clear" w:color="auto" w:fill="auto"/>
          </w:tcPr>
          <w:p w14:paraId="106DD598"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660.000</w:t>
            </w:r>
          </w:p>
        </w:tc>
        <w:tc>
          <w:tcPr>
            <w:tcW w:w="1134" w:type="dxa"/>
            <w:tcBorders>
              <w:top w:val="nil"/>
              <w:left w:val="nil"/>
              <w:bottom w:val="single" w:sz="4" w:space="0" w:color="auto"/>
              <w:right w:val="single" w:sz="4" w:space="0" w:color="auto"/>
            </w:tcBorders>
            <w:shd w:val="clear" w:color="auto" w:fill="auto"/>
          </w:tcPr>
          <w:p w14:paraId="60A7E5CF"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2016</w:t>
            </w:r>
          </w:p>
        </w:tc>
        <w:tc>
          <w:tcPr>
            <w:tcW w:w="2839" w:type="dxa"/>
            <w:tcBorders>
              <w:top w:val="nil"/>
              <w:left w:val="nil"/>
              <w:bottom w:val="single" w:sz="4" w:space="0" w:color="auto"/>
              <w:right w:val="single" w:sz="4" w:space="0" w:color="auto"/>
            </w:tcBorders>
            <w:shd w:val="clear" w:color="auto" w:fill="auto"/>
          </w:tcPr>
          <w:p w14:paraId="24281BE1"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Public Funds</w:t>
            </w:r>
          </w:p>
        </w:tc>
        <w:tc>
          <w:tcPr>
            <w:tcW w:w="1125" w:type="dxa"/>
            <w:tcBorders>
              <w:top w:val="nil"/>
              <w:left w:val="nil"/>
              <w:bottom w:val="single" w:sz="4" w:space="0" w:color="auto"/>
              <w:right w:val="single" w:sz="4" w:space="0" w:color="auto"/>
            </w:tcBorders>
            <w:shd w:val="clear" w:color="auto" w:fill="auto"/>
            <w:vAlign w:val="center"/>
          </w:tcPr>
          <w:p w14:paraId="31C24CDF"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10</w:t>
            </w:r>
          </w:p>
        </w:tc>
        <w:tc>
          <w:tcPr>
            <w:tcW w:w="1102" w:type="dxa"/>
            <w:tcBorders>
              <w:top w:val="nil"/>
              <w:left w:val="nil"/>
              <w:bottom w:val="single" w:sz="4" w:space="0" w:color="auto"/>
              <w:right w:val="single" w:sz="4" w:space="0" w:color="auto"/>
            </w:tcBorders>
            <w:shd w:val="clear" w:color="auto" w:fill="auto"/>
            <w:vAlign w:val="center"/>
          </w:tcPr>
          <w:p w14:paraId="060BE174"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20</w:t>
            </w:r>
          </w:p>
        </w:tc>
      </w:tr>
      <w:tr w:rsidR="007947BF" w:rsidRPr="00B84E42" w14:paraId="2EFC3A4D" w14:textId="77777777" w:rsidTr="00DA2AFC">
        <w:tc>
          <w:tcPr>
            <w:tcW w:w="2312" w:type="dxa"/>
            <w:vMerge/>
            <w:tcBorders>
              <w:left w:val="single" w:sz="4" w:space="0" w:color="auto"/>
              <w:bottom w:val="single" w:sz="4" w:space="0" w:color="auto"/>
              <w:right w:val="single" w:sz="4" w:space="0" w:color="auto"/>
            </w:tcBorders>
            <w:vAlign w:val="center"/>
          </w:tcPr>
          <w:p w14:paraId="5102592A" w14:textId="77777777" w:rsidR="007947BF" w:rsidRPr="00A21742" w:rsidRDefault="007947BF" w:rsidP="00DA2AFC">
            <w:pPr>
              <w:spacing w:after="0" w:line="240" w:lineRule="auto"/>
              <w:rPr>
                <w:rFonts w:eastAsia="Times New Roman" w:cs="Times New Roman"/>
                <w:sz w:val="20"/>
                <w:szCs w:val="20"/>
                <w:lang w:val="en-GB" w:eastAsia="sr-Latn-RS"/>
              </w:rPr>
            </w:pPr>
          </w:p>
        </w:tc>
        <w:tc>
          <w:tcPr>
            <w:tcW w:w="397" w:type="dxa"/>
            <w:tcBorders>
              <w:top w:val="nil"/>
              <w:left w:val="nil"/>
              <w:bottom w:val="single" w:sz="4" w:space="0" w:color="auto"/>
              <w:right w:val="single" w:sz="4" w:space="0" w:color="auto"/>
            </w:tcBorders>
            <w:shd w:val="clear" w:color="auto" w:fill="auto"/>
          </w:tcPr>
          <w:p w14:paraId="6223717A"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92</w:t>
            </w:r>
          </w:p>
        </w:tc>
        <w:tc>
          <w:tcPr>
            <w:tcW w:w="4536" w:type="dxa"/>
            <w:tcBorders>
              <w:top w:val="nil"/>
              <w:left w:val="nil"/>
              <w:bottom w:val="single" w:sz="4" w:space="0" w:color="auto"/>
              <w:right w:val="single" w:sz="4" w:space="0" w:color="auto"/>
            </w:tcBorders>
            <w:shd w:val="clear" w:color="auto" w:fill="auto"/>
          </w:tcPr>
          <w:p w14:paraId="04C551A1" w14:textId="77777777" w:rsidR="007947BF" w:rsidRPr="00A21742" w:rsidRDefault="007947BF" w:rsidP="00DA2AFC">
            <w:pPr>
              <w:spacing w:after="0" w:line="240" w:lineRule="auto"/>
              <w:rPr>
                <w:rFonts w:eastAsia="Times New Roman" w:cs="Times New Roman"/>
                <w:sz w:val="20"/>
                <w:szCs w:val="20"/>
                <w:lang w:val="en-GB" w:eastAsia="sr-Latn-RS"/>
              </w:rPr>
            </w:pPr>
            <w:proofErr w:type="spellStart"/>
            <w:r w:rsidRPr="00A21742">
              <w:rPr>
                <w:rFonts w:eastAsia="Times New Roman" w:cs="Times New Roman"/>
                <w:sz w:val="20"/>
                <w:szCs w:val="20"/>
                <w:lang w:val="en-GB" w:eastAsia="sr-Latn-RS"/>
              </w:rPr>
              <w:t>Aminoacid</w:t>
            </w:r>
            <w:proofErr w:type="spellEnd"/>
            <w:r w:rsidRPr="00A21742">
              <w:rPr>
                <w:rFonts w:eastAsia="Times New Roman" w:cs="Times New Roman"/>
                <w:sz w:val="20"/>
                <w:szCs w:val="20"/>
                <w:lang w:val="en-GB" w:eastAsia="sr-Latn-RS"/>
              </w:rPr>
              <w:t xml:space="preserve"> analyser, </w:t>
            </w:r>
            <w:proofErr w:type="spellStart"/>
            <w:r w:rsidRPr="00A21742">
              <w:rPr>
                <w:rFonts w:eastAsia="Times New Roman" w:cs="Times New Roman"/>
                <w:sz w:val="20"/>
                <w:szCs w:val="20"/>
                <w:lang w:val="en-GB" w:eastAsia="sr-Latn-RS"/>
              </w:rPr>
              <w:t>Biochrom</w:t>
            </w:r>
            <w:proofErr w:type="spellEnd"/>
            <w:r w:rsidRPr="00A21742">
              <w:rPr>
                <w:rFonts w:eastAsia="Times New Roman" w:cs="Times New Roman"/>
                <w:sz w:val="20"/>
                <w:szCs w:val="20"/>
                <w:lang w:val="en-GB" w:eastAsia="sr-Latn-RS"/>
              </w:rPr>
              <w:t xml:space="preserve"> 30, LKB Austria</w:t>
            </w:r>
          </w:p>
        </w:tc>
        <w:tc>
          <w:tcPr>
            <w:tcW w:w="1275" w:type="dxa"/>
            <w:tcBorders>
              <w:top w:val="nil"/>
              <w:left w:val="nil"/>
              <w:bottom w:val="single" w:sz="4" w:space="0" w:color="auto"/>
              <w:right w:val="single" w:sz="4" w:space="0" w:color="auto"/>
            </w:tcBorders>
            <w:shd w:val="clear" w:color="auto" w:fill="auto"/>
          </w:tcPr>
          <w:p w14:paraId="20D94E14"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94.000</w:t>
            </w:r>
          </w:p>
        </w:tc>
        <w:tc>
          <w:tcPr>
            <w:tcW w:w="1134" w:type="dxa"/>
            <w:tcBorders>
              <w:top w:val="nil"/>
              <w:left w:val="nil"/>
              <w:bottom w:val="single" w:sz="4" w:space="0" w:color="auto"/>
              <w:right w:val="single" w:sz="4" w:space="0" w:color="auto"/>
            </w:tcBorders>
            <w:shd w:val="clear" w:color="auto" w:fill="auto"/>
          </w:tcPr>
          <w:p w14:paraId="4B951EC5"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2006</w:t>
            </w:r>
          </w:p>
        </w:tc>
        <w:tc>
          <w:tcPr>
            <w:tcW w:w="2839" w:type="dxa"/>
            <w:tcBorders>
              <w:top w:val="nil"/>
              <w:left w:val="nil"/>
              <w:bottom w:val="single" w:sz="4" w:space="0" w:color="auto"/>
              <w:right w:val="single" w:sz="4" w:space="0" w:color="auto"/>
            </w:tcBorders>
            <w:shd w:val="clear" w:color="auto" w:fill="auto"/>
          </w:tcPr>
          <w:p w14:paraId="32CA4CAD"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Own funds</w:t>
            </w:r>
          </w:p>
        </w:tc>
        <w:tc>
          <w:tcPr>
            <w:tcW w:w="1125" w:type="dxa"/>
            <w:tcBorders>
              <w:top w:val="nil"/>
              <w:left w:val="nil"/>
              <w:bottom w:val="single" w:sz="4" w:space="0" w:color="auto"/>
              <w:right w:val="single" w:sz="4" w:space="0" w:color="auto"/>
            </w:tcBorders>
            <w:shd w:val="clear" w:color="auto" w:fill="auto"/>
            <w:vAlign w:val="center"/>
          </w:tcPr>
          <w:p w14:paraId="15EC4BE9"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10</w:t>
            </w:r>
          </w:p>
        </w:tc>
        <w:tc>
          <w:tcPr>
            <w:tcW w:w="1102" w:type="dxa"/>
            <w:tcBorders>
              <w:top w:val="nil"/>
              <w:left w:val="nil"/>
              <w:bottom w:val="single" w:sz="4" w:space="0" w:color="auto"/>
              <w:right w:val="single" w:sz="4" w:space="0" w:color="auto"/>
            </w:tcBorders>
            <w:shd w:val="clear" w:color="auto" w:fill="auto"/>
            <w:vAlign w:val="center"/>
          </w:tcPr>
          <w:p w14:paraId="2528F2ED" w14:textId="77777777" w:rsidR="007947BF" w:rsidRPr="00A21742" w:rsidRDefault="007947BF" w:rsidP="00DA2AFC">
            <w:pPr>
              <w:spacing w:after="0" w:line="240" w:lineRule="auto"/>
              <w:jc w:val="center"/>
              <w:rPr>
                <w:rFonts w:eastAsia="Times New Roman" w:cs="Times New Roman"/>
                <w:sz w:val="20"/>
                <w:szCs w:val="20"/>
                <w:lang w:val="en-GB" w:eastAsia="sr-Latn-RS"/>
              </w:rPr>
            </w:pPr>
            <w:r w:rsidRPr="00A21742">
              <w:rPr>
                <w:rFonts w:eastAsia="Times New Roman" w:cs="Times New Roman"/>
                <w:sz w:val="20"/>
                <w:szCs w:val="20"/>
                <w:lang w:val="en-GB" w:eastAsia="sr-Latn-RS"/>
              </w:rPr>
              <w:t>10</w:t>
            </w:r>
          </w:p>
        </w:tc>
      </w:tr>
    </w:tbl>
    <w:p w14:paraId="1D556B66" w14:textId="77777777" w:rsidR="007947BF" w:rsidRPr="008463F3" w:rsidRDefault="007947BF" w:rsidP="007947BF">
      <w:pPr>
        <w:rPr>
          <w:lang w:val="en-GB"/>
        </w:rPr>
      </w:pPr>
    </w:p>
    <w:p w14:paraId="7105F035" w14:textId="77777777" w:rsidR="007947BF" w:rsidRPr="008463F3" w:rsidRDefault="007947BF" w:rsidP="007947BF">
      <w:pPr>
        <w:rPr>
          <w:lang w:val="en-GB"/>
        </w:rPr>
      </w:pPr>
    </w:p>
    <w:p w14:paraId="0BDD1E63" w14:textId="77777777" w:rsidR="007947BF" w:rsidRPr="008463F3" w:rsidRDefault="007947BF" w:rsidP="007947BF">
      <w:pPr>
        <w:pStyle w:val="Heading1"/>
        <w:rPr>
          <w:rFonts w:asciiTheme="minorHAnsi" w:hAnsiTheme="minorHAnsi" w:cstheme="minorHAnsi"/>
          <w:sz w:val="32"/>
        </w:rPr>
        <w:sectPr w:rsidR="007947BF" w:rsidRPr="008463F3" w:rsidSect="00AA5F2C">
          <w:pgSz w:w="16838" w:h="11906" w:orient="landscape"/>
          <w:pgMar w:top="1417" w:right="1417" w:bottom="1417" w:left="1417" w:header="708" w:footer="708" w:gutter="0"/>
          <w:cols w:space="708"/>
          <w:docGrid w:linePitch="360"/>
        </w:sectPr>
      </w:pPr>
      <w:bookmarkStart w:id="54" w:name="_Toc64639530"/>
    </w:p>
    <w:p w14:paraId="3CE37CA1" w14:textId="77777777" w:rsidR="007947BF" w:rsidRPr="008463F3" w:rsidRDefault="007947BF" w:rsidP="007947BF">
      <w:pPr>
        <w:pStyle w:val="Heading1"/>
        <w:rPr>
          <w:rFonts w:asciiTheme="minorHAnsi" w:hAnsiTheme="minorHAnsi" w:cstheme="minorHAnsi"/>
          <w:b w:val="0"/>
          <w:bCs w:val="0"/>
          <w:sz w:val="32"/>
        </w:rPr>
      </w:pPr>
      <w:bookmarkStart w:id="55" w:name="_Toc77322054"/>
      <w:r w:rsidRPr="008463F3">
        <w:rPr>
          <w:rFonts w:asciiTheme="minorHAnsi" w:hAnsiTheme="minorHAnsi" w:cstheme="minorHAnsi"/>
          <w:sz w:val="32"/>
        </w:rPr>
        <w:t>APPENDIX 2: Survey Questionnaire</w:t>
      </w:r>
      <w:bookmarkEnd w:id="54"/>
      <w:bookmarkEnd w:id="55"/>
    </w:p>
    <w:p w14:paraId="7E30FCF5" w14:textId="77777777" w:rsidR="007947BF" w:rsidRPr="008463F3" w:rsidRDefault="007947BF" w:rsidP="007947BF">
      <w:pPr>
        <w:autoSpaceDE w:val="0"/>
        <w:autoSpaceDN w:val="0"/>
        <w:adjustRightInd w:val="0"/>
        <w:spacing w:after="0"/>
        <w:ind w:right="244"/>
        <w:jc w:val="both"/>
        <w:rPr>
          <w:rFonts w:cstheme="minorHAnsi"/>
          <w:color w:val="0046D2"/>
          <w:sz w:val="24"/>
          <w:lang w:val="en-GB"/>
        </w:rPr>
      </w:pPr>
    </w:p>
    <w:p w14:paraId="3865465B" w14:textId="77777777" w:rsidR="007947BF" w:rsidRPr="008463F3" w:rsidRDefault="007947BF" w:rsidP="007947BF">
      <w:pPr>
        <w:jc w:val="both"/>
        <w:rPr>
          <w:lang w:val="en-GB"/>
        </w:rPr>
      </w:pPr>
      <w:bookmarkStart w:id="56" w:name="_Toc63103368"/>
      <w:r w:rsidRPr="008463F3">
        <w:rPr>
          <w:lang w:val="en-GB"/>
        </w:rPr>
        <w:t xml:space="preserve">This survey questionnaire contains several sets of questions that serve as an input for the identification and evaluation of research infrastructures potential in North Macedonia. The aim of the questionnaire is to map the research infrastructure as the first and indispensable step in the process of designing the Research infrastructure (RI) Roadmap. </w:t>
      </w:r>
    </w:p>
    <w:p w14:paraId="2048D492" w14:textId="77777777" w:rsidR="007947BF" w:rsidRPr="008463F3" w:rsidRDefault="007947BF" w:rsidP="007947BF">
      <w:pPr>
        <w:jc w:val="both"/>
        <w:rPr>
          <w:lang w:val="en-GB"/>
        </w:rPr>
      </w:pPr>
      <w:r w:rsidRPr="008463F3">
        <w:rPr>
          <w:lang w:val="en-GB"/>
        </w:rPr>
        <w:t xml:space="preserve">According to the definition of European Commission, Research Infrastructures (RI) are facilities that provide resources and services for research communities to conduct research and foster innovation. They include: </w:t>
      </w:r>
    </w:p>
    <w:p w14:paraId="250FB1C5" w14:textId="77777777" w:rsidR="007947BF" w:rsidRPr="008463F3" w:rsidRDefault="007947BF" w:rsidP="007947BF">
      <w:pPr>
        <w:pStyle w:val="ListParagraph"/>
        <w:numPr>
          <w:ilvl w:val="0"/>
          <w:numId w:val="10"/>
        </w:numPr>
        <w:jc w:val="both"/>
        <w:rPr>
          <w:lang w:val="en-GB"/>
        </w:rPr>
      </w:pPr>
      <w:r w:rsidRPr="008463F3">
        <w:rPr>
          <w:lang w:val="en-GB"/>
        </w:rPr>
        <w:t xml:space="preserve">major scientific equipment or sets of instruments; </w:t>
      </w:r>
    </w:p>
    <w:p w14:paraId="6623860A" w14:textId="77777777" w:rsidR="007947BF" w:rsidRPr="008463F3" w:rsidRDefault="007947BF" w:rsidP="007947BF">
      <w:pPr>
        <w:pStyle w:val="ListParagraph"/>
        <w:numPr>
          <w:ilvl w:val="0"/>
          <w:numId w:val="10"/>
        </w:numPr>
        <w:jc w:val="both"/>
        <w:rPr>
          <w:lang w:val="en-GB"/>
        </w:rPr>
      </w:pPr>
      <w:r w:rsidRPr="008463F3">
        <w:rPr>
          <w:lang w:val="en-GB"/>
        </w:rPr>
        <w:t>collections, archives or scientific data;</w:t>
      </w:r>
    </w:p>
    <w:p w14:paraId="7BDA25AA" w14:textId="77777777" w:rsidR="007947BF" w:rsidRPr="008463F3" w:rsidRDefault="007947BF" w:rsidP="007947BF">
      <w:pPr>
        <w:pStyle w:val="ListParagraph"/>
        <w:numPr>
          <w:ilvl w:val="0"/>
          <w:numId w:val="10"/>
        </w:numPr>
        <w:jc w:val="both"/>
        <w:rPr>
          <w:lang w:val="en-GB"/>
        </w:rPr>
      </w:pPr>
      <w:r w:rsidRPr="008463F3">
        <w:rPr>
          <w:lang w:val="en-GB"/>
        </w:rPr>
        <w:t xml:space="preserve">computing systems and communication networks; </w:t>
      </w:r>
    </w:p>
    <w:p w14:paraId="7AE3EA82" w14:textId="77777777" w:rsidR="007947BF" w:rsidRPr="008463F3" w:rsidRDefault="007947BF" w:rsidP="007947BF">
      <w:pPr>
        <w:pStyle w:val="ListParagraph"/>
        <w:numPr>
          <w:ilvl w:val="0"/>
          <w:numId w:val="10"/>
        </w:numPr>
        <w:jc w:val="both"/>
        <w:rPr>
          <w:lang w:val="en-GB"/>
        </w:rPr>
      </w:pPr>
      <w:r w:rsidRPr="008463F3">
        <w:rPr>
          <w:lang w:val="en-GB"/>
        </w:rPr>
        <w:t xml:space="preserve">any other research and innovation infrastructure of a unique nature which is open to external users. </w:t>
      </w:r>
    </w:p>
    <w:p w14:paraId="14A871E5" w14:textId="77777777" w:rsidR="007947BF" w:rsidRPr="008463F3" w:rsidRDefault="007947BF" w:rsidP="007947BF">
      <w:pPr>
        <w:jc w:val="both"/>
        <w:rPr>
          <w:lang w:val="en-GB"/>
        </w:rPr>
      </w:pPr>
      <w:r w:rsidRPr="008463F3">
        <w:rPr>
          <w:lang w:val="en-GB"/>
        </w:rPr>
        <w:t>Research infrastructures can be centralised, that is, based in a single location. They can also be distributed or virtual, and can form mutually complementary wholes and networks.</w:t>
      </w:r>
    </w:p>
    <w:p w14:paraId="1D260AA0" w14:textId="77777777" w:rsidR="007947BF" w:rsidRPr="008463F3" w:rsidRDefault="007947BF" w:rsidP="007947BF">
      <w:pPr>
        <w:jc w:val="both"/>
        <w:rPr>
          <w:lang w:val="en-GB"/>
        </w:rPr>
      </w:pPr>
      <w:r w:rsidRPr="008463F3">
        <w:rPr>
          <w:lang w:val="en-GB"/>
        </w:rPr>
        <w:t>Please note that the questionnaire is designed for research centr</w:t>
      </w:r>
      <w:r>
        <w:rPr>
          <w:lang w:val="en-GB"/>
        </w:rPr>
        <w:t>e</w:t>
      </w:r>
      <w:r w:rsidRPr="008463F3">
        <w:rPr>
          <w:lang w:val="en-GB"/>
        </w:rPr>
        <w:t xml:space="preserve">s, laboratories and departments operating within public and private organisations (universities and faculties, public and private research institutes) accredited for research and innovation. </w:t>
      </w:r>
    </w:p>
    <w:p w14:paraId="57726AF3" w14:textId="77777777" w:rsidR="007947BF" w:rsidRPr="008463F3" w:rsidRDefault="007947BF" w:rsidP="007947BF">
      <w:pPr>
        <w:jc w:val="both"/>
        <w:rPr>
          <w:lang w:val="en-GB"/>
        </w:rPr>
      </w:pPr>
    </w:p>
    <w:p w14:paraId="5B7DC969" w14:textId="77777777" w:rsidR="007947BF" w:rsidRPr="008463F3" w:rsidRDefault="007947BF" w:rsidP="007947BF">
      <w:pPr>
        <w:rPr>
          <w:b/>
          <w:sz w:val="28"/>
          <w:lang w:val="en-GB"/>
        </w:rPr>
      </w:pPr>
      <w:r w:rsidRPr="008463F3">
        <w:rPr>
          <w:b/>
          <w:sz w:val="28"/>
          <w:lang w:val="en-GB"/>
        </w:rPr>
        <w:t>1. General information</w:t>
      </w:r>
    </w:p>
    <w:p w14:paraId="03A4B8E2" w14:textId="77777777" w:rsidR="007947BF" w:rsidRPr="008463F3" w:rsidRDefault="007947BF" w:rsidP="007947BF">
      <w:pPr>
        <w:rPr>
          <w:b/>
          <w:sz w:val="24"/>
          <w:lang w:val="en-GB"/>
        </w:rPr>
      </w:pPr>
      <w:r w:rsidRPr="008463F3">
        <w:rPr>
          <w:b/>
          <w:sz w:val="24"/>
          <w:lang w:val="en-GB"/>
        </w:rPr>
        <w:t>1.1. Data about respondent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552"/>
        <w:gridCol w:w="4504"/>
      </w:tblGrid>
      <w:tr w:rsidR="007947BF" w:rsidRPr="008463F3" w14:paraId="331E236D" w14:textId="77777777" w:rsidTr="00DA2AFC">
        <w:trPr>
          <w:trHeight w:val="155"/>
          <w:jc w:val="center"/>
        </w:trPr>
        <w:tc>
          <w:tcPr>
            <w:tcW w:w="2513" w:type="pct"/>
          </w:tcPr>
          <w:p w14:paraId="6155739E" w14:textId="77777777" w:rsidR="007947BF" w:rsidRPr="008463F3" w:rsidRDefault="007947BF" w:rsidP="00DA2AFC">
            <w:pPr>
              <w:spacing w:after="0" w:line="240" w:lineRule="auto"/>
              <w:rPr>
                <w:rFonts w:eastAsia="Calibri" w:cs="Arial"/>
                <w:lang w:val="en-GB"/>
              </w:rPr>
            </w:pPr>
            <w:r w:rsidRPr="008463F3">
              <w:rPr>
                <w:rFonts w:eastAsia="Calibri" w:cs="Arial"/>
                <w:lang w:val="en-GB"/>
              </w:rPr>
              <w:t>Full name</w:t>
            </w:r>
          </w:p>
        </w:tc>
        <w:tc>
          <w:tcPr>
            <w:tcW w:w="2487" w:type="pct"/>
          </w:tcPr>
          <w:p w14:paraId="2641531C" w14:textId="77777777" w:rsidR="007947BF" w:rsidRPr="008463F3" w:rsidRDefault="007947BF" w:rsidP="00DA2AFC">
            <w:pPr>
              <w:spacing w:after="0" w:line="240" w:lineRule="auto"/>
              <w:rPr>
                <w:rFonts w:eastAsia="Calibri" w:cs="Arial"/>
                <w:lang w:val="en-GB"/>
              </w:rPr>
            </w:pPr>
          </w:p>
        </w:tc>
      </w:tr>
      <w:tr w:rsidR="007947BF" w:rsidRPr="008463F3" w14:paraId="6F16687B" w14:textId="77777777" w:rsidTr="00DA2AFC">
        <w:trPr>
          <w:trHeight w:val="155"/>
          <w:jc w:val="center"/>
        </w:trPr>
        <w:tc>
          <w:tcPr>
            <w:tcW w:w="2513" w:type="pct"/>
          </w:tcPr>
          <w:p w14:paraId="2641E6AA" w14:textId="77777777" w:rsidR="007947BF" w:rsidRPr="008463F3" w:rsidRDefault="007947BF" w:rsidP="00DA2AFC">
            <w:pPr>
              <w:spacing w:after="0" w:line="240" w:lineRule="auto"/>
              <w:rPr>
                <w:rFonts w:eastAsia="Calibri" w:cs="Arial"/>
                <w:lang w:val="en-GB"/>
              </w:rPr>
            </w:pPr>
            <w:r w:rsidRPr="008463F3">
              <w:rPr>
                <w:rFonts w:eastAsia="Calibri" w:cs="Arial"/>
                <w:lang w:val="en-GB"/>
              </w:rPr>
              <w:t>Name of your institution</w:t>
            </w:r>
          </w:p>
        </w:tc>
        <w:tc>
          <w:tcPr>
            <w:tcW w:w="2487" w:type="pct"/>
          </w:tcPr>
          <w:p w14:paraId="493AC7F9" w14:textId="77777777" w:rsidR="007947BF" w:rsidRPr="008463F3" w:rsidRDefault="007947BF" w:rsidP="00DA2AFC">
            <w:pPr>
              <w:spacing w:after="0" w:line="240" w:lineRule="auto"/>
              <w:rPr>
                <w:rFonts w:eastAsia="Calibri" w:cs="Arial"/>
                <w:lang w:val="en-GB"/>
              </w:rPr>
            </w:pPr>
          </w:p>
        </w:tc>
      </w:tr>
      <w:tr w:rsidR="007947BF" w:rsidRPr="008463F3" w14:paraId="16EE3349" w14:textId="77777777" w:rsidTr="00DA2AFC">
        <w:trPr>
          <w:trHeight w:val="155"/>
          <w:jc w:val="center"/>
        </w:trPr>
        <w:tc>
          <w:tcPr>
            <w:tcW w:w="2513" w:type="pct"/>
          </w:tcPr>
          <w:p w14:paraId="49B32C65" w14:textId="77777777" w:rsidR="007947BF" w:rsidRPr="008463F3" w:rsidRDefault="007947BF" w:rsidP="00DA2AFC">
            <w:pPr>
              <w:spacing w:after="0" w:line="240" w:lineRule="auto"/>
              <w:rPr>
                <w:rFonts w:eastAsia="Calibri" w:cs="Arial"/>
                <w:lang w:val="en-GB"/>
              </w:rPr>
            </w:pPr>
            <w:r w:rsidRPr="008463F3">
              <w:rPr>
                <w:rFonts w:eastAsia="Calibri" w:cs="Arial"/>
                <w:lang w:val="en-GB"/>
              </w:rPr>
              <w:t>Institution’s address</w:t>
            </w:r>
          </w:p>
        </w:tc>
        <w:tc>
          <w:tcPr>
            <w:tcW w:w="2487" w:type="pct"/>
          </w:tcPr>
          <w:p w14:paraId="79BB0650" w14:textId="77777777" w:rsidR="007947BF" w:rsidRPr="008463F3" w:rsidRDefault="007947BF" w:rsidP="00DA2AFC">
            <w:pPr>
              <w:spacing w:after="0" w:line="240" w:lineRule="auto"/>
              <w:rPr>
                <w:rFonts w:eastAsia="Calibri" w:cs="Arial"/>
                <w:lang w:val="en-GB"/>
              </w:rPr>
            </w:pPr>
          </w:p>
        </w:tc>
      </w:tr>
      <w:tr w:rsidR="007947BF" w:rsidRPr="008463F3" w14:paraId="711F8D67" w14:textId="77777777" w:rsidTr="00DA2AFC">
        <w:trPr>
          <w:trHeight w:val="155"/>
          <w:jc w:val="center"/>
        </w:trPr>
        <w:tc>
          <w:tcPr>
            <w:tcW w:w="2513" w:type="pct"/>
          </w:tcPr>
          <w:p w14:paraId="4B3233B0" w14:textId="77777777" w:rsidR="007947BF" w:rsidRPr="008463F3" w:rsidRDefault="007947BF" w:rsidP="00DA2AFC">
            <w:pPr>
              <w:spacing w:after="0" w:line="240" w:lineRule="auto"/>
              <w:rPr>
                <w:rFonts w:eastAsia="Calibri" w:cs="Arial"/>
                <w:lang w:val="en-GB"/>
              </w:rPr>
            </w:pPr>
            <w:r w:rsidRPr="008463F3">
              <w:rPr>
                <w:rFonts w:eastAsia="Calibri" w:cs="Arial"/>
                <w:lang w:val="en-GB"/>
              </w:rPr>
              <w:t>Your position in the institution</w:t>
            </w:r>
          </w:p>
        </w:tc>
        <w:tc>
          <w:tcPr>
            <w:tcW w:w="2487" w:type="pct"/>
          </w:tcPr>
          <w:p w14:paraId="5FF5BB4E" w14:textId="77777777" w:rsidR="007947BF" w:rsidRPr="008463F3" w:rsidRDefault="007947BF" w:rsidP="00DA2AFC">
            <w:pPr>
              <w:spacing w:after="0" w:line="240" w:lineRule="auto"/>
              <w:rPr>
                <w:rFonts w:eastAsia="Calibri" w:cs="Arial"/>
                <w:lang w:val="en-GB"/>
              </w:rPr>
            </w:pPr>
          </w:p>
        </w:tc>
      </w:tr>
      <w:tr w:rsidR="007947BF" w:rsidRPr="008463F3" w14:paraId="1909583B" w14:textId="77777777" w:rsidTr="00DA2AFC">
        <w:trPr>
          <w:trHeight w:val="155"/>
          <w:jc w:val="center"/>
        </w:trPr>
        <w:tc>
          <w:tcPr>
            <w:tcW w:w="2513" w:type="pct"/>
          </w:tcPr>
          <w:p w14:paraId="6280A21A" w14:textId="77777777" w:rsidR="007947BF" w:rsidRPr="008463F3" w:rsidRDefault="007947BF" w:rsidP="00DA2AFC">
            <w:pPr>
              <w:spacing w:after="0" w:line="240" w:lineRule="auto"/>
              <w:rPr>
                <w:rFonts w:eastAsia="Calibri" w:cs="Arial"/>
                <w:lang w:val="en-GB"/>
              </w:rPr>
            </w:pPr>
            <w:r w:rsidRPr="008463F3">
              <w:rPr>
                <w:rFonts w:eastAsia="Calibri" w:cs="Arial"/>
                <w:lang w:val="en-GB"/>
              </w:rPr>
              <w:t>Your email address</w:t>
            </w:r>
          </w:p>
        </w:tc>
        <w:tc>
          <w:tcPr>
            <w:tcW w:w="2487" w:type="pct"/>
          </w:tcPr>
          <w:p w14:paraId="7BD798AE" w14:textId="77777777" w:rsidR="007947BF" w:rsidRPr="008463F3" w:rsidRDefault="007947BF" w:rsidP="00DA2AFC">
            <w:pPr>
              <w:spacing w:after="0" w:line="240" w:lineRule="auto"/>
              <w:rPr>
                <w:rFonts w:eastAsia="Calibri" w:cs="Arial"/>
                <w:lang w:val="en-GB"/>
              </w:rPr>
            </w:pPr>
          </w:p>
        </w:tc>
      </w:tr>
      <w:tr w:rsidR="007947BF" w:rsidRPr="008463F3" w14:paraId="472AEB20" w14:textId="77777777" w:rsidTr="00DA2AFC">
        <w:trPr>
          <w:trHeight w:val="155"/>
          <w:jc w:val="center"/>
        </w:trPr>
        <w:tc>
          <w:tcPr>
            <w:tcW w:w="2513" w:type="pct"/>
          </w:tcPr>
          <w:p w14:paraId="168A7D38" w14:textId="77777777" w:rsidR="007947BF" w:rsidRPr="008463F3" w:rsidRDefault="007947BF" w:rsidP="00DA2AFC">
            <w:pPr>
              <w:spacing w:after="0" w:line="240" w:lineRule="auto"/>
              <w:rPr>
                <w:rFonts w:eastAsia="Calibri" w:cs="Arial"/>
                <w:lang w:val="en-GB"/>
              </w:rPr>
            </w:pPr>
            <w:r w:rsidRPr="008463F3">
              <w:rPr>
                <w:rFonts w:eastAsia="Calibri" w:cs="Arial"/>
                <w:lang w:val="en-GB"/>
              </w:rPr>
              <w:t>Institution's website address</w:t>
            </w:r>
          </w:p>
        </w:tc>
        <w:tc>
          <w:tcPr>
            <w:tcW w:w="2487" w:type="pct"/>
          </w:tcPr>
          <w:p w14:paraId="59F28025" w14:textId="77777777" w:rsidR="007947BF" w:rsidRPr="008463F3" w:rsidRDefault="007947BF" w:rsidP="00DA2AFC">
            <w:pPr>
              <w:spacing w:after="0" w:line="240" w:lineRule="auto"/>
              <w:rPr>
                <w:rFonts w:eastAsia="Calibri" w:cs="Arial"/>
                <w:lang w:val="en-GB"/>
              </w:rPr>
            </w:pPr>
          </w:p>
        </w:tc>
      </w:tr>
    </w:tbl>
    <w:p w14:paraId="548B02BD" w14:textId="77777777" w:rsidR="007947BF" w:rsidRPr="008463F3" w:rsidRDefault="007947BF" w:rsidP="007947BF">
      <w:pPr>
        <w:spacing w:after="0" w:line="240" w:lineRule="auto"/>
        <w:rPr>
          <w:rFonts w:eastAsia="Calibri" w:cs="Arial"/>
          <w:b/>
          <w:lang w:val="en-GB"/>
        </w:rPr>
      </w:pPr>
    </w:p>
    <w:p w14:paraId="73F4FDE0" w14:textId="77777777" w:rsidR="007947BF" w:rsidRPr="008463F3" w:rsidRDefault="007947BF" w:rsidP="007947BF">
      <w:pPr>
        <w:rPr>
          <w:b/>
          <w:sz w:val="18"/>
          <w:lang w:val="en-GB"/>
        </w:rPr>
      </w:pPr>
      <w:r w:rsidRPr="008463F3">
        <w:rPr>
          <w:b/>
          <w:sz w:val="24"/>
          <w:lang w:val="en-GB"/>
        </w:rPr>
        <w:t>1.2. General information about research infrastructure or important research equipment and facilities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552"/>
        <w:gridCol w:w="2385"/>
        <w:gridCol w:w="2119"/>
      </w:tblGrid>
      <w:tr w:rsidR="007947BF" w:rsidRPr="008463F3" w14:paraId="6E913B1A" w14:textId="77777777" w:rsidTr="00DA2AFC">
        <w:trPr>
          <w:jc w:val="center"/>
        </w:trPr>
        <w:tc>
          <w:tcPr>
            <w:tcW w:w="2513" w:type="pct"/>
          </w:tcPr>
          <w:p w14:paraId="18BC65D3" w14:textId="77777777" w:rsidR="007947BF" w:rsidRPr="008463F3" w:rsidRDefault="007947BF" w:rsidP="00DA2AFC">
            <w:pPr>
              <w:spacing w:after="0" w:line="240" w:lineRule="auto"/>
              <w:rPr>
                <w:rFonts w:eastAsia="Calibri" w:cs="Arial"/>
                <w:lang w:val="en-GB"/>
              </w:rPr>
            </w:pPr>
            <w:r w:rsidRPr="008463F3">
              <w:rPr>
                <w:rFonts w:eastAsia="Calibri" w:cs="Arial"/>
                <w:lang w:val="en-GB"/>
              </w:rPr>
              <w:t>Name of research infrastructure</w:t>
            </w:r>
          </w:p>
        </w:tc>
        <w:tc>
          <w:tcPr>
            <w:tcW w:w="2487" w:type="pct"/>
            <w:gridSpan w:val="2"/>
          </w:tcPr>
          <w:p w14:paraId="0E9B156A" w14:textId="77777777" w:rsidR="007947BF" w:rsidRPr="008463F3" w:rsidRDefault="007947BF" w:rsidP="00DA2AFC">
            <w:pPr>
              <w:spacing w:after="0" w:line="240" w:lineRule="auto"/>
              <w:rPr>
                <w:rFonts w:eastAsia="Calibri" w:cs="Arial"/>
                <w:lang w:val="en-GB"/>
              </w:rPr>
            </w:pPr>
          </w:p>
        </w:tc>
      </w:tr>
      <w:tr w:rsidR="007947BF" w:rsidRPr="008463F3" w14:paraId="4914498B" w14:textId="77777777" w:rsidTr="00DA2AFC">
        <w:trPr>
          <w:jc w:val="center"/>
        </w:trPr>
        <w:tc>
          <w:tcPr>
            <w:tcW w:w="2513" w:type="pct"/>
          </w:tcPr>
          <w:p w14:paraId="54954C1B" w14:textId="77777777" w:rsidR="007947BF" w:rsidRPr="008463F3" w:rsidRDefault="007947BF" w:rsidP="00DA2AFC">
            <w:pPr>
              <w:spacing w:after="0" w:line="240" w:lineRule="auto"/>
              <w:rPr>
                <w:rFonts w:eastAsia="Calibri" w:cs="Arial"/>
                <w:lang w:val="en-GB"/>
              </w:rPr>
            </w:pPr>
            <w:r w:rsidRPr="008463F3">
              <w:rPr>
                <w:rFonts w:eastAsia="Calibri" w:cs="Arial"/>
                <w:lang w:val="en-GB"/>
              </w:rPr>
              <w:t>Host institution</w:t>
            </w:r>
          </w:p>
        </w:tc>
        <w:tc>
          <w:tcPr>
            <w:tcW w:w="2487" w:type="pct"/>
            <w:gridSpan w:val="2"/>
          </w:tcPr>
          <w:p w14:paraId="7E9584CB" w14:textId="77777777" w:rsidR="007947BF" w:rsidRPr="008463F3" w:rsidRDefault="007947BF" w:rsidP="00DA2AFC">
            <w:pPr>
              <w:spacing w:after="0" w:line="240" w:lineRule="auto"/>
              <w:rPr>
                <w:rFonts w:eastAsia="Calibri" w:cs="Arial"/>
                <w:lang w:val="en-GB"/>
              </w:rPr>
            </w:pPr>
          </w:p>
        </w:tc>
      </w:tr>
      <w:tr w:rsidR="007947BF" w:rsidRPr="008463F3" w14:paraId="4DB046B8" w14:textId="77777777" w:rsidTr="00DA2AFC">
        <w:trPr>
          <w:jc w:val="center"/>
        </w:trPr>
        <w:tc>
          <w:tcPr>
            <w:tcW w:w="2513" w:type="pct"/>
          </w:tcPr>
          <w:p w14:paraId="2A56459F" w14:textId="77777777" w:rsidR="007947BF" w:rsidRPr="008463F3" w:rsidRDefault="007947BF" w:rsidP="00DA2AFC">
            <w:pPr>
              <w:spacing w:after="0" w:line="240" w:lineRule="auto"/>
              <w:rPr>
                <w:rFonts w:eastAsia="Calibri" w:cs="Arial"/>
                <w:lang w:val="en-GB"/>
              </w:rPr>
            </w:pPr>
            <w:r w:rsidRPr="008463F3">
              <w:rPr>
                <w:rFonts w:eastAsia="Calibri" w:cs="Arial"/>
                <w:lang w:val="en-GB"/>
              </w:rPr>
              <w:t>Research Infrastructure’s address</w:t>
            </w:r>
          </w:p>
        </w:tc>
        <w:tc>
          <w:tcPr>
            <w:tcW w:w="2487" w:type="pct"/>
            <w:gridSpan w:val="2"/>
          </w:tcPr>
          <w:p w14:paraId="4AB99C5C" w14:textId="77777777" w:rsidR="007947BF" w:rsidRPr="008463F3" w:rsidRDefault="007947BF" w:rsidP="00DA2AFC">
            <w:pPr>
              <w:spacing w:after="0" w:line="240" w:lineRule="auto"/>
              <w:rPr>
                <w:rFonts w:eastAsia="Calibri" w:cs="Arial"/>
                <w:lang w:val="en-GB"/>
              </w:rPr>
            </w:pPr>
          </w:p>
        </w:tc>
      </w:tr>
      <w:tr w:rsidR="007947BF" w:rsidRPr="008463F3" w14:paraId="18C868DF" w14:textId="77777777" w:rsidTr="00DA2AFC">
        <w:trPr>
          <w:jc w:val="center"/>
        </w:trPr>
        <w:tc>
          <w:tcPr>
            <w:tcW w:w="2513" w:type="pct"/>
          </w:tcPr>
          <w:p w14:paraId="7E95DDC0" w14:textId="77777777" w:rsidR="007947BF" w:rsidRPr="008463F3" w:rsidRDefault="007947BF" w:rsidP="00DA2AFC">
            <w:pPr>
              <w:spacing w:after="0" w:line="240" w:lineRule="auto"/>
              <w:rPr>
                <w:rFonts w:eastAsia="Calibri" w:cs="Arial"/>
                <w:lang w:val="en-GB"/>
              </w:rPr>
            </w:pPr>
            <w:r w:rsidRPr="008463F3">
              <w:rPr>
                <w:rFonts w:eastAsia="Calibri" w:cs="Arial"/>
                <w:lang w:val="en-GB"/>
              </w:rPr>
              <w:t>Research infrastructure’s website</w:t>
            </w:r>
          </w:p>
        </w:tc>
        <w:tc>
          <w:tcPr>
            <w:tcW w:w="2487" w:type="pct"/>
            <w:gridSpan w:val="2"/>
          </w:tcPr>
          <w:p w14:paraId="566917F1" w14:textId="77777777" w:rsidR="007947BF" w:rsidRPr="008463F3" w:rsidRDefault="007947BF" w:rsidP="00DA2AFC">
            <w:pPr>
              <w:spacing w:after="0" w:line="240" w:lineRule="auto"/>
              <w:rPr>
                <w:rFonts w:eastAsia="Calibri" w:cs="Arial"/>
                <w:lang w:val="en-GB"/>
              </w:rPr>
            </w:pPr>
          </w:p>
        </w:tc>
      </w:tr>
      <w:tr w:rsidR="007947BF" w:rsidRPr="008463F3" w14:paraId="484EF462" w14:textId="77777777" w:rsidTr="00DA2AFC">
        <w:trPr>
          <w:jc w:val="center"/>
        </w:trPr>
        <w:tc>
          <w:tcPr>
            <w:tcW w:w="2513" w:type="pct"/>
          </w:tcPr>
          <w:p w14:paraId="5B6BF133" w14:textId="77777777" w:rsidR="007947BF" w:rsidRPr="008463F3" w:rsidRDefault="007947BF" w:rsidP="00DA2AFC">
            <w:pPr>
              <w:spacing w:after="0"/>
              <w:rPr>
                <w:lang w:val="en-GB"/>
              </w:rPr>
            </w:pPr>
            <w:r w:rsidRPr="008463F3">
              <w:rPr>
                <w:lang w:val="en-GB"/>
              </w:rPr>
              <w:t>Thematic categorisation of RI by field of science*</w:t>
            </w:r>
          </w:p>
        </w:tc>
        <w:tc>
          <w:tcPr>
            <w:tcW w:w="2487" w:type="pct"/>
            <w:gridSpan w:val="2"/>
          </w:tcPr>
          <w:p w14:paraId="57112896" w14:textId="77777777" w:rsidR="007947BF" w:rsidRPr="008463F3" w:rsidRDefault="007947BF" w:rsidP="00DA2AFC">
            <w:pPr>
              <w:spacing w:after="0" w:line="240" w:lineRule="auto"/>
              <w:rPr>
                <w:rFonts w:eastAsia="Calibri" w:cs="Arial"/>
                <w:lang w:val="en-GB"/>
              </w:rPr>
            </w:pPr>
          </w:p>
        </w:tc>
      </w:tr>
      <w:tr w:rsidR="007947BF" w:rsidRPr="008463F3" w14:paraId="1499825A" w14:textId="77777777" w:rsidTr="00DA2AFC">
        <w:trPr>
          <w:jc w:val="center"/>
        </w:trPr>
        <w:tc>
          <w:tcPr>
            <w:tcW w:w="2513" w:type="pct"/>
            <w:tcBorders>
              <w:bottom w:val="single" w:sz="6" w:space="0" w:color="auto"/>
            </w:tcBorders>
          </w:tcPr>
          <w:p w14:paraId="1802310A" w14:textId="77777777" w:rsidR="007947BF" w:rsidRPr="008463F3" w:rsidRDefault="007947BF" w:rsidP="00DA2AFC">
            <w:pPr>
              <w:spacing w:after="0"/>
              <w:rPr>
                <w:lang w:val="en-GB"/>
              </w:rPr>
            </w:pPr>
            <w:r w:rsidRPr="008463F3">
              <w:rPr>
                <w:lang w:val="en-GB"/>
              </w:rPr>
              <w:t>Type of RI**</w:t>
            </w:r>
          </w:p>
        </w:tc>
        <w:tc>
          <w:tcPr>
            <w:tcW w:w="2487" w:type="pct"/>
            <w:gridSpan w:val="2"/>
            <w:tcBorders>
              <w:bottom w:val="single" w:sz="6" w:space="0" w:color="auto"/>
            </w:tcBorders>
          </w:tcPr>
          <w:p w14:paraId="27201384" w14:textId="77777777" w:rsidR="007947BF" w:rsidRPr="008463F3" w:rsidRDefault="007947BF" w:rsidP="00DA2AFC">
            <w:pPr>
              <w:spacing w:after="0" w:line="240" w:lineRule="auto"/>
              <w:rPr>
                <w:rFonts w:eastAsia="Calibri" w:cs="Arial"/>
                <w:lang w:val="en-GB"/>
              </w:rPr>
            </w:pPr>
          </w:p>
        </w:tc>
      </w:tr>
      <w:tr w:rsidR="007947BF" w:rsidRPr="008463F3" w14:paraId="57B98E20" w14:textId="77777777" w:rsidTr="00DA2AFC">
        <w:trPr>
          <w:jc w:val="center"/>
        </w:trPr>
        <w:tc>
          <w:tcPr>
            <w:tcW w:w="2513" w:type="pct"/>
            <w:tcBorders>
              <w:bottom w:val="single" w:sz="6" w:space="0" w:color="auto"/>
            </w:tcBorders>
          </w:tcPr>
          <w:p w14:paraId="602A708A" w14:textId="77777777" w:rsidR="007947BF" w:rsidRPr="008463F3" w:rsidRDefault="007947BF" w:rsidP="00DA2AFC">
            <w:pPr>
              <w:spacing w:after="0"/>
              <w:rPr>
                <w:lang w:val="en-GB"/>
              </w:rPr>
            </w:pPr>
            <w:r w:rsidRPr="008463F3">
              <w:rPr>
                <w:lang w:val="en-GB"/>
              </w:rPr>
              <w:t>Main scientific domain</w:t>
            </w:r>
          </w:p>
        </w:tc>
        <w:tc>
          <w:tcPr>
            <w:tcW w:w="2487" w:type="pct"/>
            <w:gridSpan w:val="2"/>
            <w:tcBorders>
              <w:bottom w:val="single" w:sz="6" w:space="0" w:color="auto"/>
            </w:tcBorders>
          </w:tcPr>
          <w:p w14:paraId="572C40AA" w14:textId="77777777" w:rsidR="007947BF" w:rsidRPr="008463F3" w:rsidRDefault="007947BF" w:rsidP="00DA2AFC">
            <w:pPr>
              <w:spacing w:after="0" w:line="240" w:lineRule="auto"/>
              <w:rPr>
                <w:rFonts w:eastAsia="Calibri" w:cs="Arial"/>
                <w:lang w:val="en-GB"/>
              </w:rPr>
            </w:pPr>
          </w:p>
        </w:tc>
      </w:tr>
      <w:tr w:rsidR="007947BF" w:rsidRPr="008463F3" w14:paraId="6A74C6C9" w14:textId="77777777" w:rsidTr="00DA2AFC">
        <w:trPr>
          <w:jc w:val="center"/>
        </w:trPr>
        <w:tc>
          <w:tcPr>
            <w:tcW w:w="2513" w:type="pct"/>
            <w:tcBorders>
              <w:bottom w:val="single" w:sz="6" w:space="0" w:color="auto"/>
            </w:tcBorders>
          </w:tcPr>
          <w:p w14:paraId="048E4FB3" w14:textId="77777777" w:rsidR="007947BF" w:rsidRPr="008463F3" w:rsidRDefault="007947BF" w:rsidP="00DA2AFC">
            <w:pPr>
              <w:spacing w:after="0"/>
              <w:rPr>
                <w:lang w:val="en-GB"/>
              </w:rPr>
            </w:pPr>
            <w:r w:rsidRPr="008463F3">
              <w:rPr>
                <w:lang w:val="en-GB"/>
              </w:rPr>
              <w:t>Other scientific and technological domains served by RI</w:t>
            </w:r>
          </w:p>
        </w:tc>
        <w:tc>
          <w:tcPr>
            <w:tcW w:w="2487" w:type="pct"/>
            <w:gridSpan w:val="2"/>
            <w:tcBorders>
              <w:bottom w:val="single" w:sz="6" w:space="0" w:color="auto"/>
            </w:tcBorders>
          </w:tcPr>
          <w:p w14:paraId="629432FC" w14:textId="77777777" w:rsidR="007947BF" w:rsidRPr="008463F3" w:rsidRDefault="007947BF" w:rsidP="00DA2AFC">
            <w:pPr>
              <w:spacing w:after="0" w:line="240" w:lineRule="auto"/>
              <w:rPr>
                <w:rFonts w:eastAsia="Calibri" w:cs="Arial"/>
                <w:lang w:val="en-GB"/>
              </w:rPr>
            </w:pPr>
          </w:p>
        </w:tc>
      </w:tr>
      <w:tr w:rsidR="007947BF" w:rsidRPr="008463F3" w14:paraId="0670F6EA" w14:textId="77777777" w:rsidTr="00DA2AFC">
        <w:trPr>
          <w:jc w:val="center"/>
        </w:trPr>
        <w:tc>
          <w:tcPr>
            <w:tcW w:w="2513" w:type="pct"/>
            <w:tcBorders>
              <w:bottom w:val="single" w:sz="6" w:space="0" w:color="auto"/>
            </w:tcBorders>
          </w:tcPr>
          <w:p w14:paraId="1CFAF3AC" w14:textId="77777777" w:rsidR="007947BF" w:rsidRPr="008463F3" w:rsidRDefault="007947BF" w:rsidP="00DA2AFC">
            <w:pPr>
              <w:spacing w:after="0"/>
              <w:rPr>
                <w:lang w:val="en-GB"/>
              </w:rPr>
            </w:pPr>
            <w:r w:rsidRPr="008463F3">
              <w:rPr>
                <w:lang w:val="en-GB"/>
              </w:rPr>
              <w:t>Total number of RI users</w:t>
            </w:r>
          </w:p>
        </w:tc>
        <w:tc>
          <w:tcPr>
            <w:tcW w:w="2487" w:type="pct"/>
            <w:gridSpan w:val="2"/>
            <w:tcBorders>
              <w:bottom w:val="single" w:sz="6" w:space="0" w:color="auto"/>
            </w:tcBorders>
          </w:tcPr>
          <w:p w14:paraId="6262E17A" w14:textId="77777777" w:rsidR="007947BF" w:rsidRPr="008463F3" w:rsidRDefault="007947BF" w:rsidP="00DA2AFC">
            <w:pPr>
              <w:spacing w:after="0" w:line="240" w:lineRule="auto"/>
              <w:rPr>
                <w:rFonts w:eastAsia="Calibri" w:cs="Arial"/>
                <w:lang w:val="en-GB"/>
              </w:rPr>
            </w:pPr>
          </w:p>
        </w:tc>
      </w:tr>
      <w:tr w:rsidR="007947BF" w:rsidRPr="008463F3" w14:paraId="1503EFAE" w14:textId="77777777" w:rsidTr="00DA2AFC">
        <w:trPr>
          <w:jc w:val="center"/>
        </w:trPr>
        <w:tc>
          <w:tcPr>
            <w:tcW w:w="2513" w:type="pct"/>
            <w:tcBorders>
              <w:bottom w:val="single" w:sz="6" w:space="0" w:color="auto"/>
              <w:right w:val="single" w:sz="4" w:space="0" w:color="auto"/>
            </w:tcBorders>
          </w:tcPr>
          <w:p w14:paraId="36BD3092" w14:textId="77777777" w:rsidR="007947BF" w:rsidRPr="008463F3" w:rsidRDefault="007947BF" w:rsidP="00DA2AFC">
            <w:pPr>
              <w:spacing w:after="0" w:line="240" w:lineRule="auto"/>
              <w:rPr>
                <w:rFonts w:eastAsia="Calibri" w:cs="Arial"/>
                <w:lang w:val="en-GB"/>
              </w:rPr>
            </w:pPr>
            <w:r w:rsidRPr="008463F3">
              <w:rPr>
                <w:rFonts w:eastAsia="Calibri" w:cs="Arial"/>
                <w:lang w:val="en-GB"/>
              </w:rPr>
              <w:t>Name and position of a person responsible on behalf of research infrastructure:</w:t>
            </w:r>
          </w:p>
        </w:tc>
        <w:tc>
          <w:tcPr>
            <w:tcW w:w="2487" w:type="pct"/>
            <w:gridSpan w:val="2"/>
            <w:tcBorders>
              <w:left w:val="single" w:sz="4" w:space="0" w:color="auto"/>
              <w:bottom w:val="dotted" w:sz="4" w:space="0" w:color="auto"/>
            </w:tcBorders>
          </w:tcPr>
          <w:p w14:paraId="12FD2869" w14:textId="77777777" w:rsidR="007947BF" w:rsidRPr="008463F3" w:rsidRDefault="007947BF" w:rsidP="00DA2AFC">
            <w:pPr>
              <w:spacing w:after="0" w:line="240" w:lineRule="auto"/>
              <w:rPr>
                <w:rFonts w:eastAsia="Calibri" w:cs="Arial"/>
                <w:lang w:val="en-GB"/>
              </w:rPr>
            </w:pPr>
          </w:p>
        </w:tc>
      </w:tr>
      <w:tr w:rsidR="007947BF" w:rsidRPr="008463F3" w14:paraId="07291437" w14:textId="77777777" w:rsidTr="00DA2AFC">
        <w:trPr>
          <w:jc w:val="center"/>
        </w:trPr>
        <w:tc>
          <w:tcPr>
            <w:tcW w:w="2513" w:type="pct"/>
          </w:tcPr>
          <w:p w14:paraId="530EAE24" w14:textId="77777777" w:rsidR="007947BF" w:rsidRPr="008463F3" w:rsidRDefault="007947BF" w:rsidP="00DA2AFC">
            <w:pPr>
              <w:spacing w:after="0" w:line="240" w:lineRule="auto"/>
              <w:rPr>
                <w:rFonts w:eastAsia="Calibri" w:cs="Arial"/>
                <w:lang w:val="en-GB"/>
              </w:rPr>
            </w:pPr>
            <w:r w:rsidRPr="008463F3">
              <w:rPr>
                <w:rFonts w:eastAsia="Calibri" w:cs="Arial"/>
                <w:lang w:val="en-GB"/>
              </w:rPr>
              <w:t>Year of establishment of RI:</w:t>
            </w:r>
          </w:p>
        </w:tc>
        <w:tc>
          <w:tcPr>
            <w:tcW w:w="2487" w:type="pct"/>
            <w:gridSpan w:val="2"/>
          </w:tcPr>
          <w:p w14:paraId="753B834D" w14:textId="77777777" w:rsidR="007947BF" w:rsidRPr="008463F3" w:rsidRDefault="007947BF" w:rsidP="00DA2AFC">
            <w:pPr>
              <w:spacing w:after="0" w:line="240" w:lineRule="auto"/>
              <w:rPr>
                <w:rFonts w:eastAsia="Calibri" w:cs="Arial"/>
                <w:lang w:val="en-GB"/>
              </w:rPr>
            </w:pPr>
          </w:p>
        </w:tc>
      </w:tr>
      <w:tr w:rsidR="007947BF" w:rsidRPr="008463F3" w14:paraId="05489516" w14:textId="77777777" w:rsidTr="00DA2AFC">
        <w:trPr>
          <w:jc w:val="center"/>
        </w:trPr>
        <w:tc>
          <w:tcPr>
            <w:tcW w:w="2513" w:type="pct"/>
            <w:vMerge w:val="restart"/>
            <w:vAlign w:val="center"/>
          </w:tcPr>
          <w:p w14:paraId="4DF9438B" w14:textId="77777777" w:rsidR="007947BF" w:rsidRPr="008463F3" w:rsidRDefault="007947BF" w:rsidP="00DA2AFC">
            <w:pPr>
              <w:spacing w:after="0" w:line="240" w:lineRule="auto"/>
              <w:rPr>
                <w:rFonts w:eastAsia="Calibri" w:cs="Arial"/>
                <w:lang w:val="en-GB"/>
              </w:rPr>
            </w:pPr>
            <w:r w:rsidRPr="008463F3">
              <w:rPr>
                <w:rFonts w:eastAsia="Calibri" w:cs="Arial"/>
                <w:lang w:val="en-GB"/>
              </w:rPr>
              <w:t>Founder</w:t>
            </w:r>
          </w:p>
        </w:tc>
        <w:tc>
          <w:tcPr>
            <w:tcW w:w="1317" w:type="pct"/>
          </w:tcPr>
          <w:p w14:paraId="6EA102DC" w14:textId="77777777" w:rsidR="007947BF" w:rsidRPr="008463F3" w:rsidRDefault="007947BF" w:rsidP="00DA2AFC">
            <w:pPr>
              <w:spacing w:after="0" w:line="240" w:lineRule="auto"/>
              <w:rPr>
                <w:rFonts w:eastAsia="Calibri" w:cs="Arial"/>
                <w:lang w:val="en-GB"/>
              </w:rPr>
            </w:pPr>
            <w:r w:rsidRPr="008463F3">
              <w:rPr>
                <w:rFonts w:eastAsia="Calibri" w:cs="Arial"/>
                <w:lang w:val="en-GB"/>
              </w:rPr>
              <w:t>Institution(s)</w:t>
            </w:r>
          </w:p>
        </w:tc>
        <w:tc>
          <w:tcPr>
            <w:tcW w:w="1169" w:type="pct"/>
          </w:tcPr>
          <w:p w14:paraId="31F7AA2F" w14:textId="77777777" w:rsidR="007947BF" w:rsidRPr="008463F3" w:rsidRDefault="007947BF" w:rsidP="00DA2AFC">
            <w:pPr>
              <w:spacing w:after="0" w:line="240" w:lineRule="auto"/>
              <w:rPr>
                <w:rFonts w:eastAsia="Calibri" w:cs="Arial"/>
                <w:lang w:val="en-GB"/>
              </w:rPr>
            </w:pPr>
            <w:r w:rsidRPr="008463F3">
              <w:rPr>
                <w:rFonts w:eastAsia="Calibri" w:cs="Arial"/>
                <w:lang w:val="en-GB"/>
              </w:rPr>
              <w:t>Ownership share (%)</w:t>
            </w:r>
          </w:p>
        </w:tc>
      </w:tr>
      <w:tr w:rsidR="007947BF" w:rsidRPr="008463F3" w14:paraId="44847FEA" w14:textId="77777777" w:rsidTr="00DA2AFC">
        <w:trPr>
          <w:jc w:val="center"/>
        </w:trPr>
        <w:tc>
          <w:tcPr>
            <w:tcW w:w="2513" w:type="pct"/>
            <w:vMerge/>
          </w:tcPr>
          <w:p w14:paraId="4C8C0F75" w14:textId="77777777" w:rsidR="007947BF" w:rsidRPr="008463F3" w:rsidRDefault="007947BF" w:rsidP="00DA2AFC">
            <w:pPr>
              <w:spacing w:after="0" w:line="240" w:lineRule="auto"/>
              <w:rPr>
                <w:rFonts w:eastAsia="Calibri" w:cs="Arial"/>
                <w:lang w:val="en-GB"/>
              </w:rPr>
            </w:pPr>
          </w:p>
        </w:tc>
        <w:tc>
          <w:tcPr>
            <w:tcW w:w="1317" w:type="pct"/>
          </w:tcPr>
          <w:p w14:paraId="3439EAA0" w14:textId="77777777" w:rsidR="007947BF" w:rsidRPr="008463F3" w:rsidRDefault="007947BF" w:rsidP="00DA2AFC">
            <w:pPr>
              <w:spacing w:after="0" w:line="240" w:lineRule="auto"/>
              <w:rPr>
                <w:rFonts w:eastAsia="Calibri" w:cs="Arial"/>
                <w:lang w:val="en-GB"/>
              </w:rPr>
            </w:pPr>
          </w:p>
        </w:tc>
        <w:tc>
          <w:tcPr>
            <w:tcW w:w="1169" w:type="pct"/>
          </w:tcPr>
          <w:p w14:paraId="2CEABDEA" w14:textId="77777777" w:rsidR="007947BF" w:rsidRPr="008463F3" w:rsidRDefault="007947BF" w:rsidP="00DA2AFC">
            <w:pPr>
              <w:spacing w:after="0" w:line="240" w:lineRule="auto"/>
              <w:rPr>
                <w:rFonts w:eastAsia="Calibri" w:cs="Arial"/>
                <w:lang w:val="en-GB"/>
              </w:rPr>
            </w:pPr>
          </w:p>
        </w:tc>
      </w:tr>
      <w:tr w:rsidR="007947BF" w:rsidRPr="008463F3" w14:paraId="448D89DB" w14:textId="77777777" w:rsidTr="00DA2AFC">
        <w:trPr>
          <w:jc w:val="center"/>
        </w:trPr>
        <w:tc>
          <w:tcPr>
            <w:tcW w:w="2513" w:type="pct"/>
          </w:tcPr>
          <w:p w14:paraId="2A2C1FE8" w14:textId="77777777" w:rsidR="007947BF" w:rsidRPr="008463F3" w:rsidRDefault="007947BF" w:rsidP="00DA2AFC">
            <w:pPr>
              <w:spacing w:after="0" w:line="240" w:lineRule="auto"/>
              <w:rPr>
                <w:rFonts w:eastAsia="Calibri" w:cs="Arial"/>
                <w:lang w:val="en-GB"/>
              </w:rPr>
            </w:pPr>
          </w:p>
        </w:tc>
        <w:tc>
          <w:tcPr>
            <w:tcW w:w="1317" w:type="pct"/>
            <w:tcBorders>
              <w:bottom w:val="single" w:sz="6" w:space="0" w:color="auto"/>
            </w:tcBorders>
          </w:tcPr>
          <w:p w14:paraId="79D0D055" w14:textId="77777777" w:rsidR="007947BF" w:rsidRPr="008463F3" w:rsidRDefault="007947BF" w:rsidP="00DA2AFC">
            <w:pPr>
              <w:spacing w:after="0" w:line="240" w:lineRule="auto"/>
              <w:rPr>
                <w:rFonts w:eastAsia="Calibri" w:cs="Arial"/>
                <w:lang w:val="en-GB"/>
              </w:rPr>
            </w:pPr>
          </w:p>
        </w:tc>
        <w:tc>
          <w:tcPr>
            <w:tcW w:w="1169" w:type="pct"/>
            <w:tcBorders>
              <w:bottom w:val="single" w:sz="6" w:space="0" w:color="auto"/>
            </w:tcBorders>
          </w:tcPr>
          <w:p w14:paraId="5AD550E7" w14:textId="77777777" w:rsidR="007947BF" w:rsidRPr="008463F3" w:rsidRDefault="007947BF" w:rsidP="00DA2AFC">
            <w:pPr>
              <w:spacing w:after="0" w:line="240" w:lineRule="auto"/>
              <w:rPr>
                <w:rFonts w:eastAsia="Calibri" w:cs="Arial"/>
                <w:lang w:val="en-GB"/>
              </w:rPr>
            </w:pPr>
          </w:p>
        </w:tc>
      </w:tr>
    </w:tbl>
    <w:p w14:paraId="04EE6B88" w14:textId="77777777" w:rsidR="007947BF" w:rsidRPr="008463F3" w:rsidRDefault="007947BF" w:rsidP="007947BF">
      <w:pPr>
        <w:spacing w:after="0" w:line="252" w:lineRule="auto"/>
        <w:jc w:val="both"/>
        <w:rPr>
          <w:rFonts w:eastAsia="Calibri" w:cs="Arial"/>
          <w:sz w:val="18"/>
          <w:szCs w:val="18"/>
          <w:lang w:val="en-GB"/>
        </w:rPr>
      </w:pPr>
      <w:r w:rsidRPr="008463F3">
        <w:rPr>
          <w:rFonts w:eastAsia="Calibri" w:cs="Arial"/>
          <w:b/>
          <w:sz w:val="18"/>
          <w:szCs w:val="18"/>
          <w:lang w:val="en-GB"/>
        </w:rPr>
        <w:t>*</w:t>
      </w:r>
      <w:r w:rsidRPr="008463F3">
        <w:rPr>
          <w:rFonts w:eastAsia="Calibri" w:cs="Arial"/>
          <w:sz w:val="18"/>
          <w:szCs w:val="18"/>
          <w:lang w:val="en-GB"/>
        </w:rPr>
        <w:t>Thematic categorisation of RI types by field of science. The ESFRI sets the following 6 thematic areas:</w:t>
      </w:r>
    </w:p>
    <w:p w14:paraId="499FF322" w14:textId="77777777" w:rsidR="007947BF" w:rsidRPr="008463F3" w:rsidRDefault="007947BF" w:rsidP="007947BF">
      <w:pPr>
        <w:pStyle w:val="ListParagraph"/>
        <w:numPr>
          <w:ilvl w:val="0"/>
          <w:numId w:val="9"/>
        </w:numPr>
        <w:spacing w:after="0" w:line="252" w:lineRule="auto"/>
        <w:jc w:val="both"/>
        <w:rPr>
          <w:rFonts w:eastAsia="Calibri" w:cs="Arial"/>
          <w:sz w:val="18"/>
          <w:szCs w:val="18"/>
          <w:lang w:val="en-GB"/>
        </w:rPr>
      </w:pPr>
      <w:r w:rsidRPr="008463F3">
        <w:rPr>
          <w:rFonts w:eastAsia="Calibri" w:cs="Arial"/>
          <w:sz w:val="18"/>
          <w:szCs w:val="18"/>
          <w:lang w:val="en-GB"/>
        </w:rPr>
        <w:t>energy;</w:t>
      </w:r>
    </w:p>
    <w:p w14:paraId="183F3812" w14:textId="77777777" w:rsidR="007947BF" w:rsidRPr="008463F3" w:rsidRDefault="007947BF" w:rsidP="007947BF">
      <w:pPr>
        <w:pStyle w:val="ListParagraph"/>
        <w:numPr>
          <w:ilvl w:val="0"/>
          <w:numId w:val="9"/>
        </w:numPr>
        <w:spacing w:after="0" w:line="252" w:lineRule="auto"/>
        <w:jc w:val="both"/>
        <w:rPr>
          <w:rFonts w:eastAsia="Calibri" w:cs="Arial"/>
          <w:sz w:val="18"/>
          <w:szCs w:val="18"/>
          <w:lang w:val="en-GB"/>
        </w:rPr>
      </w:pPr>
      <w:r w:rsidRPr="008463F3">
        <w:rPr>
          <w:rFonts w:eastAsia="Calibri" w:cs="Arial"/>
          <w:sz w:val="18"/>
          <w:szCs w:val="18"/>
          <w:lang w:val="en-GB"/>
        </w:rPr>
        <w:t>environment;</w:t>
      </w:r>
    </w:p>
    <w:p w14:paraId="4C56C069" w14:textId="77777777" w:rsidR="007947BF" w:rsidRPr="008463F3" w:rsidRDefault="007947BF" w:rsidP="007947BF">
      <w:pPr>
        <w:pStyle w:val="ListParagraph"/>
        <w:numPr>
          <w:ilvl w:val="0"/>
          <w:numId w:val="9"/>
        </w:numPr>
        <w:spacing w:after="0" w:line="252" w:lineRule="auto"/>
        <w:jc w:val="both"/>
        <w:rPr>
          <w:rFonts w:eastAsia="Calibri" w:cs="Arial"/>
          <w:sz w:val="18"/>
          <w:szCs w:val="18"/>
          <w:lang w:val="en-GB"/>
        </w:rPr>
      </w:pPr>
      <w:r w:rsidRPr="008463F3">
        <w:rPr>
          <w:rFonts w:eastAsia="Calibri" w:cs="Arial"/>
          <w:sz w:val="18"/>
          <w:szCs w:val="18"/>
          <w:lang w:val="en-GB"/>
        </w:rPr>
        <w:t>health and food sciences;</w:t>
      </w:r>
    </w:p>
    <w:p w14:paraId="37206CFD" w14:textId="77777777" w:rsidR="007947BF" w:rsidRPr="008463F3" w:rsidRDefault="007947BF" w:rsidP="007947BF">
      <w:pPr>
        <w:pStyle w:val="ListParagraph"/>
        <w:numPr>
          <w:ilvl w:val="0"/>
          <w:numId w:val="9"/>
        </w:numPr>
        <w:spacing w:after="0" w:line="252" w:lineRule="auto"/>
        <w:jc w:val="both"/>
        <w:rPr>
          <w:rFonts w:eastAsia="Calibri" w:cs="Arial"/>
          <w:sz w:val="18"/>
          <w:szCs w:val="18"/>
          <w:lang w:val="en-GB"/>
        </w:rPr>
      </w:pPr>
      <w:r w:rsidRPr="008463F3">
        <w:rPr>
          <w:rFonts w:eastAsia="Calibri" w:cs="Arial"/>
          <w:sz w:val="18"/>
          <w:szCs w:val="18"/>
          <w:lang w:val="en-GB"/>
        </w:rPr>
        <w:t>physical sciences and engineering</w:t>
      </w:r>
    </w:p>
    <w:p w14:paraId="7201EE83" w14:textId="77777777" w:rsidR="007947BF" w:rsidRPr="008463F3" w:rsidRDefault="007947BF" w:rsidP="007947BF">
      <w:pPr>
        <w:pStyle w:val="ListParagraph"/>
        <w:numPr>
          <w:ilvl w:val="0"/>
          <w:numId w:val="9"/>
        </w:numPr>
        <w:spacing w:after="0" w:line="252" w:lineRule="auto"/>
        <w:jc w:val="both"/>
        <w:rPr>
          <w:rFonts w:eastAsia="Calibri" w:cs="Arial"/>
          <w:sz w:val="18"/>
          <w:szCs w:val="18"/>
          <w:lang w:val="en-GB"/>
        </w:rPr>
      </w:pPr>
      <w:r w:rsidRPr="008463F3">
        <w:rPr>
          <w:rFonts w:eastAsia="Calibri" w:cs="Arial"/>
          <w:sz w:val="18"/>
          <w:szCs w:val="18"/>
          <w:lang w:val="en-GB"/>
        </w:rPr>
        <w:t>social and cultural innovation;</w:t>
      </w:r>
    </w:p>
    <w:p w14:paraId="4F28182B" w14:textId="77777777" w:rsidR="007947BF" w:rsidRPr="008463F3" w:rsidRDefault="007947BF" w:rsidP="007947BF">
      <w:pPr>
        <w:pStyle w:val="ListParagraph"/>
        <w:numPr>
          <w:ilvl w:val="0"/>
          <w:numId w:val="9"/>
        </w:numPr>
        <w:spacing w:after="0" w:line="252" w:lineRule="auto"/>
        <w:jc w:val="both"/>
        <w:rPr>
          <w:rFonts w:eastAsia="Calibri" w:cs="Arial"/>
          <w:sz w:val="18"/>
          <w:szCs w:val="18"/>
          <w:lang w:val="en-GB"/>
        </w:rPr>
      </w:pPr>
      <w:r w:rsidRPr="008463F3">
        <w:rPr>
          <w:rFonts w:eastAsia="Calibri" w:cs="Arial"/>
          <w:sz w:val="18"/>
          <w:szCs w:val="18"/>
          <w:lang w:val="en-GB"/>
        </w:rPr>
        <w:t>e-infrastructures</w:t>
      </w:r>
    </w:p>
    <w:p w14:paraId="5033F7C5" w14:textId="77777777" w:rsidR="007947BF" w:rsidRPr="008463F3" w:rsidRDefault="007947BF" w:rsidP="007947BF">
      <w:pPr>
        <w:spacing w:after="0" w:line="252" w:lineRule="auto"/>
        <w:ind w:left="360"/>
        <w:jc w:val="both"/>
        <w:rPr>
          <w:rFonts w:eastAsia="Calibri" w:cs="Arial"/>
          <w:sz w:val="18"/>
          <w:szCs w:val="18"/>
          <w:lang w:val="en-GB"/>
        </w:rPr>
      </w:pPr>
      <w:r w:rsidRPr="008463F3">
        <w:rPr>
          <w:rFonts w:eastAsia="Calibri" w:cs="Arial"/>
          <w:sz w:val="18"/>
          <w:szCs w:val="18"/>
          <w:lang w:val="en-GB"/>
        </w:rPr>
        <w:t>E-Infrastructure for scientific research–provides computing services for the scientific community.</w:t>
      </w:r>
    </w:p>
    <w:p w14:paraId="74B52BB6" w14:textId="77777777" w:rsidR="007947BF" w:rsidRPr="008463F3" w:rsidRDefault="007947BF" w:rsidP="007947BF">
      <w:pPr>
        <w:spacing w:after="0" w:line="252" w:lineRule="auto"/>
        <w:jc w:val="both"/>
        <w:rPr>
          <w:rFonts w:eastAsia="Calibri" w:cs="Arial"/>
          <w:sz w:val="18"/>
          <w:szCs w:val="18"/>
          <w:lang w:val="en-GB"/>
        </w:rPr>
      </w:pPr>
      <w:r w:rsidRPr="008463F3">
        <w:rPr>
          <w:rFonts w:eastAsia="Calibri" w:cs="Arial"/>
          <w:sz w:val="18"/>
          <w:szCs w:val="18"/>
          <w:lang w:val="en-GB"/>
        </w:rPr>
        <w:t xml:space="preserve">**Four types of RI are commonly distinguished: </w:t>
      </w:r>
    </w:p>
    <w:p w14:paraId="655ADB94" w14:textId="77777777" w:rsidR="007947BF" w:rsidRPr="008463F3" w:rsidRDefault="007947BF" w:rsidP="007947BF">
      <w:pPr>
        <w:pStyle w:val="ListParagraph"/>
        <w:numPr>
          <w:ilvl w:val="0"/>
          <w:numId w:val="8"/>
        </w:numPr>
        <w:spacing w:after="0" w:line="252" w:lineRule="auto"/>
        <w:jc w:val="both"/>
        <w:rPr>
          <w:rFonts w:eastAsia="Calibri" w:cs="Arial"/>
          <w:sz w:val="18"/>
          <w:szCs w:val="18"/>
          <w:lang w:val="en-GB"/>
        </w:rPr>
      </w:pPr>
      <w:r w:rsidRPr="008463F3">
        <w:rPr>
          <w:rFonts w:eastAsia="Calibri" w:cs="Arial"/>
          <w:sz w:val="18"/>
          <w:szCs w:val="18"/>
          <w:lang w:val="en-GB"/>
        </w:rPr>
        <w:t xml:space="preserve">single-site facilities; </w:t>
      </w:r>
    </w:p>
    <w:p w14:paraId="69A69D59" w14:textId="77777777" w:rsidR="007947BF" w:rsidRPr="008463F3" w:rsidRDefault="007947BF" w:rsidP="007947BF">
      <w:pPr>
        <w:pStyle w:val="ListParagraph"/>
        <w:numPr>
          <w:ilvl w:val="0"/>
          <w:numId w:val="8"/>
        </w:numPr>
        <w:spacing w:after="0" w:line="252" w:lineRule="auto"/>
        <w:jc w:val="both"/>
        <w:rPr>
          <w:rFonts w:eastAsia="Calibri" w:cs="Arial"/>
          <w:sz w:val="18"/>
          <w:szCs w:val="18"/>
          <w:lang w:val="en-GB"/>
        </w:rPr>
      </w:pPr>
      <w:r w:rsidRPr="008463F3">
        <w:rPr>
          <w:rFonts w:eastAsia="Calibri" w:cs="Arial"/>
          <w:sz w:val="18"/>
          <w:szCs w:val="18"/>
          <w:lang w:val="en-GB"/>
        </w:rPr>
        <w:t xml:space="preserve">distributed facilities; </w:t>
      </w:r>
    </w:p>
    <w:p w14:paraId="37EF3E58" w14:textId="77777777" w:rsidR="007947BF" w:rsidRPr="008463F3" w:rsidRDefault="007947BF" w:rsidP="007947BF">
      <w:pPr>
        <w:pStyle w:val="ListParagraph"/>
        <w:numPr>
          <w:ilvl w:val="0"/>
          <w:numId w:val="8"/>
        </w:numPr>
        <w:spacing w:after="0" w:line="252" w:lineRule="auto"/>
        <w:jc w:val="both"/>
        <w:rPr>
          <w:rFonts w:eastAsia="Calibri" w:cs="Arial"/>
          <w:sz w:val="18"/>
          <w:szCs w:val="18"/>
          <w:lang w:val="en-GB"/>
        </w:rPr>
      </w:pPr>
      <w:r w:rsidRPr="008463F3">
        <w:rPr>
          <w:rFonts w:eastAsia="Calibri" w:cs="Arial"/>
          <w:sz w:val="18"/>
          <w:szCs w:val="18"/>
          <w:lang w:val="en-GB"/>
        </w:rPr>
        <w:t xml:space="preserve">mobile facilities; </w:t>
      </w:r>
    </w:p>
    <w:p w14:paraId="703775BB" w14:textId="77777777" w:rsidR="007947BF" w:rsidRPr="008463F3" w:rsidRDefault="007947BF" w:rsidP="007947BF">
      <w:pPr>
        <w:pStyle w:val="ListParagraph"/>
        <w:numPr>
          <w:ilvl w:val="0"/>
          <w:numId w:val="8"/>
        </w:numPr>
        <w:spacing w:after="0" w:line="252" w:lineRule="auto"/>
        <w:jc w:val="both"/>
        <w:rPr>
          <w:rFonts w:eastAsia="Calibri" w:cs="Arial"/>
          <w:sz w:val="18"/>
          <w:szCs w:val="18"/>
          <w:lang w:val="en-GB"/>
        </w:rPr>
      </w:pPr>
      <w:r w:rsidRPr="008463F3">
        <w:rPr>
          <w:rFonts w:eastAsia="Calibri" w:cs="Arial"/>
          <w:sz w:val="18"/>
          <w:szCs w:val="18"/>
          <w:lang w:val="en-GB"/>
        </w:rPr>
        <w:t>virtual facilities</w:t>
      </w:r>
    </w:p>
    <w:p w14:paraId="1AAC76E1" w14:textId="77777777" w:rsidR="007947BF" w:rsidRPr="008463F3" w:rsidRDefault="007947BF" w:rsidP="007947BF">
      <w:pPr>
        <w:spacing w:after="0" w:line="240" w:lineRule="auto"/>
        <w:rPr>
          <w:rFonts w:eastAsia="Calibri" w:cs="Arial"/>
          <w:b/>
          <w:lang w:val="en-GB"/>
        </w:rPr>
      </w:pPr>
    </w:p>
    <w:p w14:paraId="65595799" w14:textId="77777777" w:rsidR="007947BF" w:rsidRPr="008463F3" w:rsidRDefault="007947BF" w:rsidP="007947BF">
      <w:pPr>
        <w:jc w:val="both"/>
        <w:rPr>
          <w:b/>
          <w:sz w:val="24"/>
          <w:lang w:val="en-GB"/>
        </w:rPr>
      </w:pPr>
      <w:r w:rsidRPr="008463F3">
        <w:rPr>
          <w:b/>
          <w:sz w:val="24"/>
          <w:lang w:val="en-GB"/>
        </w:rPr>
        <w:t>1.3. Description of Research Infrastructure. Please provide basic information and objectives of the research infrastructure</w:t>
      </w:r>
    </w:p>
    <w:tbl>
      <w:tblPr>
        <w:tblStyle w:val="TableGrid"/>
        <w:tblW w:w="5000" w:type="pct"/>
        <w:tblLook w:val="04A0" w:firstRow="1" w:lastRow="0" w:firstColumn="1" w:lastColumn="0" w:noHBand="0" w:noVBand="1"/>
      </w:tblPr>
      <w:tblGrid>
        <w:gridCol w:w="9062"/>
      </w:tblGrid>
      <w:tr w:rsidR="007947BF" w:rsidRPr="008463F3" w14:paraId="77AFC89A" w14:textId="77777777" w:rsidTr="00DA2AFC">
        <w:tc>
          <w:tcPr>
            <w:tcW w:w="5000" w:type="pct"/>
          </w:tcPr>
          <w:p w14:paraId="2F827BD3" w14:textId="77777777" w:rsidR="007947BF" w:rsidRPr="008463F3" w:rsidRDefault="007947BF" w:rsidP="00DA2AFC">
            <w:pPr>
              <w:pStyle w:val="ListParagraph"/>
              <w:ind w:left="0"/>
              <w:rPr>
                <w:lang w:val="en-GB"/>
              </w:rPr>
            </w:pPr>
          </w:p>
          <w:p w14:paraId="3BD50F11" w14:textId="77777777" w:rsidR="007947BF" w:rsidRPr="008463F3" w:rsidRDefault="007947BF" w:rsidP="00DA2AFC">
            <w:pPr>
              <w:pStyle w:val="ListParagraph"/>
              <w:ind w:left="0"/>
              <w:rPr>
                <w:lang w:val="en-GB"/>
              </w:rPr>
            </w:pPr>
          </w:p>
        </w:tc>
      </w:tr>
    </w:tbl>
    <w:p w14:paraId="2DAFBC73" w14:textId="77777777" w:rsidR="007947BF" w:rsidRPr="008463F3" w:rsidRDefault="007947BF" w:rsidP="007947BF">
      <w:pPr>
        <w:spacing w:after="0"/>
        <w:jc w:val="both"/>
        <w:rPr>
          <w:b/>
          <w:sz w:val="24"/>
          <w:lang w:val="en-GB"/>
        </w:rPr>
      </w:pPr>
    </w:p>
    <w:p w14:paraId="49DD4F09" w14:textId="77777777" w:rsidR="007947BF" w:rsidRPr="008463F3" w:rsidRDefault="007947BF" w:rsidP="007947BF">
      <w:pPr>
        <w:jc w:val="both"/>
        <w:rPr>
          <w:b/>
          <w:sz w:val="24"/>
          <w:lang w:val="en-GB"/>
        </w:rPr>
      </w:pPr>
      <w:r w:rsidRPr="008463F3">
        <w:rPr>
          <w:b/>
          <w:sz w:val="24"/>
          <w:lang w:val="en-GB"/>
        </w:rPr>
        <w:t>1.4. Please list the services provided to research infrastructure users</w:t>
      </w:r>
    </w:p>
    <w:tbl>
      <w:tblPr>
        <w:tblStyle w:val="TableGrid"/>
        <w:tblW w:w="5000" w:type="pct"/>
        <w:tblLook w:val="04A0" w:firstRow="1" w:lastRow="0" w:firstColumn="1" w:lastColumn="0" w:noHBand="0" w:noVBand="1"/>
      </w:tblPr>
      <w:tblGrid>
        <w:gridCol w:w="9062"/>
      </w:tblGrid>
      <w:tr w:rsidR="007947BF" w:rsidRPr="008463F3" w14:paraId="670FE166" w14:textId="77777777" w:rsidTr="00DA2AFC">
        <w:tc>
          <w:tcPr>
            <w:tcW w:w="5000" w:type="pct"/>
          </w:tcPr>
          <w:p w14:paraId="4A2DDC25" w14:textId="77777777" w:rsidR="007947BF" w:rsidRPr="008463F3" w:rsidRDefault="007947BF" w:rsidP="00DA2AFC">
            <w:pPr>
              <w:pStyle w:val="ListParagraph"/>
              <w:ind w:left="0"/>
              <w:rPr>
                <w:lang w:val="en-GB"/>
              </w:rPr>
            </w:pPr>
          </w:p>
          <w:p w14:paraId="5C63430B" w14:textId="77777777" w:rsidR="007947BF" w:rsidRPr="008463F3" w:rsidRDefault="007947BF" w:rsidP="00DA2AFC">
            <w:pPr>
              <w:pStyle w:val="ListParagraph"/>
              <w:ind w:left="0"/>
              <w:rPr>
                <w:lang w:val="en-GB"/>
              </w:rPr>
            </w:pPr>
          </w:p>
        </w:tc>
      </w:tr>
    </w:tbl>
    <w:p w14:paraId="6746EF2D" w14:textId="77777777" w:rsidR="007947BF" w:rsidRPr="008463F3" w:rsidRDefault="007947BF" w:rsidP="007947BF">
      <w:pPr>
        <w:pStyle w:val="ListParagraph"/>
        <w:rPr>
          <w:lang w:val="en-GB"/>
        </w:rPr>
      </w:pPr>
    </w:p>
    <w:p w14:paraId="27528B7C" w14:textId="77777777" w:rsidR="007947BF" w:rsidRPr="008463F3" w:rsidRDefault="007947BF" w:rsidP="007947BF">
      <w:pPr>
        <w:jc w:val="both"/>
        <w:rPr>
          <w:b/>
          <w:sz w:val="28"/>
          <w:lang w:val="en-GB"/>
        </w:rPr>
      </w:pPr>
      <w:r w:rsidRPr="008463F3">
        <w:rPr>
          <w:b/>
          <w:sz w:val="28"/>
          <w:lang w:val="en-GB"/>
        </w:rPr>
        <w:t xml:space="preserve">2. Data on research equipment </w:t>
      </w:r>
    </w:p>
    <w:p w14:paraId="24BDCA5F" w14:textId="77777777" w:rsidR="007947BF" w:rsidRPr="008463F3" w:rsidRDefault="007947BF" w:rsidP="007947BF">
      <w:pPr>
        <w:rPr>
          <w:b/>
          <w:sz w:val="24"/>
          <w:lang w:val="en-GB"/>
        </w:rPr>
      </w:pPr>
      <w:r w:rsidRPr="008463F3">
        <w:rPr>
          <w:b/>
          <w:sz w:val="24"/>
          <w:lang w:val="en-GB"/>
        </w:rPr>
        <w:t>2.1. Estimated value of research equipment</w:t>
      </w:r>
    </w:p>
    <w:tbl>
      <w:tblPr>
        <w:tblW w:w="5000" w:type="pct"/>
        <w:tblInd w:w="108" w:type="dxa"/>
        <w:tblLook w:val="04A0" w:firstRow="1" w:lastRow="0" w:firstColumn="1" w:lastColumn="0" w:noHBand="0" w:noVBand="1"/>
      </w:tblPr>
      <w:tblGrid>
        <w:gridCol w:w="222"/>
        <w:gridCol w:w="4225"/>
        <w:gridCol w:w="1668"/>
        <w:gridCol w:w="925"/>
        <w:gridCol w:w="1375"/>
        <w:gridCol w:w="719"/>
      </w:tblGrid>
      <w:tr w:rsidR="007947BF" w:rsidRPr="008463F3" w14:paraId="2491DAEF" w14:textId="77777777" w:rsidTr="00DA2AFC">
        <w:trPr>
          <w:gridAfter w:val="3"/>
          <w:wAfter w:w="3019" w:type="dxa"/>
        </w:trPr>
        <w:tc>
          <w:tcPr>
            <w:tcW w:w="6115" w:type="dxa"/>
            <w:gridSpan w:val="3"/>
            <w:tcBorders>
              <w:top w:val="nil"/>
              <w:left w:val="nil"/>
              <w:bottom w:val="nil"/>
              <w:right w:val="nil"/>
            </w:tcBorders>
            <w:shd w:val="clear" w:color="auto" w:fill="auto"/>
            <w:noWrap/>
            <w:vAlign w:val="bottom"/>
            <w:hideMark/>
          </w:tcPr>
          <w:p w14:paraId="20096C70" w14:textId="77777777" w:rsidR="007947BF" w:rsidRPr="008463F3" w:rsidRDefault="007947BF" w:rsidP="00DA2AFC">
            <w:pPr>
              <w:spacing w:after="0" w:line="240" w:lineRule="auto"/>
              <w:rPr>
                <w:rFonts w:eastAsia="Times New Roman" w:cs="Arial"/>
                <w:b/>
                <w:sz w:val="20"/>
                <w:szCs w:val="20"/>
                <w:lang w:val="en-GB" w:eastAsia="en-GB"/>
              </w:rPr>
            </w:pPr>
            <w:r w:rsidRPr="008463F3">
              <w:rPr>
                <w:rFonts w:eastAsia="Times New Roman" w:cs="Arial"/>
                <w:b/>
                <w:sz w:val="20"/>
                <w:szCs w:val="20"/>
                <w:lang w:val="en-GB" w:eastAsia="en-GB"/>
              </w:rPr>
              <w:t>Total estimated value of research capital equipment (in EUR):</w:t>
            </w:r>
          </w:p>
        </w:tc>
      </w:tr>
      <w:tr w:rsidR="007947BF" w:rsidRPr="008463F3" w14:paraId="3A2B151E" w14:textId="77777777" w:rsidTr="00DA2AFC">
        <w:tc>
          <w:tcPr>
            <w:tcW w:w="9134" w:type="dxa"/>
            <w:gridSpan w:val="6"/>
            <w:tcBorders>
              <w:top w:val="nil"/>
              <w:left w:val="nil"/>
              <w:bottom w:val="nil"/>
              <w:right w:val="nil"/>
            </w:tcBorders>
            <w:shd w:val="clear" w:color="auto" w:fill="auto"/>
            <w:noWrap/>
            <w:vAlign w:val="bottom"/>
          </w:tcPr>
          <w:p w14:paraId="0A88B8ED" w14:textId="77777777" w:rsidR="007947BF" w:rsidRPr="008463F3" w:rsidRDefault="007947BF" w:rsidP="00DA2AFC">
            <w:pPr>
              <w:spacing w:after="0" w:line="240" w:lineRule="auto"/>
              <w:rPr>
                <w:rFonts w:eastAsia="Times New Roman" w:cs="Arial"/>
                <w:b/>
                <w:sz w:val="12"/>
                <w:szCs w:val="20"/>
                <w:lang w:val="en-GB" w:eastAsia="en-GB"/>
              </w:rPr>
            </w:pPr>
          </w:p>
        </w:tc>
      </w:tr>
      <w:tr w:rsidR="007947BF" w:rsidRPr="008463F3" w14:paraId="704ECDC5" w14:textId="77777777" w:rsidTr="00DA2AFC">
        <w:trPr>
          <w:trHeight w:val="264"/>
        </w:trPr>
        <w:tc>
          <w:tcPr>
            <w:tcW w:w="222" w:type="dxa"/>
            <w:tcBorders>
              <w:top w:val="nil"/>
              <w:left w:val="nil"/>
              <w:bottom w:val="nil"/>
              <w:right w:val="nil"/>
            </w:tcBorders>
            <w:shd w:val="clear" w:color="auto" w:fill="auto"/>
            <w:noWrap/>
            <w:vAlign w:val="bottom"/>
            <w:hideMark/>
          </w:tcPr>
          <w:p w14:paraId="21D60282" w14:textId="77777777" w:rsidR="007947BF" w:rsidRPr="008463F3" w:rsidRDefault="007947BF" w:rsidP="00DA2AFC">
            <w:pPr>
              <w:spacing w:after="0" w:line="240" w:lineRule="auto"/>
              <w:rPr>
                <w:rFonts w:eastAsia="Times New Roman" w:cs="Arial"/>
                <w:sz w:val="20"/>
                <w:szCs w:val="20"/>
                <w:lang w:val="en-GB" w:eastAsia="en-GB"/>
              </w:rPr>
            </w:pPr>
          </w:p>
        </w:tc>
        <w:tc>
          <w:tcPr>
            <w:tcW w:w="4225" w:type="dxa"/>
            <w:tcBorders>
              <w:top w:val="nil"/>
              <w:left w:val="nil"/>
              <w:bottom w:val="nil"/>
              <w:right w:val="single" w:sz="4" w:space="0" w:color="808080"/>
            </w:tcBorders>
            <w:shd w:val="clear" w:color="auto" w:fill="auto"/>
            <w:noWrap/>
            <w:vAlign w:val="bottom"/>
            <w:hideMark/>
          </w:tcPr>
          <w:p w14:paraId="2A2AEA34" w14:textId="77777777" w:rsidR="007947BF" w:rsidRPr="008463F3" w:rsidRDefault="007947BF" w:rsidP="00DA2AFC">
            <w:pPr>
              <w:spacing w:after="0" w:line="240" w:lineRule="auto"/>
              <w:rPr>
                <w:rFonts w:eastAsia="Times New Roman" w:cs="Arial"/>
                <w:sz w:val="20"/>
                <w:szCs w:val="20"/>
                <w:lang w:val="en-GB" w:eastAsia="en-GB"/>
              </w:rPr>
            </w:pPr>
            <w:r w:rsidRPr="008463F3">
              <w:rPr>
                <w:rFonts w:eastAsia="Times New Roman" w:cs="Arial"/>
                <w:sz w:val="20"/>
                <w:szCs w:val="20"/>
                <w:lang w:val="en-GB" w:eastAsia="en-GB"/>
              </w:rPr>
              <w:t>– purchase value:</w:t>
            </w:r>
          </w:p>
        </w:tc>
        <w:tc>
          <w:tcPr>
            <w:tcW w:w="1668" w:type="dxa"/>
            <w:tcBorders>
              <w:top w:val="single" w:sz="4" w:space="0" w:color="808080"/>
              <w:left w:val="nil"/>
              <w:bottom w:val="single" w:sz="4" w:space="0" w:color="808080"/>
              <w:right w:val="single" w:sz="4" w:space="0" w:color="808080"/>
            </w:tcBorders>
            <w:shd w:val="clear" w:color="auto" w:fill="auto"/>
            <w:vAlign w:val="bottom"/>
          </w:tcPr>
          <w:p w14:paraId="4B67907A" w14:textId="77777777" w:rsidR="007947BF" w:rsidRPr="008463F3" w:rsidRDefault="007947BF" w:rsidP="00DA2AFC">
            <w:pPr>
              <w:spacing w:after="0" w:line="240" w:lineRule="auto"/>
              <w:jc w:val="center"/>
              <w:rPr>
                <w:rFonts w:eastAsia="Times New Roman" w:cs="Arial"/>
                <w:sz w:val="16"/>
                <w:szCs w:val="16"/>
                <w:lang w:val="en-GB" w:eastAsia="en-GB"/>
              </w:rPr>
            </w:pPr>
          </w:p>
        </w:tc>
        <w:tc>
          <w:tcPr>
            <w:tcW w:w="925" w:type="dxa"/>
            <w:tcBorders>
              <w:top w:val="nil"/>
              <w:left w:val="nil"/>
              <w:bottom w:val="nil"/>
              <w:right w:val="nil"/>
            </w:tcBorders>
            <w:shd w:val="clear" w:color="auto" w:fill="auto"/>
            <w:noWrap/>
            <w:vAlign w:val="bottom"/>
            <w:hideMark/>
          </w:tcPr>
          <w:p w14:paraId="5F1E6C03" w14:textId="77777777" w:rsidR="007947BF" w:rsidRPr="008463F3" w:rsidRDefault="007947BF" w:rsidP="00DA2AFC">
            <w:pPr>
              <w:spacing w:after="0" w:line="240" w:lineRule="auto"/>
              <w:rPr>
                <w:rFonts w:eastAsia="Times New Roman" w:cs="Arial"/>
                <w:sz w:val="20"/>
                <w:szCs w:val="20"/>
                <w:lang w:val="en-GB" w:eastAsia="en-GB"/>
              </w:rPr>
            </w:pPr>
            <w:r w:rsidRPr="008463F3">
              <w:rPr>
                <w:rFonts w:eastAsia="Times New Roman" w:cs="Arial"/>
                <w:sz w:val="20"/>
                <w:szCs w:val="20"/>
                <w:lang w:val="en-GB" w:eastAsia="en-GB"/>
              </w:rPr>
              <w:t>EUR</w:t>
            </w:r>
          </w:p>
        </w:tc>
        <w:tc>
          <w:tcPr>
            <w:tcW w:w="1375" w:type="dxa"/>
            <w:tcBorders>
              <w:top w:val="nil"/>
              <w:left w:val="nil"/>
              <w:bottom w:val="nil"/>
              <w:right w:val="nil"/>
            </w:tcBorders>
            <w:shd w:val="clear" w:color="auto" w:fill="auto"/>
            <w:noWrap/>
            <w:vAlign w:val="bottom"/>
            <w:hideMark/>
          </w:tcPr>
          <w:p w14:paraId="2D22AB2C" w14:textId="77777777" w:rsidR="007947BF" w:rsidRPr="008463F3" w:rsidRDefault="007947BF" w:rsidP="00DA2AFC">
            <w:pPr>
              <w:spacing w:after="0" w:line="240" w:lineRule="auto"/>
              <w:rPr>
                <w:rFonts w:eastAsia="Times New Roman" w:cs="Arial"/>
                <w:sz w:val="20"/>
                <w:szCs w:val="20"/>
                <w:lang w:val="en-GB" w:eastAsia="en-GB"/>
              </w:rPr>
            </w:pPr>
          </w:p>
        </w:tc>
        <w:tc>
          <w:tcPr>
            <w:tcW w:w="719" w:type="dxa"/>
            <w:tcBorders>
              <w:top w:val="nil"/>
              <w:left w:val="nil"/>
              <w:bottom w:val="nil"/>
              <w:right w:val="nil"/>
            </w:tcBorders>
            <w:shd w:val="clear" w:color="auto" w:fill="auto"/>
            <w:noWrap/>
            <w:vAlign w:val="bottom"/>
            <w:hideMark/>
          </w:tcPr>
          <w:p w14:paraId="260D8908" w14:textId="77777777" w:rsidR="007947BF" w:rsidRPr="008463F3" w:rsidRDefault="007947BF" w:rsidP="00DA2AFC">
            <w:pPr>
              <w:spacing w:after="0" w:line="240" w:lineRule="auto"/>
              <w:rPr>
                <w:rFonts w:eastAsia="Times New Roman" w:cs="Arial"/>
                <w:sz w:val="20"/>
                <w:szCs w:val="20"/>
                <w:lang w:val="en-GB" w:eastAsia="en-GB"/>
              </w:rPr>
            </w:pPr>
          </w:p>
        </w:tc>
      </w:tr>
      <w:tr w:rsidR="007947BF" w:rsidRPr="008463F3" w14:paraId="187E52B6" w14:textId="77777777" w:rsidTr="00DA2AFC">
        <w:tc>
          <w:tcPr>
            <w:tcW w:w="9134" w:type="dxa"/>
            <w:gridSpan w:val="6"/>
            <w:tcBorders>
              <w:top w:val="nil"/>
              <w:left w:val="nil"/>
              <w:bottom w:val="nil"/>
              <w:right w:val="nil"/>
            </w:tcBorders>
            <w:shd w:val="clear" w:color="auto" w:fill="auto"/>
            <w:noWrap/>
            <w:vAlign w:val="bottom"/>
            <w:hideMark/>
          </w:tcPr>
          <w:p w14:paraId="1A3904EA" w14:textId="77777777" w:rsidR="007947BF" w:rsidRPr="008463F3" w:rsidRDefault="007947BF" w:rsidP="00DA2AFC">
            <w:pPr>
              <w:spacing w:after="0" w:line="240" w:lineRule="auto"/>
              <w:rPr>
                <w:rFonts w:eastAsia="Times New Roman" w:cs="Arial"/>
                <w:sz w:val="8"/>
                <w:szCs w:val="20"/>
                <w:lang w:val="en-GB" w:eastAsia="en-GB"/>
              </w:rPr>
            </w:pPr>
          </w:p>
        </w:tc>
      </w:tr>
      <w:tr w:rsidR="007947BF" w:rsidRPr="008463F3" w14:paraId="09277EAB" w14:textId="77777777" w:rsidTr="00DA2AFC">
        <w:trPr>
          <w:trHeight w:val="264"/>
        </w:trPr>
        <w:tc>
          <w:tcPr>
            <w:tcW w:w="222" w:type="dxa"/>
            <w:tcBorders>
              <w:top w:val="nil"/>
              <w:left w:val="nil"/>
              <w:bottom w:val="nil"/>
              <w:right w:val="nil"/>
            </w:tcBorders>
            <w:shd w:val="clear" w:color="auto" w:fill="auto"/>
            <w:noWrap/>
            <w:vAlign w:val="bottom"/>
            <w:hideMark/>
          </w:tcPr>
          <w:p w14:paraId="4137D174" w14:textId="77777777" w:rsidR="007947BF" w:rsidRPr="008463F3" w:rsidRDefault="007947BF" w:rsidP="00DA2AFC">
            <w:pPr>
              <w:spacing w:after="0" w:line="240" w:lineRule="auto"/>
              <w:rPr>
                <w:rFonts w:eastAsia="Times New Roman" w:cs="Arial"/>
                <w:sz w:val="20"/>
                <w:szCs w:val="20"/>
                <w:lang w:val="en-GB" w:eastAsia="en-GB"/>
              </w:rPr>
            </w:pPr>
          </w:p>
        </w:tc>
        <w:tc>
          <w:tcPr>
            <w:tcW w:w="4225" w:type="dxa"/>
            <w:tcBorders>
              <w:top w:val="nil"/>
              <w:left w:val="nil"/>
              <w:bottom w:val="nil"/>
              <w:right w:val="nil"/>
            </w:tcBorders>
            <w:shd w:val="clear" w:color="auto" w:fill="auto"/>
            <w:noWrap/>
            <w:vAlign w:val="bottom"/>
            <w:hideMark/>
          </w:tcPr>
          <w:p w14:paraId="156B37F8" w14:textId="77777777" w:rsidR="007947BF" w:rsidRPr="008463F3" w:rsidRDefault="007947BF" w:rsidP="00DA2AFC">
            <w:pPr>
              <w:spacing w:after="0" w:line="240" w:lineRule="auto"/>
              <w:rPr>
                <w:rFonts w:eastAsia="Times New Roman" w:cs="Arial"/>
                <w:sz w:val="20"/>
                <w:szCs w:val="20"/>
                <w:lang w:val="en-GB" w:eastAsia="en-GB"/>
              </w:rPr>
            </w:pPr>
            <w:r w:rsidRPr="008463F3">
              <w:rPr>
                <w:rFonts w:eastAsia="Times New Roman" w:cs="Arial"/>
                <w:sz w:val="20"/>
                <w:szCs w:val="20"/>
                <w:lang w:val="en-GB" w:eastAsia="en-GB"/>
              </w:rPr>
              <w:t>– current value (amorti</w:t>
            </w:r>
            <w:r>
              <w:rPr>
                <w:rFonts w:eastAsia="Times New Roman" w:cs="Arial"/>
                <w:sz w:val="20"/>
                <w:szCs w:val="20"/>
                <w:lang w:val="en-GB" w:eastAsia="en-GB"/>
              </w:rPr>
              <w:t>s</w:t>
            </w:r>
            <w:r w:rsidRPr="008463F3">
              <w:rPr>
                <w:rFonts w:eastAsia="Times New Roman" w:cs="Arial"/>
                <w:sz w:val="20"/>
                <w:szCs w:val="20"/>
                <w:lang w:val="en-GB" w:eastAsia="en-GB"/>
              </w:rPr>
              <w:t>ation):</w:t>
            </w:r>
          </w:p>
        </w:tc>
        <w:tc>
          <w:tcPr>
            <w:tcW w:w="1668" w:type="dxa"/>
            <w:tcBorders>
              <w:top w:val="single" w:sz="4" w:space="0" w:color="808080"/>
              <w:left w:val="single" w:sz="4" w:space="0" w:color="808080"/>
              <w:bottom w:val="single" w:sz="4" w:space="0" w:color="808080"/>
              <w:right w:val="single" w:sz="4" w:space="0" w:color="808080"/>
            </w:tcBorders>
            <w:shd w:val="clear" w:color="auto" w:fill="auto"/>
            <w:vAlign w:val="bottom"/>
          </w:tcPr>
          <w:p w14:paraId="4D4EDCFD" w14:textId="77777777" w:rsidR="007947BF" w:rsidRPr="008463F3" w:rsidRDefault="007947BF" w:rsidP="00DA2AFC">
            <w:pPr>
              <w:spacing w:after="0" w:line="240" w:lineRule="auto"/>
              <w:jc w:val="center"/>
              <w:rPr>
                <w:rFonts w:eastAsia="Times New Roman" w:cs="Arial"/>
                <w:sz w:val="16"/>
                <w:szCs w:val="16"/>
                <w:lang w:val="en-GB" w:eastAsia="en-GB"/>
              </w:rPr>
            </w:pPr>
          </w:p>
        </w:tc>
        <w:tc>
          <w:tcPr>
            <w:tcW w:w="925" w:type="dxa"/>
            <w:tcBorders>
              <w:top w:val="nil"/>
              <w:left w:val="nil"/>
              <w:bottom w:val="nil"/>
              <w:right w:val="nil"/>
            </w:tcBorders>
            <w:shd w:val="clear" w:color="auto" w:fill="auto"/>
            <w:noWrap/>
            <w:vAlign w:val="bottom"/>
            <w:hideMark/>
          </w:tcPr>
          <w:p w14:paraId="6580C314" w14:textId="77777777" w:rsidR="007947BF" w:rsidRPr="008463F3" w:rsidRDefault="007947BF" w:rsidP="00DA2AFC">
            <w:pPr>
              <w:spacing w:after="0" w:line="240" w:lineRule="auto"/>
              <w:rPr>
                <w:rFonts w:eastAsia="Times New Roman" w:cs="Arial"/>
                <w:sz w:val="20"/>
                <w:szCs w:val="20"/>
                <w:lang w:val="en-GB" w:eastAsia="en-GB"/>
              </w:rPr>
            </w:pPr>
            <w:r w:rsidRPr="008463F3">
              <w:rPr>
                <w:rFonts w:eastAsia="Times New Roman" w:cs="Arial"/>
                <w:sz w:val="20"/>
                <w:szCs w:val="20"/>
                <w:lang w:val="en-GB" w:eastAsia="en-GB"/>
              </w:rPr>
              <w:t>EUR</w:t>
            </w:r>
          </w:p>
        </w:tc>
        <w:tc>
          <w:tcPr>
            <w:tcW w:w="1375" w:type="dxa"/>
            <w:tcBorders>
              <w:top w:val="nil"/>
              <w:left w:val="nil"/>
              <w:bottom w:val="nil"/>
              <w:right w:val="nil"/>
            </w:tcBorders>
            <w:shd w:val="clear" w:color="auto" w:fill="auto"/>
            <w:noWrap/>
            <w:vAlign w:val="bottom"/>
            <w:hideMark/>
          </w:tcPr>
          <w:p w14:paraId="17C8C90F" w14:textId="77777777" w:rsidR="007947BF" w:rsidRPr="008463F3" w:rsidRDefault="007947BF" w:rsidP="00DA2AFC">
            <w:pPr>
              <w:spacing w:after="0" w:line="240" w:lineRule="auto"/>
              <w:rPr>
                <w:rFonts w:eastAsia="Times New Roman" w:cs="Arial"/>
                <w:sz w:val="20"/>
                <w:szCs w:val="20"/>
                <w:lang w:val="en-GB" w:eastAsia="en-GB"/>
              </w:rPr>
            </w:pPr>
          </w:p>
        </w:tc>
        <w:tc>
          <w:tcPr>
            <w:tcW w:w="719" w:type="dxa"/>
            <w:tcBorders>
              <w:top w:val="nil"/>
              <w:left w:val="nil"/>
              <w:bottom w:val="nil"/>
              <w:right w:val="nil"/>
            </w:tcBorders>
            <w:shd w:val="clear" w:color="auto" w:fill="auto"/>
            <w:noWrap/>
            <w:vAlign w:val="bottom"/>
            <w:hideMark/>
          </w:tcPr>
          <w:p w14:paraId="0CD6026B" w14:textId="77777777" w:rsidR="007947BF" w:rsidRPr="008463F3" w:rsidRDefault="007947BF" w:rsidP="00DA2AFC">
            <w:pPr>
              <w:spacing w:after="0" w:line="240" w:lineRule="auto"/>
              <w:rPr>
                <w:rFonts w:eastAsia="Times New Roman" w:cs="Arial"/>
                <w:sz w:val="20"/>
                <w:szCs w:val="20"/>
                <w:lang w:val="en-GB" w:eastAsia="en-GB"/>
              </w:rPr>
            </w:pPr>
          </w:p>
        </w:tc>
      </w:tr>
    </w:tbl>
    <w:p w14:paraId="4B3317A6" w14:textId="77777777" w:rsidR="007947BF" w:rsidRPr="008463F3" w:rsidRDefault="007947BF" w:rsidP="007947BF">
      <w:pPr>
        <w:spacing w:after="0" w:line="240" w:lineRule="auto"/>
        <w:rPr>
          <w:rFonts w:eastAsia="Calibri" w:cs="Arial"/>
          <w:b/>
          <w:sz w:val="24"/>
          <w:lang w:val="en-GB"/>
        </w:rPr>
      </w:pPr>
    </w:p>
    <w:p w14:paraId="021F179F" w14:textId="77777777" w:rsidR="007947BF" w:rsidRPr="008463F3" w:rsidRDefault="007947BF" w:rsidP="007947BF">
      <w:pPr>
        <w:rPr>
          <w:b/>
          <w:sz w:val="24"/>
          <w:lang w:val="en-GB"/>
        </w:rPr>
      </w:pPr>
      <w:r w:rsidRPr="008463F3">
        <w:rPr>
          <w:b/>
          <w:sz w:val="24"/>
          <w:lang w:val="en-GB"/>
        </w:rPr>
        <w:t xml:space="preserve">2.2. List of capital equipment at purchase price higher than EUR 50.000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471"/>
        <w:gridCol w:w="2650"/>
        <w:gridCol w:w="990"/>
        <w:gridCol w:w="990"/>
        <w:gridCol w:w="1390"/>
        <w:gridCol w:w="1447"/>
        <w:gridCol w:w="1124"/>
      </w:tblGrid>
      <w:tr w:rsidR="007947BF" w:rsidRPr="008463F3" w14:paraId="11532706" w14:textId="77777777" w:rsidTr="00DA2AFC">
        <w:trPr>
          <w:jc w:val="center"/>
        </w:trPr>
        <w:tc>
          <w:tcPr>
            <w:tcW w:w="471" w:type="dxa"/>
            <w:shd w:val="clear" w:color="auto" w:fill="auto"/>
            <w:noWrap/>
            <w:vAlign w:val="bottom"/>
          </w:tcPr>
          <w:p w14:paraId="7DD9D9D8" w14:textId="77777777" w:rsidR="007947BF" w:rsidRPr="008463F3" w:rsidRDefault="007947BF" w:rsidP="00DA2AFC">
            <w:pPr>
              <w:spacing w:after="0" w:line="240" w:lineRule="auto"/>
              <w:rPr>
                <w:rFonts w:eastAsia="Times New Roman" w:cs="Arial"/>
                <w:b/>
                <w:sz w:val="20"/>
                <w:szCs w:val="16"/>
                <w:lang w:val="en-GB" w:eastAsia="en-GB"/>
              </w:rPr>
            </w:pPr>
          </w:p>
        </w:tc>
        <w:tc>
          <w:tcPr>
            <w:tcW w:w="2650" w:type="dxa"/>
            <w:shd w:val="clear" w:color="auto" w:fill="auto"/>
          </w:tcPr>
          <w:p w14:paraId="29871E52" w14:textId="77777777" w:rsidR="007947BF" w:rsidRPr="008463F3" w:rsidRDefault="007947BF" w:rsidP="00DA2AFC">
            <w:pPr>
              <w:spacing w:after="0" w:line="240" w:lineRule="auto"/>
              <w:rPr>
                <w:rFonts w:eastAsia="Times New Roman" w:cs="Arial"/>
                <w:b/>
                <w:sz w:val="20"/>
                <w:szCs w:val="16"/>
                <w:lang w:val="en-GB" w:eastAsia="en-GB"/>
              </w:rPr>
            </w:pPr>
            <w:r w:rsidRPr="008463F3">
              <w:rPr>
                <w:rFonts w:eastAsia="Times New Roman" w:cs="Arial"/>
                <w:b/>
                <w:sz w:val="20"/>
                <w:szCs w:val="16"/>
                <w:lang w:val="en-GB" w:eastAsia="en-GB"/>
              </w:rPr>
              <w:t>Name of research equipment</w:t>
            </w:r>
          </w:p>
        </w:tc>
        <w:tc>
          <w:tcPr>
            <w:tcW w:w="990" w:type="dxa"/>
          </w:tcPr>
          <w:p w14:paraId="3FA2FB18" w14:textId="77777777" w:rsidR="007947BF" w:rsidRPr="008463F3" w:rsidRDefault="007947BF" w:rsidP="00DA2AFC">
            <w:pPr>
              <w:spacing w:after="0" w:line="240" w:lineRule="auto"/>
              <w:rPr>
                <w:rFonts w:eastAsia="Times New Roman" w:cs="Arial"/>
                <w:b/>
                <w:sz w:val="20"/>
                <w:szCs w:val="16"/>
                <w:lang w:val="en-GB" w:eastAsia="en-GB"/>
              </w:rPr>
            </w:pPr>
            <w:r w:rsidRPr="008463F3">
              <w:rPr>
                <w:rFonts w:eastAsia="Times New Roman" w:cs="Arial"/>
                <w:b/>
                <w:sz w:val="20"/>
                <w:szCs w:val="16"/>
                <w:lang w:val="en-GB" w:eastAsia="en-GB"/>
              </w:rPr>
              <w:t>Purchase Price (EUR)</w:t>
            </w:r>
          </w:p>
        </w:tc>
        <w:tc>
          <w:tcPr>
            <w:tcW w:w="990" w:type="dxa"/>
            <w:shd w:val="clear" w:color="auto" w:fill="auto"/>
          </w:tcPr>
          <w:p w14:paraId="6A87903F" w14:textId="77777777" w:rsidR="007947BF" w:rsidRPr="008463F3" w:rsidRDefault="007947BF" w:rsidP="00DA2AFC">
            <w:pPr>
              <w:spacing w:after="0" w:line="240" w:lineRule="auto"/>
              <w:rPr>
                <w:rFonts w:eastAsia="Times New Roman" w:cs="Arial"/>
                <w:b/>
                <w:sz w:val="20"/>
                <w:szCs w:val="16"/>
                <w:lang w:val="en-GB" w:eastAsia="en-GB"/>
              </w:rPr>
            </w:pPr>
            <w:r w:rsidRPr="008463F3">
              <w:rPr>
                <w:rFonts w:eastAsia="Times New Roman" w:cs="Arial"/>
                <w:b/>
                <w:sz w:val="20"/>
                <w:szCs w:val="16"/>
                <w:lang w:val="en-GB" w:eastAsia="en-GB"/>
              </w:rPr>
              <w:t>Year of Purchase</w:t>
            </w:r>
          </w:p>
        </w:tc>
        <w:tc>
          <w:tcPr>
            <w:tcW w:w="1390" w:type="dxa"/>
            <w:shd w:val="clear" w:color="auto" w:fill="auto"/>
          </w:tcPr>
          <w:p w14:paraId="6DB5BA7E" w14:textId="77777777" w:rsidR="007947BF" w:rsidRPr="008463F3" w:rsidRDefault="007947BF" w:rsidP="00DA2AFC">
            <w:pPr>
              <w:spacing w:after="0" w:line="240" w:lineRule="auto"/>
              <w:rPr>
                <w:rFonts w:eastAsia="Times New Roman" w:cs="Arial"/>
                <w:b/>
                <w:sz w:val="20"/>
                <w:szCs w:val="16"/>
                <w:lang w:val="en-GB" w:eastAsia="en-GB"/>
              </w:rPr>
            </w:pPr>
            <w:r w:rsidRPr="008463F3">
              <w:rPr>
                <w:rFonts w:eastAsia="Times New Roman" w:cs="Arial"/>
                <w:b/>
                <w:sz w:val="20"/>
                <w:szCs w:val="16"/>
                <w:lang w:val="en-GB" w:eastAsia="en-GB"/>
              </w:rPr>
              <w:t>The source of funds for the purchase of equipment</w:t>
            </w:r>
          </w:p>
        </w:tc>
        <w:tc>
          <w:tcPr>
            <w:tcW w:w="1447" w:type="dxa"/>
          </w:tcPr>
          <w:p w14:paraId="6FC06C68" w14:textId="77777777" w:rsidR="007947BF" w:rsidRPr="008463F3" w:rsidRDefault="007947BF" w:rsidP="00DA2AFC">
            <w:pPr>
              <w:spacing w:after="0"/>
              <w:rPr>
                <w:rFonts w:eastAsia="Times New Roman" w:cs="Arial"/>
                <w:b/>
                <w:sz w:val="20"/>
                <w:szCs w:val="16"/>
                <w:lang w:val="en-GB" w:eastAsia="en-GB"/>
              </w:rPr>
            </w:pPr>
            <w:r w:rsidRPr="008463F3">
              <w:rPr>
                <w:b/>
                <w:sz w:val="20"/>
                <w:szCs w:val="20"/>
                <w:lang w:val="en-GB"/>
              </w:rPr>
              <w:t>Estimated Duration of Equipment (yrs.)</w:t>
            </w:r>
          </w:p>
        </w:tc>
        <w:tc>
          <w:tcPr>
            <w:tcW w:w="1124" w:type="dxa"/>
          </w:tcPr>
          <w:p w14:paraId="440BBCB4" w14:textId="77777777" w:rsidR="007947BF" w:rsidRPr="008463F3" w:rsidRDefault="007947BF" w:rsidP="00DA2AFC">
            <w:pPr>
              <w:spacing w:after="0" w:line="240" w:lineRule="auto"/>
              <w:rPr>
                <w:rFonts w:eastAsia="Times New Roman" w:cs="Arial"/>
                <w:b/>
                <w:sz w:val="20"/>
                <w:szCs w:val="16"/>
                <w:lang w:val="en-GB" w:eastAsia="en-GB"/>
              </w:rPr>
            </w:pPr>
            <w:r w:rsidRPr="008463F3">
              <w:rPr>
                <w:rFonts w:eastAsia="Times New Roman" w:cs="Arial"/>
                <w:b/>
                <w:sz w:val="20"/>
                <w:szCs w:val="16"/>
                <w:lang w:val="en-GB" w:eastAsia="en-GB"/>
              </w:rPr>
              <w:t xml:space="preserve">Estimated Number of Users </w:t>
            </w:r>
          </w:p>
        </w:tc>
      </w:tr>
      <w:tr w:rsidR="007947BF" w:rsidRPr="008463F3" w14:paraId="4D7E4599" w14:textId="77777777" w:rsidTr="00DA2AFC">
        <w:trPr>
          <w:jc w:val="center"/>
        </w:trPr>
        <w:tc>
          <w:tcPr>
            <w:tcW w:w="471" w:type="dxa"/>
            <w:shd w:val="clear" w:color="auto" w:fill="auto"/>
            <w:noWrap/>
            <w:vAlign w:val="bottom"/>
          </w:tcPr>
          <w:p w14:paraId="3E0CDEA8" w14:textId="77777777" w:rsidR="007947BF" w:rsidRPr="008463F3" w:rsidRDefault="007947BF" w:rsidP="00DA2AFC">
            <w:pPr>
              <w:spacing w:after="0" w:line="240" w:lineRule="auto"/>
              <w:rPr>
                <w:rFonts w:eastAsia="Times New Roman" w:cs="Arial"/>
                <w:sz w:val="20"/>
                <w:szCs w:val="20"/>
                <w:lang w:val="en-GB" w:eastAsia="en-GB"/>
              </w:rPr>
            </w:pPr>
            <w:r w:rsidRPr="008463F3">
              <w:rPr>
                <w:rFonts w:eastAsia="Times New Roman" w:cs="Arial"/>
                <w:sz w:val="20"/>
                <w:szCs w:val="20"/>
                <w:lang w:val="en-GB" w:eastAsia="en-GB"/>
              </w:rPr>
              <w:t>1.</w:t>
            </w:r>
          </w:p>
        </w:tc>
        <w:tc>
          <w:tcPr>
            <w:tcW w:w="2650" w:type="dxa"/>
            <w:shd w:val="clear" w:color="auto" w:fill="auto"/>
            <w:vAlign w:val="bottom"/>
          </w:tcPr>
          <w:p w14:paraId="0EC6A5D5" w14:textId="77777777" w:rsidR="007947BF" w:rsidRPr="008463F3" w:rsidRDefault="007947BF" w:rsidP="00DA2AFC">
            <w:pPr>
              <w:spacing w:after="0" w:line="240" w:lineRule="auto"/>
              <w:rPr>
                <w:rFonts w:eastAsia="Times New Roman" w:cs="Arial"/>
                <w:sz w:val="20"/>
                <w:szCs w:val="20"/>
                <w:lang w:val="en-GB" w:eastAsia="en-GB"/>
              </w:rPr>
            </w:pPr>
          </w:p>
        </w:tc>
        <w:tc>
          <w:tcPr>
            <w:tcW w:w="990" w:type="dxa"/>
            <w:vAlign w:val="bottom"/>
          </w:tcPr>
          <w:p w14:paraId="75D484D6" w14:textId="77777777" w:rsidR="007947BF" w:rsidRPr="008463F3" w:rsidRDefault="007947BF" w:rsidP="00DA2AFC">
            <w:pPr>
              <w:spacing w:after="0" w:line="240" w:lineRule="auto"/>
              <w:rPr>
                <w:rFonts w:eastAsia="Times New Roman" w:cs="Arial"/>
                <w:sz w:val="20"/>
                <w:szCs w:val="20"/>
                <w:lang w:val="en-GB" w:eastAsia="en-GB"/>
              </w:rPr>
            </w:pPr>
          </w:p>
        </w:tc>
        <w:tc>
          <w:tcPr>
            <w:tcW w:w="990" w:type="dxa"/>
            <w:shd w:val="clear" w:color="auto" w:fill="auto"/>
            <w:vAlign w:val="bottom"/>
          </w:tcPr>
          <w:p w14:paraId="74F9093D" w14:textId="77777777" w:rsidR="007947BF" w:rsidRPr="008463F3" w:rsidRDefault="007947BF" w:rsidP="00DA2AFC">
            <w:pPr>
              <w:spacing w:after="0" w:line="240" w:lineRule="auto"/>
              <w:rPr>
                <w:rFonts w:eastAsia="Times New Roman" w:cs="Arial"/>
                <w:sz w:val="20"/>
                <w:szCs w:val="20"/>
                <w:lang w:val="en-GB" w:eastAsia="en-GB"/>
              </w:rPr>
            </w:pPr>
          </w:p>
        </w:tc>
        <w:tc>
          <w:tcPr>
            <w:tcW w:w="1390" w:type="dxa"/>
            <w:shd w:val="clear" w:color="auto" w:fill="auto"/>
            <w:vAlign w:val="bottom"/>
          </w:tcPr>
          <w:p w14:paraId="10E460F9" w14:textId="77777777" w:rsidR="007947BF" w:rsidRPr="008463F3" w:rsidRDefault="007947BF" w:rsidP="00DA2AFC">
            <w:pPr>
              <w:spacing w:after="0" w:line="240" w:lineRule="auto"/>
              <w:rPr>
                <w:rFonts w:eastAsia="Times New Roman" w:cs="Arial"/>
                <w:sz w:val="20"/>
                <w:szCs w:val="20"/>
                <w:lang w:val="en-GB" w:eastAsia="en-GB"/>
              </w:rPr>
            </w:pPr>
          </w:p>
        </w:tc>
        <w:tc>
          <w:tcPr>
            <w:tcW w:w="1447" w:type="dxa"/>
          </w:tcPr>
          <w:p w14:paraId="2468F505" w14:textId="77777777" w:rsidR="007947BF" w:rsidRPr="008463F3" w:rsidRDefault="007947BF" w:rsidP="00DA2AFC">
            <w:pPr>
              <w:spacing w:after="0" w:line="240" w:lineRule="auto"/>
              <w:rPr>
                <w:rFonts w:eastAsia="Times New Roman" w:cs="Arial"/>
                <w:sz w:val="20"/>
                <w:szCs w:val="20"/>
                <w:lang w:val="en-GB" w:eastAsia="en-GB"/>
              </w:rPr>
            </w:pPr>
          </w:p>
        </w:tc>
        <w:tc>
          <w:tcPr>
            <w:tcW w:w="1124" w:type="dxa"/>
          </w:tcPr>
          <w:p w14:paraId="698C7C02" w14:textId="77777777" w:rsidR="007947BF" w:rsidRPr="008463F3" w:rsidRDefault="007947BF" w:rsidP="00DA2AFC">
            <w:pPr>
              <w:spacing w:after="0" w:line="240" w:lineRule="auto"/>
              <w:rPr>
                <w:rFonts w:eastAsia="Times New Roman" w:cs="Arial"/>
                <w:sz w:val="20"/>
                <w:szCs w:val="20"/>
                <w:lang w:val="en-GB" w:eastAsia="en-GB"/>
              </w:rPr>
            </w:pPr>
          </w:p>
        </w:tc>
      </w:tr>
      <w:tr w:rsidR="007947BF" w:rsidRPr="008463F3" w14:paraId="6D497142" w14:textId="77777777" w:rsidTr="00DA2AFC">
        <w:trPr>
          <w:jc w:val="center"/>
        </w:trPr>
        <w:tc>
          <w:tcPr>
            <w:tcW w:w="471" w:type="dxa"/>
            <w:shd w:val="clear" w:color="auto" w:fill="auto"/>
            <w:noWrap/>
            <w:vAlign w:val="bottom"/>
          </w:tcPr>
          <w:p w14:paraId="0040D581" w14:textId="77777777" w:rsidR="007947BF" w:rsidRPr="008463F3" w:rsidRDefault="007947BF" w:rsidP="00DA2AFC">
            <w:pPr>
              <w:spacing w:after="0" w:line="240" w:lineRule="auto"/>
              <w:rPr>
                <w:rFonts w:eastAsia="Times New Roman" w:cs="Arial"/>
                <w:sz w:val="20"/>
                <w:szCs w:val="20"/>
                <w:lang w:val="en-GB" w:eastAsia="en-GB"/>
              </w:rPr>
            </w:pPr>
            <w:r w:rsidRPr="008463F3">
              <w:rPr>
                <w:rFonts w:eastAsia="Times New Roman" w:cs="Arial"/>
                <w:sz w:val="20"/>
                <w:szCs w:val="20"/>
                <w:lang w:val="en-GB" w:eastAsia="en-GB"/>
              </w:rPr>
              <w:t>2.</w:t>
            </w:r>
          </w:p>
        </w:tc>
        <w:tc>
          <w:tcPr>
            <w:tcW w:w="2650" w:type="dxa"/>
            <w:shd w:val="clear" w:color="auto" w:fill="auto"/>
            <w:vAlign w:val="bottom"/>
          </w:tcPr>
          <w:p w14:paraId="524B5DF3" w14:textId="77777777" w:rsidR="007947BF" w:rsidRPr="008463F3" w:rsidRDefault="007947BF" w:rsidP="00DA2AFC">
            <w:pPr>
              <w:spacing w:after="0" w:line="240" w:lineRule="auto"/>
              <w:rPr>
                <w:rFonts w:eastAsia="Times New Roman" w:cs="Arial"/>
                <w:sz w:val="20"/>
                <w:szCs w:val="20"/>
                <w:lang w:val="en-GB" w:eastAsia="en-GB"/>
              </w:rPr>
            </w:pPr>
          </w:p>
        </w:tc>
        <w:tc>
          <w:tcPr>
            <w:tcW w:w="990" w:type="dxa"/>
            <w:vAlign w:val="bottom"/>
          </w:tcPr>
          <w:p w14:paraId="306013F0" w14:textId="77777777" w:rsidR="007947BF" w:rsidRPr="008463F3" w:rsidRDefault="007947BF" w:rsidP="00DA2AFC">
            <w:pPr>
              <w:spacing w:after="0" w:line="240" w:lineRule="auto"/>
              <w:rPr>
                <w:rFonts w:eastAsia="Times New Roman" w:cs="Arial"/>
                <w:sz w:val="20"/>
                <w:szCs w:val="20"/>
                <w:lang w:val="en-GB" w:eastAsia="en-GB"/>
              </w:rPr>
            </w:pPr>
          </w:p>
        </w:tc>
        <w:tc>
          <w:tcPr>
            <w:tcW w:w="990" w:type="dxa"/>
            <w:shd w:val="clear" w:color="auto" w:fill="auto"/>
            <w:vAlign w:val="bottom"/>
          </w:tcPr>
          <w:p w14:paraId="70E9AC2F" w14:textId="77777777" w:rsidR="007947BF" w:rsidRPr="008463F3" w:rsidRDefault="007947BF" w:rsidP="00DA2AFC">
            <w:pPr>
              <w:spacing w:after="0" w:line="240" w:lineRule="auto"/>
              <w:rPr>
                <w:rFonts w:eastAsia="Times New Roman" w:cs="Arial"/>
                <w:sz w:val="20"/>
                <w:szCs w:val="20"/>
                <w:lang w:val="en-GB" w:eastAsia="en-GB"/>
              </w:rPr>
            </w:pPr>
          </w:p>
        </w:tc>
        <w:tc>
          <w:tcPr>
            <w:tcW w:w="1390" w:type="dxa"/>
            <w:shd w:val="clear" w:color="auto" w:fill="auto"/>
            <w:vAlign w:val="bottom"/>
          </w:tcPr>
          <w:p w14:paraId="4F7F8AA6" w14:textId="77777777" w:rsidR="007947BF" w:rsidRPr="008463F3" w:rsidRDefault="007947BF" w:rsidP="00DA2AFC">
            <w:pPr>
              <w:spacing w:after="0" w:line="240" w:lineRule="auto"/>
              <w:rPr>
                <w:rFonts w:eastAsia="Times New Roman" w:cs="Arial"/>
                <w:sz w:val="20"/>
                <w:szCs w:val="20"/>
                <w:lang w:val="en-GB" w:eastAsia="en-GB"/>
              </w:rPr>
            </w:pPr>
          </w:p>
        </w:tc>
        <w:tc>
          <w:tcPr>
            <w:tcW w:w="1447" w:type="dxa"/>
          </w:tcPr>
          <w:p w14:paraId="6AF6DAA5" w14:textId="77777777" w:rsidR="007947BF" w:rsidRPr="008463F3" w:rsidRDefault="007947BF" w:rsidP="00DA2AFC">
            <w:pPr>
              <w:spacing w:after="0" w:line="240" w:lineRule="auto"/>
              <w:rPr>
                <w:rFonts w:eastAsia="Times New Roman" w:cs="Arial"/>
                <w:sz w:val="20"/>
                <w:szCs w:val="20"/>
                <w:lang w:val="en-GB" w:eastAsia="en-GB"/>
              </w:rPr>
            </w:pPr>
          </w:p>
        </w:tc>
        <w:tc>
          <w:tcPr>
            <w:tcW w:w="1124" w:type="dxa"/>
          </w:tcPr>
          <w:p w14:paraId="1B2ECBB4" w14:textId="77777777" w:rsidR="007947BF" w:rsidRPr="008463F3" w:rsidRDefault="007947BF" w:rsidP="00DA2AFC">
            <w:pPr>
              <w:spacing w:after="0" w:line="240" w:lineRule="auto"/>
              <w:rPr>
                <w:rFonts w:eastAsia="Times New Roman" w:cs="Arial"/>
                <w:sz w:val="20"/>
                <w:szCs w:val="20"/>
                <w:lang w:val="en-GB" w:eastAsia="en-GB"/>
              </w:rPr>
            </w:pPr>
          </w:p>
        </w:tc>
      </w:tr>
      <w:tr w:rsidR="007947BF" w:rsidRPr="008463F3" w14:paraId="4EB30CCB" w14:textId="77777777" w:rsidTr="00DA2AFC">
        <w:trPr>
          <w:jc w:val="center"/>
        </w:trPr>
        <w:tc>
          <w:tcPr>
            <w:tcW w:w="471" w:type="dxa"/>
            <w:shd w:val="clear" w:color="auto" w:fill="auto"/>
            <w:noWrap/>
            <w:vAlign w:val="bottom"/>
          </w:tcPr>
          <w:p w14:paraId="358AEC03" w14:textId="77777777" w:rsidR="007947BF" w:rsidRPr="008463F3" w:rsidRDefault="007947BF" w:rsidP="00DA2AFC">
            <w:pPr>
              <w:spacing w:after="0" w:line="240" w:lineRule="auto"/>
              <w:rPr>
                <w:rFonts w:eastAsia="Times New Roman" w:cs="Arial"/>
                <w:sz w:val="20"/>
                <w:szCs w:val="20"/>
                <w:lang w:val="en-GB" w:eastAsia="en-GB"/>
              </w:rPr>
            </w:pPr>
            <w:r w:rsidRPr="008463F3">
              <w:rPr>
                <w:rFonts w:eastAsia="Times New Roman" w:cs="Arial"/>
                <w:sz w:val="20"/>
                <w:szCs w:val="20"/>
                <w:lang w:val="en-GB" w:eastAsia="en-GB"/>
              </w:rPr>
              <w:t>3.</w:t>
            </w:r>
          </w:p>
        </w:tc>
        <w:tc>
          <w:tcPr>
            <w:tcW w:w="2650" w:type="dxa"/>
            <w:shd w:val="clear" w:color="auto" w:fill="auto"/>
            <w:vAlign w:val="bottom"/>
          </w:tcPr>
          <w:p w14:paraId="2D8CEC75" w14:textId="77777777" w:rsidR="007947BF" w:rsidRPr="008463F3" w:rsidRDefault="007947BF" w:rsidP="00DA2AFC">
            <w:pPr>
              <w:spacing w:after="0" w:line="240" w:lineRule="auto"/>
              <w:rPr>
                <w:rFonts w:eastAsia="Times New Roman" w:cs="Arial"/>
                <w:sz w:val="20"/>
                <w:szCs w:val="20"/>
                <w:lang w:val="en-GB" w:eastAsia="en-GB"/>
              </w:rPr>
            </w:pPr>
          </w:p>
        </w:tc>
        <w:tc>
          <w:tcPr>
            <w:tcW w:w="990" w:type="dxa"/>
            <w:vAlign w:val="bottom"/>
          </w:tcPr>
          <w:p w14:paraId="12581548" w14:textId="77777777" w:rsidR="007947BF" w:rsidRPr="008463F3" w:rsidRDefault="007947BF" w:rsidP="00DA2AFC">
            <w:pPr>
              <w:spacing w:after="0" w:line="240" w:lineRule="auto"/>
              <w:rPr>
                <w:rFonts w:eastAsia="Times New Roman" w:cs="Arial"/>
                <w:sz w:val="20"/>
                <w:szCs w:val="20"/>
                <w:lang w:val="en-GB" w:eastAsia="en-GB"/>
              </w:rPr>
            </w:pPr>
          </w:p>
        </w:tc>
        <w:tc>
          <w:tcPr>
            <w:tcW w:w="990" w:type="dxa"/>
            <w:shd w:val="clear" w:color="auto" w:fill="auto"/>
            <w:vAlign w:val="bottom"/>
          </w:tcPr>
          <w:p w14:paraId="5835174A" w14:textId="77777777" w:rsidR="007947BF" w:rsidRPr="008463F3" w:rsidRDefault="007947BF" w:rsidP="00DA2AFC">
            <w:pPr>
              <w:spacing w:after="0" w:line="240" w:lineRule="auto"/>
              <w:rPr>
                <w:rFonts w:eastAsia="Times New Roman" w:cs="Arial"/>
                <w:sz w:val="20"/>
                <w:szCs w:val="20"/>
                <w:lang w:val="en-GB" w:eastAsia="en-GB"/>
              </w:rPr>
            </w:pPr>
          </w:p>
        </w:tc>
        <w:tc>
          <w:tcPr>
            <w:tcW w:w="1390" w:type="dxa"/>
            <w:shd w:val="clear" w:color="auto" w:fill="auto"/>
            <w:vAlign w:val="bottom"/>
          </w:tcPr>
          <w:p w14:paraId="07CB4B33" w14:textId="77777777" w:rsidR="007947BF" w:rsidRPr="008463F3" w:rsidRDefault="007947BF" w:rsidP="00DA2AFC">
            <w:pPr>
              <w:spacing w:after="0" w:line="240" w:lineRule="auto"/>
              <w:rPr>
                <w:rFonts w:eastAsia="Times New Roman" w:cs="Arial"/>
                <w:sz w:val="20"/>
                <w:szCs w:val="20"/>
                <w:lang w:val="en-GB" w:eastAsia="en-GB"/>
              </w:rPr>
            </w:pPr>
          </w:p>
        </w:tc>
        <w:tc>
          <w:tcPr>
            <w:tcW w:w="1447" w:type="dxa"/>
          </w:tcPr>
          <w:p w14:paraId="1D10AAC9" w14:textId="77777777" w:rsidR="007947BF" w:rsidRPr="008463F3" w:rsidRDefault="007947BF" w:rsidP="00DA2AFC">
            <w:pPr>
              <w:spacing w:after="0" w:line="240" w:lineRule="auto"/>
              <w:rPr>
                <w:rFonts w:eastAsia="Times New Roman" w:cs="Arial"/>
                <w:sz w:val="20"/>
                <w:szCs w:val="20"/>
                <w:lang w:val="en-GB" w:eastAsia="en-GB"/>
              </w:rPr>
            </w:pPr>
          </w:p>
        </w:tc>
        <w:tc>
          <w:tcPr>
            <w:tcW w:w="1124" w:type="dxa"/>
          </w:tcPr>
          <w:p w14:paraId="2374B0E5" w14:textId="77777777" w:rsidR="007947BF" w:rsidRPr="008463F3" w:rsidRDefault="007947BF" w:rsidP="00DA2AFC">
            <w:pPr>
              <w:spacing w:after="0" w:line="240" w:lineRule="auto"/>
              <w:rPr>
                <w:rFonts w:eastAsia="Times New Roman" w:cs="Arial"/>
                <w:sz w:val="20"/>
                <w:szCs w:val="20"/>
                <w:lang w:val="en-GB" w:eastAsia="en-GB"/>
              </w:rPr>
            </w:pPr>
          </w:p>
        </w:tc>
      </w:tr>
      <w:tr w:rsidR="007947BF" w:rsidRPr="008463F3" w14:paraId="12C9B31F" w14:textId="77777777" w:rsidTr="00DA2AFC">
        <w:trPr>
          <w:jc w:val="center"/>
        </w:trPr>
        <w:tc>
          <w:tcPr>
            <w:tcW w:w="471" w:type="dxa"/>
            <w:shd w:val="clear" w:color="auto" w:fill="auto"/>
            <w:noWrap/>
            <w:vAlign w:val="bottom"/>
          </w:tcPr>
          <w:p w14:paraId="45FEAC26" w14:textId="77777777" w:rsidR="007947BF" w:rsidRPr="008463F3" w:rsidRDefault="007947BF" w:rsidP="00DA2AFC">
            <w:pPr>
              <w:spacing w:after="0" w:line="240" w:lineRule="auto"/>
              <w:rPr>
                <w:rFonts w:eastAsia="Times New Roman" w:cs="Arial"/>
                <w:sz w:val="20"/>
                <w:szCs w:val="20"/>
                <w:lang w:val="en-GB" w:eastAsia="en-GB"/>
              </w:rPr>
            </w:pPr>
            <w:r w:rsidRPr="008463F3">
              <w:rPr>
                <w:rFonts w:eastAsia="Times New Roman" w:cs="Arial"/>
                <w:sz w:val="20"/>
                <w:szCs w:val="20"/>
                <w:lang w:val="en-GB" w:eastAsia="en-GB"/>
              </w:rPr>
              <w:t>4.</w:t>
            </w:r>
          </w:p>
        </w:tc>
        <w:tc>
          <w:tcPr>
            <w:tcW w:w="2650" w:type="dxa"/>
            <w:shd w:val="clear" w:color="auto" w:fill="auto"/>
            <w:vAlign w:val="bottom"/>
          </w:tcPr>
          <w:p w14:paraId="561F16EE" w14:textId="77777777" w:rsidR="007947BF" w:rsidRPr="008463F3" w:rsidRDefault="007947BF" w:rsidP="00DA2AFC">
            <w:pPr>
              <w:spacing w:after="0" w:line="240" w:lineRule="auto"/>
              <w:rPr>
                <w:rFonts w:eastAsia="Times New Roman" w:cs="Arial"/>
                <w:sz w:val="20"/>
                <w:szCs w:val="20"/>
                <w:lang w:val="en-GB" w:eastAsia="en-GB"/>
              </w:rPr>
            </w:pPr>
          </w:p>
        </w:tc>
        <w:tc>
          <w:tcPr>
            <w:tcW w:w="990" w:type="dxa"/>
            <w:vAlign w:val="bottom"/>
          </w:tcPr>
          <w:p w14:paraId="01BF7C3C" w14:textId="77777777" w:rsidR="007947BF" w:rsidRPr="008463F3" w:rsidRDefault="007947BF" w:rsidP="00DA2AFC">
            <w:pPr>
              <w:spacing w:after="0" w:line="240" w:lineRule="auto"/>
              <w:rPr>
                <w:rFonts w:eastAsia="Times New Roman" w:cs="Arial"/>
                <w:sz w:val="20"/>
                <w:szCs w:val="20"/>
                <w:lang w:val="en-GB" w:eastAsia="en-GB"/>
              </w:rPr>
            </w:pPr>
          </w:p>
        </w:tc>
        <w:tc>
          <w:tcPr>
            <w:tcW w:w="990" w:type="dxa"/>
            <w:shd w:val="clear" w:color="auto" w:fill="auto"/>
            <w:vAlign w:val="bottom"/>
          </w:tcPr>
          <w:p w14:paraId="2A0DC01F" w14:textId="77777777" w:rsidR="007947BF" w:rsidRPr="008463F3" w:rsidRDefault="007947BF" w:rsidP="00DA2AFC">
            <w:pPr>
              <w:spacing w:after="0" w:line="240" w:lineRule="auto"/>
              <w:rPr>
                <w:rFonts w:eastAsia="Times New Roman" w:cs="Arial"/>
                <w:sz w:val="20"/>
                <w:szCs w:val="20"/>
                <w:lang w:val="en-GB" w:eastAsia="en-GB"/>
              </w:rPr>
            </w:pPr>
          </w:p>
        </w:tc>
        <w:tc>
          <w:tcPr>
            <w:tcW w:w="1390" w:type="dxa"/>
            <w:shd w:val="clear" w:color="auto" w:fill="auto"/>
            <w:vAlign w:val="bottom"/>
          </w:tcPr>
          <w:p w14:paraId="6C903330" w14:textId="77777777" w:rsidR="007947BF" w:rsidRPr="008463F3" w:rsidRDefault="007947BF" w:rsidP="00DA2AFC">
            <w:pPr>
              <w:spacing w:after="0" w:line="240" w:lineRule="auto"/>
              <w:rPr>
                <w:rFonts w:eastAsia="Times New Roman" w:cs="Arial"/>
                <w:sz w:val="20"/>
                <w:szCs w:val="20"/>
                <w:lang w:val="en-GB" w:eastAsia="en-GB"/>
              </w:rPr>
            </w:pPr>
          </w:p>
        </w:tc>
        <w:tc>
          <w:tcPr>
            <w:tcW w:w="1447" w:type="dxa"/>
          </w:tcPr>
          <w:p w14:paraId="7308A5AE" w14:textId="77777777" w:rsidR="007947BF" w:rsidRPr="008463F3" w:rsidRDefault="007947BF" w:rsidP="00DA2AFC">
            <w:pPr>
              <w:spacing w:after="0" w:line="240" w:lineRule="auto"/>
              <w:rPr>
                <w:rFonts w:eastAsia="Times New Roman" w:cs="Arial"/>
                <w:sz w:val="20"/>
                <w:szCs w:val="20"/>
                <w:lang w:val="en-GB" w:eastAsia="en-GB"/>
              </w:rPr>
            </w:pPr>
          </w:p>
        </w:tc>
        <w:tc>
          <w:tcPr>
            <w:tcW w:w="1124" w:type="dxa"/>
          </w:tcPr>
          <w:p w14:paraId="2DC8FE1F" w14:textId="77777777" w:rsidR="007947BF" w:rsidRPr="008463F3" w:rsidRDefault="007947BF" w:rsidP="00DA2AFC">
            <w:pPr>
              <w:spacing w:after="0" w:line="240" w:lineRule="auto"/>
              <w:rPr>
                <w:rFonts w:eastAsia="Times New Roman" w:cs="Arial"/>
                <w:sz w:val="20"/>
                <w:szCs w:val="20"/>
                <w:lang w:val="en-GB" w:eastAsia="en-GB"/>
              </w:rPr>
            </w:pPr>
          </w:p>
        </w:tc>
      </w:tr>
      <w:tr w:rsidR="007947BF" w:rsidRPr="008463F3" w14:paraId="557C8A80" w14:textId="77777777" w:rsidTr="00DA2AFC">
        <w:trPr>
          <w:jc w:val="center"/>
        </w:trPr>
        <w:tc>
          <w:tcPr>
            <w:tcW w:w="471" w:type="dxa"/>
            <w:shd w:val="clear" w:color="auto" w:fill="auto"/>
            <w:noWrap/>
            <w:vAlign w:val="bottom"/>
          </w:tcPr>
          <w:p w14:paraId="5EE96727" w14:textId="77777777" w:rsidR="007947BF" w:rsidRPr="008463F3" w:rsidRDefault="007947BF" w:rsidP="00DA2AFC">
            <w:pPr>
              <w:spacing w:after="0" w:line="240" w:lineRule="auto"/>
              <w:rPr>
                <w:rFonts w:eastAsia="Times New Roman" w:cs="Arial"/>
                <w:sz w:val="20"/>
                <w:szCs w:val="20"/>
                <w:lang w:val="en-GB" w:eastAsia="en-GB"/>
              </w:rPr>
            </w:pPr>
            <w:r w:rsidRPr="008463F3">
              <w:rPr>
                <w:rFonts w:eastAsia="Times New Roman" w:cs="Arial"/>
                <w:sz w:val="20"/>
                <w:szCs w:val="20"/>
                <w:lang w:val="en-GB" w:eastAsia="en-GB"/>
              </w:rPr>
              <w:t>5.</w:t>
            </w:r>
          </w:p>
        </w:tc>
        <w:tc>
          <w:tcPr>
            <w:tcW w:w="2650" w:type="dxa"/>
            <w:shd w:val="clear" w:color="auto" w:fill="auto"/>
            <w:vAlign w:val="bottom"/>
          </w:tcPr>
          <w:p w14:paraId="3B273A88" w14:textId="77777777" w:rsidR="007947BF" w:rsidRPr="008463F3" w:rsidRDefault="007947BF" w:rsidP="00DA2AFC">
            <w:pPr>
              <w:spacing w:after="0" w:line="240" w:lineRule="auto"/>
              <w:rPr>
                <w:rFonts w:eastAsia="Times New Roman" w:cs="Arial"/>
                <w:sz w:val="20"/>
                <w:szCs w:val="20"/>
                <w:lang w:val="en-GB" w:eastAsia="en-GB"/>
              </w:rPr>
            </w:pPr>
          </w:p>
        </w:tc>
        <w:tc>
          <w:tcPr>
            <w:tcW w:w="990" w:type="dxa"/>
            <w:vAlign w:val="bottom"/>
          </w:tcPr>
          <w:p w14:paraId="6AFD3471" w14:textId="77777777" w:rsidR="007947BF" w:rsidRPr="008463F3" w:rsidRDefault="007947BF" w:rsidP="00DA2AFC">
            <w:pPr>
              <w:spacing w:after="0" w:line="240" w:lineRule="auto"/>
              <w:rPr>
                <w:rFonts w:eastAsia="Times New Roman" w:cs="Arial"/>
                <w:sz w:val="20"/>
                <w:szCs w:val="20"/>
                <w:lang w:val="en-GB" w:eastAsia="en-GB"/>
              </w:rPr>
            </w:pPr>
          </w:p>
        </w:tc>
        <w:tc>
          <w:tcPr>
            <w:tcW w:w="990" w:type="dxa"/>
            <w:shd w:val="clear" w:color="auto" w:fill="auto"/>
            <w:vAlign w:val="bottom"/>
          </w:tcPr>
          <w:p w14:paraId="0ED1C65E" w14:textId="77777777" w:rsidR="007947BF" w:rsidRPr="008463F3" w:rsidRDefault="007947BF" w:rsidP="00DA2AFC">
            <w:pPr>
              <w:spacing w:after="0" w:line="240" w:lineRule="auto"/>
              <w:rPr>
                <w:rFonts w:eastAsia="Times New Roman" w:cs="Arial"/>
                <w:sz w:val="20"/>
                <w:szCs w:val="20"/>
                <w:lang w:val="en-GB" w:eastAsia="en-GB"/>
              </w:rPr>
            </w:pPr>
          </w:p>
        </w:tc>
        <w:tc>
          <w:tcPr>
            <w:tcW w:w="1390" w:type="dxa"/>
            <w:shd w:val="clear" w:color="auto" w:fill="auto"/>
            <w:vAlign w:val="bottom"/>
          </w:tcPr>
          <w:p w14:paraId="20B3CC9B" w14:textId="77777777" w:rsidR="007947BF" w:rsidRPr="008463F3" w:rsidRDefault="007947BF" w:rsidP="00DA2AFC">
            <w:pPr>
              <w:spacing w:after="0" w:line="240" w:lineRule="auto"/>
              <w:rPr>
                <w:rFonts w:eastAsia="Times New Roman" w:cs="Arial"/>
                <w:sz w:val="20"/>
                <w:szCs w:val="20"/>
                <w:lang w:val="en-GB" w:eastAsia="en-GB"/>
              </w:rPr>
            </w:pPr>
          </w:p>
        </w:tc>
        <w:tc>
          <w:tcPr>
            <w:tcW w:w="1447" w:type="dxa"/>
          </w:tcPr>
          <w:p w14:paraId="2CBD2296" w14:textId="77777777" w:rsidR="007947BF" w:rsidRPr="008463F3" w:rsidRDefault="007947BF" w:rsidP="00DA2AFC">
            <w:pPr>
              <w:spacing w:after="0" w:line="240" w:lineRule="auto"/>
              <w:rPr>
                <w:rFonts w:eastAsia="Times New Roman" w:cs="Arial"/>
                <w:sz w:val="20"/>
                <w:szCs w:val="20"/>
                <w:lang w:val="en-GB" w:eastAsia="en-GB"/>
              </w:rPr>
            </w:pPr>
          </w:p>
        </w:tc>
        <w:tc>
          <w:tcPr>
            <w:tcW w:w="1124" w:type="dxa"/>
          </w:tcPr>
          <w:p w14:paraId="6EE4AAE2" w14:textId="77777777" w:rsidR="007947BF" w:rsidRPr="008463F3" w:rsidRDefault="007947BF" w:rsidP="00DA2AFC">
            <w:pPr>
              <w:spacing w:after="0" w:line="240" w:lineRule="auto"/>
              <w:rPr>
                <w:rFonts w:eastAsia="Times New Roman" w:cs="Arial"/>
                <w:sz w:val="20"/>
                <w:szCs w:val="20"/>
                <w:lang w:val="en-GB" w:eastAsia="en-GB"/>
              </w:rPr>
            </w:pPr>
          </w:p>
        </w:tc>
      </w:tr>
      <w:tr w:rsidR="007947BF" w:rsidRPr="008463F3" w14:paraId="5437EE0D" w14:textId="77777777" w:rsidTr="00DA2AFC">
        <w:trPr>
          <w:jc w:val="center"/>
        </w:trPr>
        <w:tc>
          <w:tcPr>
            <w:tcW w:w="471" w:type="dxa"/>
            <w:shd w:val="clear" w:color="auto" w:fill="auto"/>
            <w:noWrap/>
            <w:vAlign w:val="bottom"/>
          </w:tcPr>
          <w:p w14:paraId="25DA27A5" w14:textId="77777777" w:rsidR="007947BF" w:rsidRPr="008463F3" w:rsidRDefault="007947BF" w:rsidP="00DA2AFC">
            <w:pPr>
              <w:spacing w:after="0" w:line="240" w:lineRule="auto"/>
              <w:rPr>
                <w:rFonts w:eastAsia="Times New Roman" w:cs="Arial"/>
                <w:sz w:val="20"/>
                <w:szCs w:val="20"/>
                <w:lang w:val="en-GB" w:eastAsia="en-GB"/>
              </w:rPr>
            </w:pPr>
            <w:r w:rsidRPr="008463F3">
              <w:rPr>
                <w:rFonts w:eastAsia="Times New Roman" w:cs="Arial"/>
                <w:sz w:val="20"/>
                <w:szCs w:val="20"/>
                <w:lang w:val="en-GB" w:eastAsia="en-GB"/>
              </w:rPr>
              <w:t>6.</w:t>
            </w:r>
          </w:p>
        </w:tc>
        <w:tc>
          <w:tcPr>
            <w:tcW w:w="2650" w:type="dxa"/>
            <w:shd w:val="clear" w:color="auto" w:fill="auto"/>
            <w:vAlign w:val="bottom"/>
          </w:tcPr>
          <w:p w14:paraId="3D2FA1EF" w14:textId="77777777" w:rsidR="007947BF" w:rsidRPr="008463F3" w:rsidRDefault="007947BF" w:rsidP="00DA2AFC">
            <w:pPr>
              <w:spacing w:after="0" w:line="240" w:lineRule="auto"/>
              <w:rPr>
                <w:rFonts w:eastAsia="Times New Roman" w:cs="Arial"/>
                <w:sz w:val="20"/>
                <w:szCs w:val="20"/>
                <w:lang w:val="en-GB" w:eastAsia="en-GB"/>
              </w:rPr>
            </w:pPr>
          </w:p>
        </w:tc>
        <w:tc>
          <w:tcPr>
            <w:tcW w:w="990" w:type="dxa"/>
            <w:vAlign w:val="bottom"/>
          </w:tcPr>
          <w:p w14:paraId="6764221E" w14:textId="77777777" w:rsidR="007947BF" w:rsidRPr="008463F3" w:rsidRDefault="007947BF" w:rsidP="00DA2AFC">
            <w:pPr>
              <w:spacing w:after="0" w:line="240" w:lineRule="auto"/>
              <w:rPr>
                <w:rFonts w:eastAsia="Times New Roman" w:cs="Arial"/>
                <w:sz w:val="20"/>
                <w:szCs w:val="20"/>
                <w:lang w:val="en-GB" w:eastAsia="en-GB"/>
              </w:rPr>
            </w:pPr>
          </w:p>
        </w:tc>
        <w:tc>
          <w:tcPr>
            <w:tcW w:w="990" w:type="dxa"/>
            <w:shd w:val="clear" w:color="auto" w:fill="auto"/>
            <w:vAlign w:val="bottom"/>
          </w:tcPr>
          <w:p w14:paraId="077DC001" w14:textId="77777777" w:rsidR="007947BF" w:rsidRPr="008463F3" w:rsidRDefault="007947BF" w:rsidP="00DA2AFC">
            <w:pPr>
              <w:spacing w:after="0" w:line="240" w:lineRule="auto"/>
              <w:rPr>
                <w:rFonts w:eastAsia="Times New Roman" w:cs="Arial"/>
                <w:sz w:val="20"/>
                <w:szCs w:val="20"/>
                <w:lang w:val="en-GB" w:eastAsia="en-GB"/>
              </w:rPr>
            </w:pPr>
          </w:p>
        </w:tc>
        <w:tc>
          <w:tcPr>
            <w:tcW w:w="1390" w:type="dxa"/>
            <w:shd w:val="clear" w:color="auto" w:fill="auto"/>
            <w:vAlign w:val="bottom"/>
          </w:tcPr>
          <w:p w14:paraId="7E3B9770" w14:textId="77777777" w:rsidR="007947BF" w:rsidRPr="008463F3" w:rsidRDefault="007947BF" w:rsidP="00DA2AFC">
            <w:pPr>
              <w:spacing w:after="0" w:line="240" w:lineRule="auto"/>
              <w:rPr>
                <w:rFonts w:eastAsia="Times New Roman" w:cs="Arial"/>
                <w:sz w:val="20"/>
                <w:szCs w:val="20"/>
                <w:lang w:val="en-GB" w:eastAsia="en-GB"/>
              </w:rPr>
            </w:pPr>
          </w:p>
        </w:tc>
        <w:tc>
          <w:tcPr>
            <w:tcW w:w="1447" w:type="dxa"/>
          </w:tcPr>
          <w:p w14:paraId="4F2DA2EA" w14:textId="77777777" w:rsidR="007947BF" w:rsidRPr="008463F3" w:rsidRDefault="007947BF" w:rsidP="00DA2AFC">
            <w:pPr>
              <w:spacing w:after="0" w:line="240" w:lineRule="auto"/>
              <w:rPr>
                <w:rFonts w:eastAsia="Times New Roman" w:cs="Arial"/>
                <w:sz w:val="20"/>
                <w:szCs w:val="20"/>
                <w:lang w:val="en-GB" w:eastAsia="en-GB"/>
              </w:rPr>
            </w:pPr>
          </w:p>
        </w:tc>
        <w:tc>
          <w:tcPr>
            <w:tcW w:w="1124" w:type="dxa"/>
          </w:tcPr>
          <w:p w14:paraId="24CFD555" w14:textId="77777777" w:rsidR="007947BF" w:rsidRPr="008463F3" w:rsidRDefault="007947BF" w:rsidP="00DA2AFC">
            <w:pPr>
              <w:spacing w:after="0" w:line="240" w:lineRule="auto"/>
              <w:rPr>
                <w:rFonts w:eastAsia="Times New Roman" w:cs="Arial"/>
                <w:sz w:val="20"/>
                <w:szCs w:val="20"/>
                <w:lang w:val="en-GB" w:eastAsia="en-GB"/>
              </w:rPr>
            </w:pPr>
          </w:p>
        </w:tc>
      </w:tr>
      <w:tr w:rsidR="007947BF" w:rsidRPr="008463F3" w14:paraId="7633FE42" w14:textId="77777777" w:rsidTr="00DA2AFC">
        <w:trPr>
          <w:jc w:val="center"/>
        </w:trPr>
        <w:tc>
          <w:tcPr>
            <w:tcW w:w="471" w:type="dxa"/>
            <w:shd w:val="clear" w:color="auto" w:fill="auto"/>
            <w:noWrap/>
            <w:vAlign w:val="bottom"/>
          </w:tcPr>
          <w:p w14:paraId="00B45034" w14:textId="77777777" w:rsidR="007947BF" w:rsidRPr="008463F3" w:rsidRDefault="007947BF" w:rsidP="00DA2AFC">
            <w:pPr>
              <w:spacing w:after="0" w:line="240" w:lineRule="auto"/>
              <w:rPr>
                <w:rFonts w:eastAsia="Times New Roman" w:cs="Arial"/>
                <w:sz w:val="20"/>
                <w:szCs w:val="20"/>
                <w:lang w:val="en-GB" w:eastAsia="en-GB"/>
              </w:rPr>
            </w:pPr>
            <w:r w:rsidRPr="008463F3">
              <w:rPr>
                <w:rFonts w:eastAsia="Times New Roman" w:cs="Arial"/>
                <w:sz w:val="20"/>
                <w:szCs w:val="20"/>
                <w:lang w:val="en-GB" w:eastAsia="en-GB"/>
              </w:rPr>
              <w:t>7.</w:t>
            </w:r>
          </w:p>
        </w:tc>
        <w:tc>
          <w:tcPr>
            <w:tcW w:w="2650" w:type="dxa"/>
            <w:shd w:val="clear" w:color="auto" w:fill="auto"/>
            <w:vAlign w:val="bottom"/>
          </w:tcPr>
          <w:p w14:paraId="20758873" w14:textId="77777777" w:rsidR="007947BF" w:rsidRPr="008463F3" w:rsidRDefault="007947BF" w:rsidP="00DA2AFC">
            <w:pPr>
              <w:spacing w:after="0" w:line="240" w:lineRule="auto"/>
              <w:rPr>
                <w:rFonts w:eastAsia="Times New Roman" w:cs="Arial"/>
                <w:sz w:val="20"/>
                <w:szCs w:val="20"/>
                <w:lang w:val="en-GB" w:eastAsia="en-GB"/>
              </w:rPr>
            </w:pPr>
          </w:p>
        </w:tc>
        <w:tc>
          <w:tcPr>
            <w:tcW w:w="990" w:type="dxa"/>
            <w:vAlign w:val="bottom"/>
          </w:tcPr>
          <w:p w14:paraId="58006809" w14:textId="77777777" w:rsidR="007947BF" w:rsidRPr="008463F3" w:rsidRDefault="007947BF" w:rsidP="00DA2AFC">
            <w:pPr>
              <w:spacing w:after="0" w:line="240" w:lineRule="auto"/>
              <w:rPr>
                <w:rFonts w:eastAsia="Times New Roman" w:cs="Arial"/>
                <w:sz w:val="20"/>
                <w:szCs w:val="20"/>
                <w:lang w:val="en-GB" w:eastAsia="en-GB"/>
              </w:rPr>
            </w:pPr>
          </w:p>
        </w:tc>
        <w:tc>
          <w:tcPr>
            <w:tcW w:w="990" w:type="dxa"/>
            <w:shd w:val="clear" w:color="auto" w:fill="auto"/>
            <w:vAlign w:val="bottom"/>
          </w:tcPr>
          <w:p w14:paraId="22A418D2" w14:textId="77777777" w:rsidR="007947BF" w:rsidRPr="008463F3" w:rsidRDefault="007947BF" w:rsidP="00DA2AFC">
            <w:pPr>
              <w:spacing w:after="0" w:line="240" w:lineRule="auto"/>
              <w:rPr>
                <w:rFonts w:eastAsia="Times New Roman" w:cs="Arial"/>
                <w:sz w:val="20"/>
                <w:szCs w:val="20"/>
                <w:lang w:val="en-GB" w:eastAsia="en-GB"/>
              </w:rPr>
            </w:pPr>
          </w:p>
        </w:tc>
        <w:tc>
          <w:tcPr>
            <w:tcW w:w="1390" w:type="dxa"/>
            <w:shd w:val="clear" w:color="auto" w:fill="auto"/>
            <w:vAlign w:val="bottom"/>
          </w:tcPr>
          <w:p w14:paraId="0C58EF88" w14:textId="77777777" w:rsidR="007947BF" w:rsidRPr="008463F3" w:rsidRDefault="007947BF" w:rsidP="00DA2AFC">
            <w:pPr>
              <w:spacing w:after="0" w:line="240" w:lineRule="auto"/>
              <w:rPr>
                <w:rFonts w:eastAsia="Times New Roman" w:cs="Arial"/>
                <w:sz w:val="20"/>
                <w:szCs w:val="20"/>
                <w:lang w:val="en-GB" w:eastAsia="en-GB"/>
              </w:rPr>
            </w:pPr>
          </w:p>
        </w:tc>
        <w:tc>
          <w:tcPr>
            <w:tcW w:w="1447" w:type="dxa"/>
          </w:tcPr>
          <w:p w14:paraId="4AE9F392" w14:textId="77777777" w:rsidR="007947BF" w:rsidRPr="008463F3" w:rsidRDefault="007947BF" w:rsidP="00DA2AFC">
            <w:pPr>
              <w:spacing w:after="0" w:line="240" w:lineRule="auto"/>
              <w:rPr>
                <w:rFonts w:eastAsia="Times New Roman" w:cs="Arial"/>
                <w:sz w:val="20"/>
                <w:szCs w:val="20"/>
                <w:lang w:val="en-GB" w:eastAsia="en-GB"/>
              </w:rPr>
            </w:pPr>
          </w:p>
        </w:tc>
        <w:tc>
          <w:tcPr>
            <w:tcW w:w="1124" w:type="dxa"/>
          </w:tcPr>
          <w:p w14:paraId="0C32069A" w14:textId="77777777" w:rsidR="007947BF" w:rsidRPr="008463F3" w:rsidRDefault="007947BF" w:rsidP="00DA2AFC">
            <w:pPr>
              <w:spacing w:after="0" w:line="240" w:lineRule="auto"/>
              <w:rPr>
                <w:rFonts w:eastAsia="Times New Roman" w:cs="Arial"/>
                <w:sz w:val="20"/>
                <w:szCs w:val="20"/>
                <w:lang w:val="en-GB" w:eastAsia="en-GB"/>
              </w:rPr>
            </w:pPr>
          </w:p>
        </w:tc>
      </w:tr>
      <w:tr w:rsidR="007947BF" w:rsidRPr="008463F3" w14:paraId="3D29297E" w14:textId="77777777" w:rsidTr="00DA2AFC">
        <w:trPr>
          <w:jc w:val="center"/>
        </w:trPr>
        <w:tc>
          <w:tcPr>
            <w:tcW w:w="471" w:type="dxa"/>
            <w:shd w:val="clear" w:color="auto" w:fill="auto"/>
            <w:noWrap/>
            <w:vAlign w:val="bottom"/>
          </w:tcPr>
          <w:p w14:paraId="43AE32A5" w14:textId="77777777" w:rsidR="007947BF" w:rsidRPr="008463F3" w:rsidRDefault="007947BF" w:rsidP="00DA2AFC">
            <w:pPr>
              <w:spacing w:after="0" w:line="240" w:lineRule="auto"/>
              <w:rPr>
                <w:rFonts w:eastAsia="Times New Roman" w:cs="Arial"/>
                <w:sz w:val="20"/>
                <w:szCs w:val="20"/>
                <w:lang w:val="en-GB" w:eastAsia="en-GB"/>
              </w:rPr>
            </w:pPr>
            <w:r w:rsidRPr="008463F3">
              <w:rPr>
                <w:rFonts w:eastAsia="Times New Roman" w:cs="Arial"/>
                <w:sz w:val="20"/>
                <w:szCs w:val="20"/>
                <w:lang w:val="en-GB" w:eastAsia="en-GB"/>
              </w:rPr>
              <w:t>8.</w:t>
            </w:r>
          </w:p>
        </w:tc>
        <w:tc>
          <w:tcPr>
            <w:tcW w:w="2650" w:type="dxa"/>
            <w:shd w:val="clear" w:color="auto" w:fill="auto"/>
            <w:vAlign w:val="bottom"/>
          </w:tcPr>
          <w:p w14:paraId="0CD9C9C6" w14:textId="77777777" w:rsidR="007947BF" w:rsidRPr="008463F3" w:rsidRDefault="007947BF" w:rsidP="00DA2AFC">
            <w:pPr>
              <w:spacing w:after="0" w:line="240" w:lineRule="auto"/>
              <w:rPr>
                <w:rFonts w:eastAsia="Times New Roman" w:cs="Arial"/>
                <w:sz w:val="20"/>
                <w:szCs w:val="20"/>
                <w:lang w:val="en-GB" w:eastAsia="en-GB"/>
              </w:rPr>
            </w:pPr>
          </w:p>
        </w:tc>
        <w:tc>
          <w:tcPr>
            <w:tcW w:w="990" w:type="dxa"/>
            <w:vAlign w:val="bottom"/>
          </w:tcPr>
          <w:p w14:paraId="1A1E5EA3" w14:textId="77777777" w:rsidR="007947BF" w:rsidRPr="008463F3" w:rsidRDefault="007947BF" w:rsidP="00DA2AFC">
            <w:pPr>
              <w:spacing w:after="0" w:line="240" w:lineRule="auto"/>
              <w:rPr>
                <w:rFonts w:eastAsia="Times New Roman" w:cs="Arial"/>
                <w:sz w:val="20"/>
                <w:szCs w:val="20"/>
                <w:lang w:val="en-GB" w:eastAsia="en-GB"/>
              </w:rPr>
            </w:pPr>
          </w:p>
        </w:tc>
        <w:tc>
          <w:tcPr>
            <w:tcW w:w="990" w:type="dxa"/>
            <w:shd w:val="clear" w:color="auto" w:fill="auto"/>
            <w:vAlign w:val="bottom"/>
          </w:tcPr>
          <w:p w14:paraId="1A21656A" w14:textId="77777777" w:rsidR="007947BF" w:rsidRPr="008463F3" w:rsidRDefault="007947BF" w:rsidP="00DA2AFC">
            <w:pPr>
              <w:spacing w:after="0" w:line="240" w:lineRule="auto"/>
              <w:rPr>
                <w:rFonts w:eastAsia="Times New Roman" w:cs="Arial"/>
                <w:sz w:val="20"/>
                <w:szCs w:val="20"/>
                <w:lang w:val="en-GB" w:eastAsia="en-GB"/>
              </w:rPr>
            </w:pPr>
          </w:p>
        </w:tc>
        <w:tc>
          <w:tcPr>
            <w:tcW w:w="1390" w:type="dxa"/>
            <w:shd w:val="clear" w:color="auto" w:fill="auto"/>
            <w:vAlign w:val="bottom"/>
          </w:tcPr>
          <w:p w14:paraId="0E3C50F4" w14:textId="77777777" w:rsidR="007947BF" w:rsidRPr="008463F3" w:rsidRDefault="007947BF" w:rsidP="00DA2AFC">
            <w:pPr>
              <w:spacing w:after="0" w:line="240" w:lineRule="auto"/>
              <w:rPr>
                <w:rFonts w:eastAsia="Times New Roman" w:cs="Arial"/>
                <w:sz w:val="20"/>
                <w:szCs w:val="20"/>
                <w:lang w:val="en-GB" w:eastAsia="en-GB"/>
              </w:rPr>
            </w:pPr>
          </w:p>
        </w:tc>
        <w:tc>
          <w:tcPr>
            <w:tcW w:w="1447" w:type="dxa"/>
          </w:tcPr>
          <w:p w14:paraId="3AFA5205" w14:textId="77777777" w:rsidR="007947BF" w:rsidRPr="008463F3" w:rsidRDefault="007947BF" w:rsidP="00DA2AFC">
            <w:pPr>
              <w:spacing w:after="0" w:line="240" w:lineRule="auto"/>
              <w:rPr>
                <w:rFonts w:eastAsia="Times New Roman" w:cs="Arial"/>
                <w:sz w:val="20"/>
                <w:szCs w:val="20"/>
                <w:lang w:val="en-GB" w:eastAsia="en-GB"/>
              </w:rPr>
            </w:pPr>
          </w:p>
        </w:tc>
        <w:tc>
          <w:tcPr>
            <w:tcW w:w="1124" w:type="dxa"/>
          </w:tcPr>
          <w:p w14:paraId="30295831" w14:textId="77777777" w:rsidR="007947BF" w:rsidRPr="008463F3" w:rsidRDefault="007947BF" w:rsidP="00DA2AFC">
            <w:pPr>
              <w:spacing w:after="0" w:line="240" w:lineRule="auto"/>
              <w:rPr>
                <w:rFonts w:eastAsia="Times New Roman" w:cs="Arial"/>
                <w:sz w:val="20"/>
                <w:szCs w:val="20"/>
                <w:lang w:val="en-GB" w:eastAsia="en-GB"/>
              </w:rPr>
            </w:pPr>
          </w:p>
        </w:tc>
      </w:tr>
      <w:tr w:rsidR="007947BF" w:rsidRPr="008463F3" w14:paraId="7C0735C3" w14:textId="77777777" w:rsidTr="00DA2AFC">
        <w:trPr>
          <w:jc w:val="center"/>
        </w:trPr>
        <w:tc>
          <w:tcPr>
            <w:tcW w:w="471" w:type="dxa"/>
            <w:shd w:val="clear" w:color="auto" w:fill="auto"/>
            <w:noWrap/>
            <w:vAlign w:val="bottom"/>
          </w:tcPr>
          <w:p w14:paraId="6F298A82" w14:textId="77777777" w:rsidR="007947BF" w:rsidRPr="008463F3" w:rsidRDefault="007947BF" w:rsidP="00DA2AFC">
            <w:pPr>
              <w:spacing w:after="0" w:line="240" w:lineRule="auto"/>
              <w:rPr>
                <w:rFonts w:eastAsia="Times New Roman" w:cs="Arial"/>
                <w:sz w:val="20"/>
                <w:szCs w:val="20"/>
                <w:lang w:val="en-GB" w:eastAsia="en-GB"/>
              </w:rPr>
            </w:pPr>
            <w:r w:rsidRPr="008463F3">
              <w:rPr>
                <w:rFonts w:eastAsia="Times New Roman" w:cs="Arial"/>
                <w:sz w:val="20"/>
                <w:szCs w:val="20"/>
                <w:lang w:val="en-GB" w:eastAsia="en-GB"/>
              </w:rPr>
              <w:t>9.</w:t>
            </w:r>
          </w:p>
        </w:tc>
        <w:tc>
          <w:tcPr>
            <w:tcW w:w="2650" w:type="dxa"/>
            <w:shd w:val="clear" w:color="auto" w:fill="auto"/>
            <w:vAlign w:val="bottom"/>
          </w:tcPr>
          <w:p w14:paraId="27B37EDC" w14:textId="77777777" w:rsidR="007947BF" w:rsidRPr="008463F3" w:rsidRDefault="007947BF" w:rsidP="00DA2AFC">
            <w:pPr>
              <w:spacing w:after="0" w:line="240" w:lineRule="auto"/>
              <w:rPr>
                <w:rFonts w:eastAsia="Times New Roman" w:cs="Arial"/>
                <w:sz w:val="20"/>
                <w:szCs w:val="20"/>
                <w:lang w:val="en-GB" w:eastAsia="en-GB"/>
              </w:rPr>
            </w:pPr>
          </w:p>
        </w:tc>
        <w:tc>
          <w:tcPr>
            <w:tcW w:w="990" w:type="dxa"/>
            <w:vAlign w:val="bottom"/>
          </w:tcPr>
          <w:p w14:paraId="2C168B79" w14:textId="77777777" w:rsidR="007947BF" w:rsidRPr="008463F3" w:rsidRDefault="007947BF" w:rsidP="00DA2AFC">
            <w:pPr>
              <w:spacing w:after="0" w:line="240" w:lineRule="auto"/>
              <w:rPr>
                <w:rFonts w:eastAsia="Times New Roman" w:cs="Arial"/>
                <w:sz w:val="20"/>
                <w:szCs w:val="20"/>
                <w:lang w:val="en-GB" w:eastAsia="en-GB"/>
              </w:rPr>
            </w:pPr>
          </w:p>
        </w:tc>
        <w:tc>
          <w:tcPr>
            <w:tcW w:w="990" w:type="dxa"/>
            <w:shd w:val="clear" w:color="auto" w:fill="auto"/>
            <w:vAlign w:val="bottom"/>
          </w:tcPr>
          <w:p w14:paraId="77F17AB8" w14:textId="77777777" w:rsidR="007947BF" w:rsidRPr="008463F3" w:rsidRDefault="007947BF" w:rsidP="00DA2AFC">
            <w:pPr>
              <w:spacing w:after="0" w:line="240" w:lineRule="auto"/>
              <w:rPr>
                <w:rFonts w:eastAsia="Times New Roman" w:cs="Arial"/>
                <w:sz w:val="20"/>
                <w:szCs w:val="20"/>
                <w:lang w:val="en-GB" w:eastAsia="en-GB"/>
              </w:rPr>
            </w:pPr>
          </w:p>
        </w:tc>
        <w:tc>
          <w:tcPr>
            <w:tcW w:w="1390" w:type="dxa"/>
            <w:shd w:val="clear" w:color="auto" w:fill="auto"/>
            <w:vAlign w:val="bottom"/>
          </w:tcPr>
          <w:p w14:paraId="05FDD5EA" w14:textId="77777777" w:rsidR="007947BF" w:rsidRPr="008463F3" w:rsidRDefault="007947BF" w:rsidP="00DA2AFC">
            <w:pPr>
              <w:spacing w:after="0" w:line="240" w:lineRule="auto"/>
              <w:rPr>
                <w:rFonts w:eastAsia="Times New Roman" w:cs="Arial"/>
                <w:sz w:val="20"/>
                <w:szCs w:val="20"/>
                <w:lang w:val="en-GB" w:eastAsia="en-GB"/>
              </w:rPr>
            </w:pPr>
          </w:p>
        </w:tc>
        <w:tc>
          <w:tcPr>
            <w:tcW w:w="1447" w:type="dxa"/>
          </w:tcPr>
          <w:p w14:paraId="7604293A" w14:textId="77777777" w:rsidR="007947BF" w:rsidRPr="008463F3" w:rsidRDefault="007947BF" w:rsidP="00DA2AFC">
            <w:pPr>
              <w:spacing w:after="0" w:line="240" w:lineRule="auto"/>
              <w:rPr>
                <w:rFonts w:eastAsia="Times New Roman" w:cs="Arial"/>
                <w:sz w:val="20"/>
                <w:szCs w:val="20"/>
                <w:lang w:val="en-GB" w:eastAsia="en-GB"/>
              </w:rPr>
            </w:pPr>
          </w:p>
        </w:tc>
        <w:tc>
          <w:tcPr>
            <w:tcW w:w="1124" w:type="dxa"/>
          </w:tcPr>
          <w:p w14:paraId="18AE9141" w14:textId="77777777" w:rsidR="007947BF" w:rsidRPr="008463F3" w:rsidRDefault="007947BF" w:rsidP="00DA2AFC">
            <w:pPr>
              <w:spacing w:after="0" w:line="240" w:lineRule="auto"/>
              <w:rPr>
                <w:rFonts w:eastAsia="Times New Roman" w:cs="Arial"/>
                <w:sz w:val="20"/>
                <w:szCs w:val="20"/>
                <w:lang w:val="en-GB" w:eastAsia="en-GB"/>
              </w:rPr>
            </w:pPr>
          </w:p>
        </w:tc>
      </w:tr>
      <w:tr w:rsidR="007947BF" w:rsidRPr="008463F3" w14:paraId="44FDF00D" w14:textId="77777777" w:rsidTr="00DA2AFC">
        <w:trPr>
          <w:jc w:val="center"/>
        </w:trPr>
        <w:tc>
          <w:tcPr>
            <w:tcW w:w="471" w:type="dxa"/>
            <w:shd w:val="clear" w:color="auto" w:fill="auto"/>
            <w:noWrap/>
            <w:vAlign w:val="bottom"/>
          </w:tcPr>
          <w:p w14:paraId="3BA68129" w14:textId="77777777" w:rsidR="007947BF" w:rsidRPr="008463F3" w:rsidRDefault="007947BF" w:rsidP="00DA2AFC">
            <w:pPr>
              <w:spacing w:after="0" w:line="240" w:lineRule="auto"/>
              <w:rPr>
                <w:rFonts w:eastAsia="Times New Roman" w:cs="Arial"/>
                <w:sz w:val="20"/>
                <w:szCs w:val="20"/>
                <w:lang w:val="en-GB" w:eastAsia="en-GB"/>
              </w:rPr>
            </w:pPr>
            <w:r w:rsidRPr="008463F3">
              <w:rPr>
                <w:rFonts w:eastAsia="Times New Roman" w:cs="Arial"/>
                <w:sz w:val="20"/>
                <w:szCs w:val="20"/>
                <w:lang w:val="en-GB" w:eastAsia="en-GB"/>
              </w:rPr>
              <w:t>10.</w:t>
            </w:r>
          </w:p>
        </w:tc>
        <w:tc>
          <w:tcPr>
            <w:tcW w:w="2650" w:type="dxa"/>
            <w:shd w:val="clear" w:color="auto" w:fill="auto"/>
            <w:vAlign w:val="bottom"/>
          </w:tcPr>
          <w:p w14:paraId="7DB5DD87" w14:textId="77777777" w:rsidR="007947BF" w:rsidRPr="008463F3" w:rsidRDefault="007947BF" w:rsidP="00DA2AFC">
            <w:pPr>
              <w:spacing w:after="0" w:line="240" w:lineRule="auto"/>
              <w:rPr>
                <w:rFonts w:eastAsia="Times New Roman" w:cs="Arial"/>
                <w:sz w:val="20"/>
                <w:szCs w:val="20"/>
                <w:lang w:val="en-GB" w:eastAsia="en-GB"/>
              </w:rPr>
            </w:pPr>
          </w:p>
        </w:tc>
        <w:tc>
          <w:tcPr>
            <w:tcW w:w="990" w:type="dxa"/>
            <w:vAlign w:val="bottom"/>
          </w:tcPr>
          <w:p w14:paraId="450089DD" w14:textId="77777777" w:rsidR="007947BF" w:rsidRPr="008463F3" w:rsidRDefault="007947BF" w:rsidP="00DA2AFC">
            <w:pPr>
              <w:spacing w:after="0" w:line="240" w:lineRule="auto"/>
              <w:rPr>
                <w:rFonts w:eastAsia="Times New Roman" w:cs="Arial"/>
                <w:sz w:val="20"/>
                <w:szCs w:val="20"/>
                <w:lang w:val="en-GB" w:eastAsia="en-GB"/>
              </w:rPr>
            </w:pPr>
          </w:p>
        </w:tc>
        <w:tc>
          <w:tcPr>
            <w:tcW w:w="990" w:type="dxa"/>
            <w:shd w:val="clear" w:color="auto" w:fill="auto"/>
            <w:vAlign w:val="bottom"/>
          </w:tcPr>
          <w:p w14:paraId="40B5CD02" w14:textId="77777777" w:rsidR="007947BF" w:rsidRPr="008463F3" w:rsidRDefault="007947BF" w:rsidP="00DA2AFC">
            <w:pPr>
              <w:spacing w:after="0" w:line="240" w:lineRule="auto"/>
              <w:rPr>
                <w:rFonts w:eastAsia="Times New Roman" w:cs="Arial"/>
                <w:sz w:val="20"/>
                <w:szCs w:val="20"/>
                <w:lang w:val="en-GB" w:eastAsia="en-GB"/>
              </w:rPr>
            </w:pPr>
          </w:p>
        </w:tc>
        <w:tc>
          <w:tcPr>
            <w:tcW w:w="1390" w:type="dxa"/>
            <w:shd w:val="clear" w:color="auto" w:fill="auto"/>
            <w:vAlign w:val="bottom"/>
          </w:tcPr>
          <w:p w14:paraId="1986AAE2" w14:textId="77777777" w:rsidR="007947BF" w:rsidRPr="008463F3" w:rsidRDefault="007947BF" w:rsidP="00DA2AFC">
            <w:pPr>
              <w:spacing w:after="0" w:line="240" w:lineRule="auto"/>
              <w:rPr>
                <w:rFonts w:eastAsia="Times New Roman" w:cs="Arial"/>
                <w:sz w:val="20"/>
                <w:szCs w:val="20"/>
                <w:lang w:val="en-GB" w:eastAsia="en-GB"/>
              </w:rPr>
            </w:pPr>
          </w:p>
        </w:tc>
        <w:tc>
          <w:tcPr>
            <w:tcW w:w="1447" w:type="dxa"/>
          </w:tcPr>
          <w:p w14:paraId="5E565BD1" w14:textId="77777777" w:rsidR="007947BF" w:rsidRPr="008463F3" w:rsidRDefault="007947BF" w:rsidP="00DA2AFC">
            <w:pPr>
              <w:spacing w:after="0" w:line="240" w:lineRule="auto"/>
              <w:rPr>
                <w:rFonts w:eastAsia="Times New Roman" w:cs="Arial"/>
                <w:sz w:val="20"/>
                <w:szCs w:val="20"/>
                <w:lang w:val="en-GB" w:eastAsia="en-GB"/>
              </w:rPr>
            </w:pPr>
          </w:p>
        </w:tc>
        <w:tc>
          <w:tcPr>
            <w:tcW w:w="1124" w:type="dxa"/>
          </w:tcPr>
          <w:p w14:paraId="320D5836" w14:textId="77777777" w:rsidR="007947BF" w:rsidRPr="008463F3" w:rsidRDefault="007947BF" w:rsidP="00DA2AFC">
            <w:pPr>
              <w:spacing w:after="0" w:line="240" w:lineRule="auto"/>
              <w:rPr>
                <w:rFonts w:eastAsia="Times New Roman" w:cs="Arial"/>
                <w:sz w:val="20"/>
                <w:szCs w:val="20"/>
                <w:lang w:val="en-GB" w:eastAsia="en-GB"/>
              </w:rPr>
            </w:pPr>
          </w:p>
        </w:tc>
      </w:tr>
      <w:tr w:rsidR="007947BF" w:rsidRPr="008463F3" w14:paraId="43542D16" w14:textId="77777777" w:rsidTr="00DA2AFC">
        <w:trPr>
          <w:jc w:val="center"/>
        </w:trPr>
        <w:tc>
          <w:tcPr>
            <w:tcW w:w="471" w:type="dxa"/>
            <w:shd w:val="clear" w:color="auto" w:fill="auto"/>
            <w:noWrap/>
            <w:vAlign w:val="bottom"/>
          </w:tcPr>
          <w:p w14:paraId="5CEEF3CB" w14:textId="77777777" w:rsidR="007947BF" w:rsidRPr="008463F3" w:rsidRDefault="007947BF" w:rsidP="00DA2AFC">
            <w:pPr>
              <w:spacing w:after="0" w:line="240" w:lineRule="auto"/>
              <w:rPr>
                <w:rFonts w:eastAsia="Times New Roman" w:cs="Arial"/>
                <w:sz w:val="20"/>
                <w:szCs w:val="20"/>
                <w:lang w:val="en-GB" w:eastAsia="en-GB"/>
              </w:rPr>
            </w:pPr>
            <w:r w:rsidRPr="008463F3">
              <w:rPr>
                <w:rFonts w:eastAsia="Times New Roman" w:cs="Arial"/>
                <w:sz w:val="20"/>
                <w:szCs w:val="20"/>
                <w:lang w:val="en-GB" w:eastAsia="en-GB"/>
              </w:rPr>
              <w:t>…</w:t>
            </w:r>
          </w:p>
        </w:tc>
        <w:tc>
          <w:tcPr>
            <w:tcW w:w="2650" w:type="dxa"/>
            <w:shd w:val="clear" w:color="auto" w:fill="auto"/>
            <w:vAlign w:val="bottom"/>
          </w:tcPr>
          <w:p w14:paraId="560BA11D" w14:textId="77777777" w:rsidR="007947BF" w:rsidRPr="008463F3" w:rsidRDefault="007947BF" w:rsidP="00DA2AFC">
            <w:pPr>
              <w:spacing w:after="0" w:line="240" w:lineRule="auto"/>
              <w:rPr>
                <w:rFonts w:eastAsia="Times New Roman" w:cs="Arial"/>
                <w:sz w:val="20"/>
                <w:szCs w:val="20"/>
                <w:lang w:val="en-GB" w:eastAsia="en-GB"/>
              </w:rPr>
            </w:pPr>
          </w:p>
        </w:tc>
        <w:tc>
          <w:tcPr>
            <w:tcW w:w="990" w:type="dxa"/>
            <w:vAlign w:val="bottom"/>
          </w:tcPr>
          <w:p w14:paraId="1730C4BB" w14:textId="77777777" w:rsidR="007947BF" w:rsidRPr="008463F3" w:rsidRDefault="007947BF" w:rsidP="00DA2AFC">
            <w:pPr>
              <w:spacing w:after="0" w:line="240" w:lineRule="auto"/>
              <w:rPr>
                <w:rFonts w:eastAsia="Times New Roman" w:cs="Arial"/>
                <w:sz w:val="20"/>
                <w:szCs w:val="20"/>
                <w:lang w:val="en-GB" w:eastAsia="en-GB"/>
              </w:rPr>
            </w:pPr>
          </w:p>
        </w:tc>
        <w:tc>
          <w:tcPr>
            <w:tcW w:w="990" w:type="dxa"/>
            <w:shd w:val="clear" w:color="auto" w:fill="auto"/>
            <w:vAlign w:val="bottom"/>
          </w:tcPr>
          <w:p w14:paraId="44F802B0" w14:textId="77777777" w:rsidR="007947BF" w:rsidRPr="008463F3" w:rsidRDefault="007947BF" w:rsidP="00DA2AFC">
            <w:pPr>
              <w:spacing w:after="0" w:line="240" w:lineRule="auto"/>
              <w:rPr>
                <w:rFonts w:eastAsia="Times New Roman" w:cs="Arial"/>
                <w:sz w:val="20"/>
                <w:szCs w:val="20"/>
                <w:lang w:val="en-GB" w:eastAsia="en-GB"/>
              </w:rPr>
            </w:pPr>
          </w:p>
        </w:tc>
        <w:tc>
          <w:tcPr>
            <w:tcW w:w="1390" w:type="dxa"/>
            <w:shd w:val="clear" w:color="auto" w:fill="auto"/>
            <w:vAlign w:val="bottom"/>
          </w:tcPr>
          <w:p w14:paraId="798C0216" w14:textId="77777777" w:rsidR="007947BF" w:rsidRPr="008463F3" w:rsidRDefault="007947BF" w:rsidP="00DA2AFC">
            <w:pPr>
              <w:spacing w:after="0" w:line="240" w:lineRule="auto"/>
              <w:rPr>
                <w:rFonts w:eastAsia="Times New Roman" w:cs="Arial"/>
                <w:sz w:val="20"/>
                <w:szCs w:val="20"/>
                <w:lang w:val="en-GB" w:eastAsia="en-GB"/>
              </w:rPr>
            </w:pPr>
          </w:p>
        </w:tc>
        <w:tc>
          <w:tcPr>
            <w:tcW w:w="1447" w:type="dxa"/>
          </w:tcPr>
          <w:p w14:paraId="0B38F244" w14:textId="77777777" w:rsidR="007947BF" w:rsidRPr="008463F3" w:rsidRDefault="007947BF" w:rsidP="00DA2AFC">
            <w:pPr>
              <w:spacing w:after="0" w:line="240" w:lineRule="auto"/>
              <w:rPr>
                <w:rFonts w:eastAsia="Times New Roman" w:cs="Arial"/>
                <w:sz w:val="20"/>
                <w:szCs w:val="20"/>
                <w:lang w:val="en-GB" w:eastAsia="en-GB"/>
              </w:rPr>
            </w:pPr>
          </w:p>
        </w:tc>
        <w:tc>
          <w:tcPr>
            <w:tcW w:w="1124" w:type="dxa"/>
          </w:tcPr>
          <w:p w14:paraId="22B2E050" w14:textId="77777777" w:rsidR="007947BF" w:rsidRPr="008463F3" w:rsidRDefault="007947BF" w:rsidP="00DA2AFC">
            <w:pPr>
              <w:spacing w:after="0" w:line="240" w:lineRule="auto"/>
              <w:rPr>
                <w:rFonts w:eastAsia="Times New Roman" w:cs="Arial"/>
                <w:sz w:val="20"/>
                <w:szCs w:val="20"/>
                <w:lang w:val="en-GB" w:eastAsia="en-GB"/>
              </w:rPr>
            </w:pPr>
          </w:p>
        </w:tc>
      </w:tr>
      <w:tr w:rsidR="007947BF" w:rsidRPr="008463F3" w14:paraId="72BD536C" w14:textId="77777777" w:rsidTr="00DA2AFC">
        <w:trPr>
          <w:jc w:val="center"/>
        </w:trPr>
        <w:tc>
          <w:tcPr>
            <w:tcW w:w="471" w:type="dxa"/>
            <w:shd w:val="clear" w:color="auto" w:fill="auto"/>
            <w:noWrap/>
            <w:vAlign w:val="bottom"/>
          </w:tcPr>
          <w:p w14:paraId="0F527E89" w14:textId="77777777" w:rsidR="007947BF" w:rsidRPr="008463F3" w:rsidRDefault="007947BF" w:rsidP="00DA2AFC">
            <w:pPr>
              <w:spacing w:after="0" w:line="240" w:lineRule="auto"/>
              <w:rPr>
                <w:rFonts w:eastAsia="Times New Roman" w:cs="Arial"/>
                <w:sz w:val="20"/>
                <w:szCs w:val="20"/>
                <w:lang w:val="en-GB" w:eastAsia="en-GB"/>
              </w:rPr>
            </w:pPr>
            <w:r w:rsidRPr="008463F3">
              <w:rPr>
                <w:rFonts w:eastAsia="Times New Roman" w:cs="Arial"/>
                <w:sz w:val="20"/>
                <w:szCs w:val="20"/>
                <w:lang w:val="en-GB" w:eastAsia="en-GB"/>
              </w:rPr>
              <w:t>…</w:t>
            </w:r>
          </w:p>
        </w:tc>
        <w:tc>
          <w:tcPr>
            <w:tcW w:w="2650" w:type="dxa"/>
            <w:shd w:val="clear" w:color="auto" w:fill="auto"/>
            <w:vAlign w:val="bottom"/>
          </w:tcPr>
          <w:p w14:paraId="6ACD0391" w14:textId="77777777" w:rsidR="007947BF" w:rsidRPr="008463F3" w:rsidRDefault="007947BF" w:rsidP="00DA2AFC">
            <w:pPr>
              <w:spacing w:after="0" w:line="240" w:lineRule="auto"/>
              <w:rPr>
                <w:rFonts w:eastAsia="Times New Roman" w:cs="Arial"/>
                <w:sz w:val="20"/>
                <w:szCs w:val="20"/>
                <w:lang w:val="en-GB" w:eastAsia="en-GB"/>
              </w:rPr>
            </w:pPr>
          </w:p>
        </w:tc>
        <w:tc>
          <w:tcPr>
            <w:tcW w:w="990" w:type="dxa"/>
            <w:vAlign w:val="bottom"/>
          </w:tcPr>
          <w:p w14:paraId="560EBB8C" w14:textId="77777777" w:rsidR="007947BF" w:rsidRPr="008463F3" w:rsidRDefault="007947BF" w:rsidP="00DA2AFC">
            <w:pPr>
              <w:spacing w:after="0" w:line="240" w:lineRule="auto"/>
              <w:rPr>
                <w:rFonts w:eastAsia="Times New Roman" w:cs="Arial"/>
                <w:sz w:val="20"/>
                <w:szCs w:val="20"/>
                <w:lang w:val="en-GB" w:eastAsia="en-GB"/>
              </w:rPr>
            </w:pPr>
          </w:p>
        </w:tc>
        <w:tc>
          <w:tcPr>
            <w:tcW w:w="990" w:type="dxa"/>
            <w:shd w:val="clear" w:color="auto" w:fill="auto"/>
            <w:vAlign w:val="bottom"/>
          </w:tcPr>
          <w:p w14:paraId="0E3DDD07" w14:textId="77777777" w:rsidR="007947BF" w:rsidRPr="008463F3" w:rsidRDefault="007947BF" w:rsidP="00DA2AFC">
            <w:pPr>
              <w:spacing w:after="0" w:line="240" w:lineRule="auto"/>
              <w:rPr>
                <w:rFonts w:eastAsia="Times New Roman" w:cs="Arial"/>
                <w:sz w:val="20"/>
                <w:szCs w:val="20"/>
                <w:lang w:val="en-GB" w:eastAsia="en-GB"/>
              </w:rPr>
            </w:pPr>
          </w:p>
        </w:tc>
        <w:tc>
          <w:tcPr>
            <w:tcW w:w="1390" w:type="dxa"/>
            <w:shd w:val="clear" w:color="auto" w:fill="auto"/>
            <w:vAlign w:val="bottom"/>
          </w:tcPr>
          <w:p w14:paraId="76550FFC" w14:textId="77777777" w:rsidR="007947BF" w:rsidRPr="008463F3" w:rsidRDefault="007947BF" w:rsidP="00DA2AFC">
            <w:pPr>
              <w:spacing w:after="0" w:line="240" w:lineRule="auto"/>
              <w:rPr>
                <w:rFonts w:eastAsia="Times New Roman" w:cs="Arial"/>
                <w:sz w:val="20"/>
                <w:szCs w:val="20"/>
                <w:lang w:val="en-GB" w:eastAsia="en-GB"/>
              </w:rPr>
            </w:pPr>
          </w:p>
        </w:tc>
        <w:tc>
          <w:tcPr>
            <w:tcW w:w="1447" w:type="dxa"/>
          </w:tcPr>
          <w:p w14:paraId="38532A76" w14:textId="77777777" w:rsidR="007947BF" w:rsidRPr="008463F3" w:rsidRDefault="007947BF" w:rsidP="00DA2AFC">
            <w:pPr>
              <w:spacing w:after="0" w:line="240" w:lineRule="auto"/>
              <w:rPr>
                <w:rFonts w:eastAsia="Times New Roman" w:cs="Arial"/>
                <w:sz w:val="20"/>
                <w:szCs w:val="20"/>
                <w:lang w:val="en-GB" w:eastAsia="en-GB"/>
              </w:rPr>
            </w:pPr>
          </w:p>
        </w:tc>
        <w:tc>
          <w:tcPr>
            <w:tcW w:w="1124" w:type="dxa"/>
          </w:tcPr>
          <w:p w14:paraId="6990CAB4" w14:textId="77777777" w:rsidR="007947BF" w:rsidRPr="008463F3" w:rsidRDefault="007947BF" w:rsidP="00DA2AFC">
            <w:pPr>
              <w:spacing w:after="0" w:line="240" w:lineRule="auto"/>
              <w:rPr>
                <w:rFonts w:eastAsia="Times New Roman" w:cs="Arial"/>
                <w:sz w:val="20"/>
                <w:szCs w:val="20"/>
                <w:lang w:val="en-GB" w:eastAsia="en-GB"/>
              </w:rPr>
            </w:pPr>
          </w:p>
        </w:tc>
      </w:tr>
      <w:tr w:rsidR="007947BF" w:rsidRPr="008463F3" w14:paraId="37C88736" w14:textId="77777777" w:rsidTr="00DA2AFC">
        <w:trPr>
          <w:jc w:val="center"/>
        </w:trPr>
        <w:tc>
          <w:tcPr>
            <w:tcW w:w="471" w:type="dxa"/>
            <w:shd w:val="clear" w:color="auto" w:fill="auto"/>
            <w:noWrap/>
            <w:vAlign w:val="bottom"/>
          </w:tcPr>
          <w:p w14:paraId="643655FC" w14:textId="77777777" w:rsidR="007947BF" w:rsidRPr="008463F3" w:rsidRDefault="007947BF" w:rsidP="00DA2AFC">
            <w:pPr>
              <w:spacing w:after="0" w:line="240" w:lineRule="auto"/>
              <w:rPr>
                <w:rFonts w:eastAsia="Times New Roman" w:cs="Arial"/>
                <w:sz w:val="20"/>
                <w:szCs w:val="20"/>
                <w:lang w:val="en-GB" w:eastAsia="en-GB"/>
              </w:rPr>
            </w:pPr>
            <w:r w:rsidRPr="008463F3">
              <w:rPr>
                <w:rFonts w:eastAsia="Times New Roman" w:cs="Arial"/>
                <w:sz w:val="20"/>
                <w:szCs w:val="20"/>
                <w:lang w:val="en-GB" w:eastAsia="en-GB"/>
              </w:rPr>
              <w:t>n</w:t>
            </w:r>
          </w:p>
        </w:tc>
        <w:tc>
          <w:tcPr>
            <w:tcW w:w="2650" w:type="dxa"/>
            <w:shd w:val="clear" w:color="auto" w:fill="auto"/>
            <w:vAlign w:val="bottom"/>
          </w:tcPr>
          <w:p w14:paraId="138D9937" w14:textId="77777777" w:rsidR="007947BF" w:rsidRPr="008463F3" w:rsidRDefault="007947BF" w:rsidP="00DA2AFC">
            <w:pPr>
              <w:spacing w:after="0" w:line="240" w:lineRule="auto"/>
              <w:rPr>
                <w:rFonts w:eastAsia="Times New Roman" w:cs="Arial"/>
                <w:sz w:val="20"/>
                <w:szCs w:val="20"/>
                <w:lang w:val="en-GB" w:eastAsia="en-GB"/>
              </w:rPr>
            </w:pPr>
          </w:p>
        </w:tc>
        <w:tc>
          <w:tcPr>
            <w:tcW w:w="990" w:type="dxa"/>
            <w:vAlign w:val="bottom"/>
          </w:tcPr>
          <w:p w14:paraId="3A3B7F57" w14:textId="77777777" w:rsidR="007947BF" w:rsidRPr="008463F3" w:rsidRDefault="007947BF" w:rsidP="00DA2AFC">
            <w:pPr>
              <w:spacing w:after="0" w:line="240" w:lineRule="auto"/>
              <w:rPr>
                <w:rFonts w:eastAsia="Times New Roman" w:cs="Arial"/>
                <w:sz w:val="20"/>
                <w:szCs w:val="20"/>
                <w:lang w:val="en-GB" w:eastAsia="en-GB"/>
              </w:rPr>
            </w:pPr>
          </w:p>
        </w:tc>
        <w:tc>
          <w:tcPr>
            <w:tcW w:w="990" w:type="dxa"/>
            <w:shd w:val="clear" w:color="auto" w:fill="auto"/>
            <w:vAlign w:val="bottom"/>
          </w:tcPr>
          <w:p w14:paraId="1790F477" w14:textId="77777777" w:rsidR="007947BF" w:rsidRPr="008463F3" w:rsidRDefault="007947BF" w:rsidP="00DA2AFC">
            <w:pPr>
              <w:spacing w:after="0" w:line="240" w:lineRule="auto"/>
              <w:rPr>
                <w:rFonts w:eastAsia="Times New Roman" w:cs="Arial"/>
                <w:sz w:val="20"/>
                <w:szCs w:val="20"/>
                <w:lang w:val="en-GB" w:eastAsia="en-GB"/>
              </w:rPr>
            </w:pPr>
          </w:p>
        </w:tc>
        <w:tc>
          <w:tcPr>
            <w:tcW w:w="1390" w:type="dxa"/>
            <w:shd w:val="clear" w:color="auto" w:fill="auto"/>
            <w:vAlign w:val="bottom"/>
          </w:tcPr>
          <w:p w14:paraId="2EFF3420" w14:textId="77777777" w:rsidR="007947BF" w:rsidRPr="008463F3" w:rsidRDefault="007947BF" w:rsidP="00DA2AFC">
            <w:pPr>
              <w:spacing w:after="0" w:line="240" w:lineRule="auto"/>
              <w:rPr>
                <w:rFonts w:eastAsia="Times New Roman" w:cs="Arial"/>
                <w:sz w:val="20"/>
                <w:szCs w:val="20"/>
                <w:lang w:val="en-GB" w:eastAsia="en-GB"/>
              </w:rPr>
            </w:pPr>
          </w:p>
        </w:tc>
        <w:tc>
          <w:tcPr>
            <w:tcW w:w="1447" w:type="dxa"/>
          </w:tcPr>
          <w:p w14:paraId="0F7F80A0" w14:textId="77777777" w:rsidR="007947BF" w:rsidRPr="008463F3" w:rsidRDefault="007947BF" w:rsidP="00DA2AFC">
            <w:pPr>
              <w:spacing w:after="0" w:line="240" w:lineRule="auto"/>
              <w:rPr>
                <w:rFonts w:eastAsia="Times New Roman" w:cs="Arial"/>
                <w:sz w:val="20"/>
                <w:szCs w:val="20"/>
                <w:lang w:val="en-GB" w:eastAsia="en-GB"/>
              </w:rPr>
            </w:pPr>
          </w:p>
        </w:tc>
        <w:tc>
          <w:tcPr>
            <w:tcW w:w="1124" w:type="dxa"/>
          </w:tcPr>
          <w:p w14:paraId="29763B2A" w14:textId="77777777" w:rsidR="007947BF" w:rsidRPr="008463F3" w:rsidRDefault="007947BF" w:rsidP="00DA2AFC">
            <w:pPr>
              <w:spacing w:after="0" w:line="240" w:lineRule="auto"/>
              <w:rPr>
                <w:rFonts w:eastAsia="Times New Roman" w:cs="Arial"/>
                <w:sz w:val="20"/>
                <w:szCs w:val="20"/>
                <w:lang w:val="en-GB" w:eastAsia="en-GB"/>
              </w:rPr>
            </w:pPr>
          </w:p>
        </w:tc>
      </w:tr>
    </w:tbl>
    <w:p w14:paraId="22F7EB00" w14:textId="77777777" w:rsidR="007947BF" w:rsidRPr="008463F3" w:rsidRDefault="007947BF" w:rsidP="007947BF">
      <w:pPr>
        <w:spacing w:after="0" w:line="252" w:lineRule="auto"/>
        <w:jc w:val="both"/>
        <w:rPr>
          <w:rFonts w:eastAsia="Calibri" w:cs="Arial"/>
          <w:b/>
          <w:sz w:val="18"/>
          <w:szCs w:val="18"/>
          <w:lang w:val="en-GB"/>
        </w:rPr>
      </w:pPr>
      <w:r w:rsidRPr="008463F3">
        <w:rPr>
          <w:rFonts w:eastAsia="Calibri" w:cs="Arial"/>
          <w:b/>
          <w:sz w:val="18"/>
          <w:szCs w:val="18"/>
          <w:lang w:val="en-GB"/>
        </w:rPr>
        <w:t>Instructions for completing Table 2.2:</w:t>
      </w:r>
    </w:p>
    <w:p w14:paraId="1BFF2450" w14:textId="77777777" w:rsidR="007947BF" w:rsidRPr="008463F3" w:rsidRDefault="007947BF" w:rsidP="007947BF">
      <w:pPr>
        <w:spacing w:after="0" w:line="252" w:lineRule="auto"/>
        <w:jc w:val="both"/>
        <w:rPr>
          <w:rFonts w:eastAsia="Calibri" w:cs="Arial"/>
          <w:sz w:val="18"/>
          <w:szCs w:val="18"/>
          <w:lang w:val="en-GB"/>
        </w:rPr>
      </w:pPr>
      <w:r w:rsidRPr="008463F3">
        <w:rPr>
          <w:rFonts w:eastAsia="Calibri" w:cs="Arial"/>
          <w:sz w:val="18"/>
          <w:szCs w:val="18"/>
          <w:lang w:val="en-GB"/>
        </w:rPr>
        <w:t>Please enter only th</w:t>
      </w:r>
      <w:r>
        <w:rPr>
          <w:rFonts w:eastAsia="Calibri" w:cs="Arial"/>
          <w:sz w:val="18"/>
          <w:szCs w:val="18"/>
          <w:lang w:val="en-GB"/>
        </w:rPr>
        <w:t>e</w:t>
      </w:r>
      <w:r w:rsidRPr="008463F3">
        <w:rPr>
          <w:rFonts w:eastAsia="Calibri" w:cs="Arial"/>
          <w:sz w:val="18"/>
          <w:szCs w:val="18"/>
          <w:lang w:val="en-GB"/>
        </w:rPr>
        <w:t xml:space="preserve"> equipment </w:t>
      </w:r>
      <w:r>
        <w:rPr>
          <w:rFonts w:eastAsia="Calibri" w:cs="Arial"/>
          <w:sz w:val="18"/>
          <w:szCs w:val="18"/>
          <w:lang w:val="en-GB"/>
        </w:rPr>
        <w:t>the</w:t>
      </w:r>
      <w:r w:rsidRPr="008463F3">
        <w:rPr>
          <w:rFonts w:eastAsia="Calibri" w:cs="Arial"/>
          <w:sz w:val="18"/>
          <w:szCs w:val="18"/>
          <w:lang w:val="en-GB"/>
        </w:rPr>
        <w:t xml:space="preserve"> purchase value </w:t>
      </w:r>
      <w:r>
        <w:rPr>
          <w:rFonts w:eastAsia="Calibri" w:cs="Arial"/>
          <w:sz w:val="18"/>
          <w:szCs w:val="18"/>
          <w:lang w:val="en-GB"/>
        </w:rPr>
        <w:t xml:space="preserve">of which </w:t>
      </w:r>
      <w:r w:rsidRPr="008463F3">
        <w:rPr>
          <w:rFonts w:eastAsia="Calibri" w:cs="Arial"/>
          <w:sz w:val="18"/>
          <w:szCs w:val="18"/>
          <w:lang w:val="en-GB"/>
        </w:rPr>
        <w:t>is above EUR 50,000.</w:t>
      </w:r>
    </w:p>
    <w:p w14:paraId="2620C537" w14:textId="77777777" w:rsidR="007947BF" w:rsidRPr="008463F3" w:rsidRDefault="007947BF" w:rsidP="007947BF">
      <w:pPr>
        <w:spacing w:after="0" w:line="252" w:lineRule="auto"/>
        <w:jc w:val="both"/>
        <w:rPr>
          <w:rFonts w:eastAsia="Calibri" w:cs="Arial"/>
          <w:sz w:val="18"/>
          <w:szCs w:val="18"/>
          <w:lang w:val="en-GB"/>
        </w:rPr>
      </w:pPr>
      <w:r w:rsidRPr="008463F3">
        <w:rPr>
          <w:rFonts w:eastAsia="Calibri" w:cs="Arial"/>
          <w:sz w:val="18"/>
          <w:szCs w:val="18"/>
          <w:lang w:val="en-GB"/>
        </w:rPr>
        <w:t xml:space="preserve">In the column </w:t>
      </w:r>
      <w:r>
        <w:rPr>
          <w:rFonts w:eastAsia="Calibri" w:cs="Arial"/>
          <w:sz w:val="18"/>
          <w:szCs w:val="18"/>
          <w:lang w:val="en-GB"/>
        </w:rPr>
        <w:t>“</w:t>
      </w:r>
      <w:r w:rsidRPr="008463F3">
        <w:rPr>
          <w:rFonts w:eastAsia="Calibri" w:cs="Arial"/>
          <w:sz w:val="18"/>
          <w:szCs w:val="18"/>
          <w:lang w:val="en-GB"/>
        </w:rPr>
        <w:t>The source of funds for the purchase of equipment</w:t>
      </w:r>
      <w:r>
        <w:rPr>
          <w:rFonts w:eastAsia="Calibri" w:cs="Arial"/>
          <w:sz w:val="18"/>
          <w:szCs w:val="18"/>
          <w:lang w:val="en-GB"/>
        </w:rPr>
        <w:t>”</w:t>
      </w:r>
      <w:r w:rsidRPr="008463F3">
        <w:rPr>
          <w:rFonts w:eastAsia="Calibri" w:cs="Arial"/>
          <w:sz w:val="18"/>
          <w:szCs w:val="18"/>
          <w:lang w:val="en-GB"/>
        </w:rPr>
        <w:t xml:space="preserve"> please enter the funding source. If there are two or more sources, please indicate each one with the participation share:</w:t>
      </w:r>
    </w:p>
    <w:p w14:paraId="523A92A4" w14:textId="77777777" w:rsidR="007947BF" w:rsidRPr="008463F3" w:rsidRDefault="007947BF" w:rsidP="007947BF">
      <w:pPr>
        <w:spacing w:after="0" w:line="252" w:lineRule="auto"/>
        <w:jc w:val="both"/>
        <w:rPr>
          <w:rFonts w:eastAsia="Calibri" w:cs="Arial"/>
          <w:sz w:val="18"/>
          <w:szCs w:val="18"/>
          <w:lang w:val="en-GB"/>
        </w:rPr>
      </w:pPr>
      <w:r w:rsidRPr="008463F3">
        <w:rPr>
          <w:rFonts w:eastAsia="Calibri" w:cs="Arial"/>
          <w:sz w:val="18"/>
          <w:szCs w:val="18"/>
          <w:lang w:val="en-GB"/>
        </w:rPr>
        <w:t>a. Own funds</w:t>
      </w:r>
    </w:p>
    <w:p w14:paraId="2C18783E" w14:textId="77777777" w:rsidR="007947BF" w:rsidRPr="008463F3" w:rsidRDefault="007947BF" w:rsidP="007947BF">
      <w:pPr>
        <w:spacing w:after="0" w:line="252" w:lineRule="auto"/>
        <w:jc w:val="both"/>
        <w:rPr>
          <w:rFonts w:eastAsia="Calibri" w:cs="Arial"/>
          <w:sz w:val="18"/>
          <w:szCs w:val="18"/>
          <w:lang w:val="en-GB"/>
        </w:rPr>
      </w:pPr>
      <w:r w:rsidRPr="008463F3">
        <w:rPr>
          <w:rFonts w:eastAsia="Calibri" w:cs="Arial"/>
          <w:sz w:val="18"/>
          <w:szCs w:val="18"/>
          <w:lang w:val="en-GB"/>
        </w:rPr>
        <w:t>b. Resources of the Ministry of Education and Science</w:t>
      </w:r>
    </w:p>
    <w:p w14:paraId="41C9B41F" w14:textId="77777777" w:rsidR="007947BF" w:rsidRPr="008463F3" w:rsidRDefault="007947BF" w:rsidP="007947BF">
      <w:pPr>
        <w:spacing w:after="0" w:line="252" w:lineRule="auto"/>
        <w:jc w:val="both"/>
        <w:rPr>
          <w:rFonts w:eastAsia="Calibri" w:cs="Arial"/>
          <w:sz w:val="18"/>
          <w:szCs w:val="18"/>
          <w:lang w:val="en-GB"/>
        </w:rPr>
      </w:pPr>
      <w:r w:rsidRPr="008463F3">
        <w:rPr>
          <w:rFonts w:eastAsia="Calibri" w:cs="Arial"/>
          <w:sz w:val="18"/>
          <w:szCs w:val="18"/>
          <w:lang w:val="en-GB"/>
        </w:rPr>
        <w:t>c. Resources of other ministries</w:t>
      </w:r>
    </w:p>
    <w:p w14:paraId="720FDBAE" w14:textId="77777777" w:rsidR="007947BF" w:rsidRPr="008463F3" w:rsidRDefault="007947BF" w:rsidP="007947BF">
      <w:pPr>
        <w:spacing w:after="0" w:line="252" w:lineRule="auto"/>
        <w:jc w:val="both"/>
        <w:rPr>
          <w:rFonts w:eastAsia="Calibri" w:cs="Arial"/>
          <w:sz w:val="18"/>
          <w:szCs w:val="18"/>
          <w:lang w:val="en-GB"/>
        </w:rPr>
      </w:pPr>
      <w:r w:rsidRPr="008463F3">
        <w:rPr>
          <w:rFonts w:eastAsia="Calibri" w:cs="Arial"/>
          <w:sz w:val="18"/>
          <w:szCs w:val="18"/>
          <w:lang w:val="en-GB"/>
        </w:rPr>
        <w:t xml:space="preserve">d. </w:t>
      </w:r>
      <w:r>
        <w:rPr>
          <w:rFonts w:eastAsia="Calibri" w:cs="Arial"/>
          <w:sz w:val="18"/>
          <w:szCs w:val="18"/>
          <w:lang w:val="en-GB"/>
        </w:rPr>
        <w:t>Public Funds</w:t>
      </w:r>
      <w:r w:rsidRPr="008463F3">
        <w:rPr>
          <w:rFonts w:eastAsia="Calibri" w:cs="Arial"/>
          <w:sz w:val="18"/>
          <w:szCs w:val="18"/>
          <w:lang w:val="en-GB"/>
        </w:rPr>
        <w:t xml:space="preserve"> </w:t>
      </w:r>
    </w:p>
    <w:p w14:paraId="656B9AEB" w14:textId="77777777" w:rsidR="007947BF" w:rsidRPr="008463F3" w:rsidRDefault="007947BF" w:rsidP="007947BF">
      <w:pPr>
        <w:spacing w:after="0" w:line="252" w:lineRule="auto"/>
        <w:jc w:val="both"/>
        <w:rPr>
          <w:rFonts w:eastAsia="Calibri" w:cs="Arial"/>
          <w:sz w:val="18"/>
          <w:szCs w:val="18"/>
          <w:lang w:val="en-GB"/>
        </w:rPr>
      </w:pPr>
      <w:r w:rsidRPr="008463F3">
        <w:rPr>
          <w:rFonts w:eastAsia="Calibri" w:cs="Arial"/>
          <w:sz w:val="18"/>
          <w:szCs w:val="18"/>
          <w:lang w:val="en-GB"/>
        </w:rPr>
        <w:t>e. Donations</w:t>
      </w:r>
    </w:p>
    <w:p w14:paraId="6C231B2F" w14:textId="77777777" w:rsidR="007947BF" w:rsidRPr="008463F3" w:rsidRDefault="007947BF" w:rsidP="007947BF">
      <w:pPr>
        <w:spacing w:after="0" w:line="252" w:lineRule="auto"/>
        <w:jc w:val="both"/>
        <w:rPr>
          <w:rFonts w:eastAsia="Calibri" w:cs="Arial"/>
          <w:sz w:val="18"/>
          <w:szCs w:val="18"/>
          <w:lang w:val="en-GB"/>
        </w:rPr>
      </w:pPr>
      <w:r w:rsidRPr="008463F3">
        <w:rPr>
          <w:rFonts w:eastAsia="Calibri" w:cs="Arial"/>
          <w:sz w:val="18"/>
          <w:szCs w:val="18"/>
          <w:lang w:val="en-GB"/>
        </w:rPr>
        <w:t>f. Funds from international projects</w:t>
      </w:r>
    </w:p>
    <w:p w14:paraId="19D6D6E8" w14:textId="77777777" w:rsidR="007947BF" w:rsidRPr="008463F3" w:rsidRDefault="007947BF" w:rsidP="007947BF">
      <w:pPr>
        <w:spacing w:after="0" w:line="252" w:lineRule="auto"/>
        <w:jc w:val="both"/>
        <w:rPr>
          <w:rFonts w:eastAsia="Calibri" w:cs="Arial"/>
          <w:sz w:val="18"/>
          <w:szCs w:val="18"/>
          <w:lang w:val="en-GB"/>
        </w:rPr>
      </w:pPr>
      <w:r w:rsidRPr="008463F3">
        <w:rPr>
          <w:rFonts w:eastAsia="Calibri" w:cs="Arial"/>
          <w:sz w:val="18"/>
          <w:szCs w:val="18"/>
          <w:lang w:val="en-GB"/>
        </w:rPr>
        <w:t xml:space="preserve">g. Funds / </w:t>
      </w:r>
      <w:r>
        <w:rPr>
          <w:rFonts w:eastAsia="Calibri" w:cs="Arial"/>
          <w:sz w:val="18"/>
          <w:szCs w:val="18"/>
          <w:lang w:val="en-GB"/>
        </w:rPr>
        <w:t>international donations</w:t>
      </w:r>
    </w:p>
    <w:p w14:paraId="61FF4D6F" w14:textId="77777777" w:rsidR="007947BF" w:rsidRPr="008463F3" w:rsidRDefault="007947BF" w:rsidP="007947BF">
      <w:pPr>
        <w:spacing w:after="0" w:line="252" w:lineRule="auto"/>
        <w:jc w:val="both"/>
        <w:rPr>
          <w:rFonts w:eastAsia="Calibri" w:cs="Arial"/>
          <w:sz w:val="18"/>
          <w:szCs w:val="18"/>
          <w:lang w:val="en-GB"/>
        </w:rPr>
      </w:pPr>
      <w:r w:rsidRPr="008463F3">
        <w:rPr>
          <w:rFonts w:eastAsia="Calibri" w:cs="Arial"/>
          <w:sz w:val="18"/>
          <w:szCs w:val="18"/>
          <w:lang w:val="en-GB"/>
        </w:rPr>
        <w:t>h. Other sources - specify which!</w:t>
      </w:r>
    </w:p>
    <w:p w14:paraId="1A4A7C49" w14:textId="77777777" w:rsidR="007947BF" w:rsidRPr="008463F3" w:rsidRDefault="007947BF" w:rsidP="007947BF">
      <w:pPr>
        <w:spacing w:after="0" w:line="240" w:lineRule="auto"/>
        <w:rPr>
          <w:rFonts w:eastAsia="Calibri" w:cs="Arial"/>
          <w:sz w:val="24"/>
          <w:lang w:val="en-GB"/>
        </w:rPr>
      </w:pPr>
    </w:p>
    <w:p w14:paraId="368EB1A5" w14:textId="77777777" w:rsidR="007947BF" w:rsidRPr="008463F3" w:rsidRDefault="007947BF" w:rsidP="007947BF">
      <w:pPr>
        <w:rPr>
          <w:b/>
          <w:sz w:val="28"/>
          <w:lang w:val="en-GB"/>
        </w:rPr>
      </w:pPr>
      <w:r w:rsidRPr="008463F3">
        <w:rPr>
          <w:b/>
          <w:sz w:val="28"/>
          <w:lang w:val="en-GB"/>
        </w:rPr>
        <w:t>3. Information on access, collaboration and impact</w:t>
      </w:r>
    </w:p>
    <w:p w14:paraId="1B41D877" w14:textId="77777777" w:rsidR="007947BF" w:rsidRPr="008463F3" w:rsidRDefault="007947BF" w:rsidP="007947BF">
      <w:pPr>
        <w:rPr>
          <w:b/>
          <w:sz w:val="24"/>
          <w:lang w:val="en-GB"/>
        </w:rPr>
      </w:pPr>
      <w:r w:rsidRPr="008463F3">
        <w:rPr>
          <w:b/>
          <w:sz w:val="24"/>
          <w:lang w:val="en-GB"/>
        </w:rPr>
        <w:t>3.1. Information on access</w:t>
      </w:r>
    </w:p>
    <w:p w14:paraId="481A18AF" w14:textId="77777777" w:rsidR="007947BF" w:rsidRPr="008463F3" w:rsidRDefault="007947BF" w:rsidP="007947BF">
      <w:pPr>
        <w:spacing w:after="0"/>
        <w:rPr>
          <w:lang w:val="en-GB"/>
        </w:rPr>
      </w:pPr>
      <w:r w:rsidRPr="008463F3">
        <w:rPr>
          <w:lang w:val="en-GB"/>
        </w:rPr>
        <w:t xml:space="preserve">Please provide short description of access policy and procedures for users of this research infrastructure. </w:t>
      </w:r>
    </w:p>
    <w:tbl>
      <w:tblPr>
        <w:tblStyle w:val="TableGrid"/>
        <w:tblW w:w="5000" w:type="pct"/>
        <w:tblLook w:val="04A0" w:firstRow="1" w:lastRow="0" w:firstColumn="1" w:lastColumn="0" w:noHBand="0" w:noVBand="1"/>
      </w:tblPr>
      <w:tblGrid>
        <w:gridCol w:w="9062"/>
      </w:tblGrid>
      <w:tr w:rsidR="007947BF" w:rsidRPr="008463F3" w14:paraId="3FCFE805" w14:textId="77777777" w:rsidTr="00DA2AFC">
        <w:tc>
          <w:tcPr>
            <w:tcW w:w="5000" w:type="pct"/>
          </w:tcPr>
          <w:p w14:paraId="2C31C80B" w14:textId="77777777" w:rsidR="007947BF" w:rsidRPr="008463F3" w:rsidRDefault="007947BF" w:rsidP="00DA2AFC">
            <w:pPr>
              <w:rPr>
                <w:rFonts w:eastAsia="Calibri" w:cs="Arial"/>
                <w:b/>
                <w:sz w:val="24"/>
                <w:lang w:val="en-GB"/>
              </w:rPr>
            </w:pPr>
          </w:p>
          <w:p w14:paraId="0CD41901" w14:textId="77777777" w:rsidR="007947BF" w:rsidRPr="008463F3" w:rsidRDefault="007947BF" w:rsidP="00DA2AFC">
            <w:pPr>
              <w:rPr>
                <w:rFonts w:eastAsia="Calibri" w:cs="Arial"/>
                <w:b/>
                <w:sz w:val="24"/>
                <w:lang w:val="en-GB"/>
              </w:rPr>
            </w:pPr>
          </w:p>
        </w:tc>
      </w:tr>
    </w:tbl>
    <w:p w14:paraId="2604EB8C" w14:textId="77777777" w:rsidR="007947BF" w:rsidRPr="008463F3" w:rsidRDefault="007947BF" w:rsidP="007947BF">
      <w:pPr>
        <w:rPr>
          <w:rFonts w:eastAsia="Calibri" w:cs="Arial"/>
          <w:b/>
          <w:lang w:val="en-GB"/>
        </w:rPr>
      </w:pPr>
    </w:p>
    <w:p w14:paraId="25CD2AA2" w14:textId="77777777" w:rsidR="007947BF" w:rsidRPr="008463F3" w:rsidRDefault="007947BF" w:rsidP="007947BF">
      <w:pPr>
        <w:rPr>
          <w:b/>
          <w:lang w:val="en-GB"/>
        </w:rPr>
      </w:pPr>
      <w:r w:rsidRPr="008463F3">
        <w:rPr>
          <w:b/>
          <w:lang w:val="en-GB"/>
        </w:rPr>
        <w:t>3.1.1. Information on external users</w:t>
      </w:r>
    </w:p>
    <w:tbl>
      <w:tblPr>
        <w:tblStyle w:val="TableGrid"/>
        <w:tblW w:w="0" w:type="auto"/>
        <w:tblLook w:val="04A0" w:firstRow="1" w:lastRow="0" w:firstColumn="1" w:lastColumn="0" w:noHBand="0" w:noVBand="1"/>
      </w:tblPr>
      <w:tblGrid>
        <w:gridCol w:w="4524"/>
        <w:gridCol w:w="4538"/>
      </w:tblGrid>
      <w:tr w:rsidR="007947BF" w:rsidRPr="008463F3" w14:paraId="550A2D8F" w14:textId="77777777" w:rsidTr="00DA2AFC">
        <w:tc>
          <w:tcPr>
            <w:tcW w:w="4927" w:type="dxa"/>
          </w:tcPr>
          <w:p w14:paraId="4AE95B59" w14:textId="77777777" w:rsidR="007947BF" w:rsidRPr="008463F3" w:rsidRDefault="007947BF" w:rsidP="00DA2AFC">
            <w:pPr>
              <w:rPr>
                <w:rFonts w:eastAsia="Calibri" w:cs="Arial"/>
                <w:b/>
                <w:lang w:val="en-GB"/>
              </w:rPr>
            </w:pPr>
            <w:r w:rsidRPr="008463F3">
              <w:rPr>
                <w:rFonts w:eastAsia="Calibri" w:cs="Arial"/>
                <w:b/>
                <w:lang w:val="en-GB"/>
              </w:rPr>
              <w:t>Users of RI</w:t>
            </w:r>
          </w:p>
        </w:tc>
        <w:tc>
          <w:tcPr>
            <w:tcW w:w="4927" w:type="dxa"/>
          </w:tcPr>
          <w:p w14:paraId="75623EA5" w14:textId="77777777" w:rsidR="007947BF" w:rsidRPr="008463F3" w:rsidRDefault="007947BF" w:rsidP="00DA2AFC">
            <w:pPr>
              <w:rPr>
                <w:rFonts w:eastAsia="Calibri" w:cs="Arial"/>
                <w:b/>
                <w:lang w:val="en-GB"/>
              </w:rPr>
            </w:pPr>
            <w:r w:rsidRPr="008463F3">
              <w:rPr>
                <w:rFonts w:eastAsia="Calibri" w:cs="Arial"/>
                <w:b/>
                <w:lang w:val="en-GB"/>
              </w:rPr>
              <w:t>Please specify the name of Institution, department</w:t>
            </w:r>
          </w:p>
        </w:tc>
      </w:tr>
      <w:tr w:rsidR="007947BF" w:rsidRPr="008463F3" w14:paraId="541D5399" w14:textId="77777777" w:rsidTr="00DA2AFC">
        <w:tc>
          <w:tcPr>
            <w:tcW w:w="4927" w:type="dxa"/>
          </w:tcPr>
          <w:p w14:paraId="0282BD44" w14:textId="77777777" w:rsidR="007947BF" w:rsidRPr="008463F3" w:rsidRDefault="007947BF" w:rsidP="00DA2AFC">
            <w:pPr>
              <w:rPr>
                <w:rFonts w:eastAsia="Calibri" w:cs="Arial"/>
                <w:lang w:val="en-GB"/>
              </w:rPr>
            </w:pPr>
            <w:r w:rsidRPr="008463F3">
              <w:rPr>
                <w:rFonts w:eastAsia="Calibri" w:cs="Arial"/>
                <w:lang w:val="en-GB"/>
              </w:rPr>
              <w:t>Research groups from your economy</w:t>
            </w:r>
          </w:p>
        </w:tc>
        <w:tc>
          <w:tcPr>
            <w:tcW w:w="4927" w:type="dxa"/>
          </w:tcPr>
          <w:p w14:paraId="6CA385E9" w14:textId="77777777" w:rsidR="007947BF" w:rsidRPr="008463F3" w:rsidRDefault="007947BF" w:rsidP="00DA2AFC">
            <w:pPr>
              <w:rPr>
                <w:rFonts w:eastAsia="Calibri" w:cs="Arial"/>
                <w:b/>
                <w:lang w:val="en-GB"/>
              </w:rPr>
            </w:pPr>
          </w:p>
          <w:p w14:paraId="58551BEE" w14:textId="77777777" w:rsidR="007947BF" w:rsidRPr="008463F3" w:rsidRDefault="007947BF" w:rsidP="00DA2AFC">
            <w:pPr>
              <w:rPr>
                <w:rFonts w:eastAsia="Calibri" w:cs="Arial"/>
                <w:b/>
                <w:lang w:val="en-GB"/>
              </w:rPr>
            </w:pPr>
          </w:p>
        </w:tc>
      </w:tr>
      <w:tr w:rsidR="007947BF" w:rsidRPr="008463F3" w14:paraId="7B6CA909" w14:textId="77777777" w:rsidTr="00DA2AFC">
        <w:tc>
          <w:tcPr>
            <w:tcW w:w="4927" w:type="dxa"/>
          </w:tcPr>
          <w:p w14:paraId="041D0222" w14:textId="77777777" w:rsidR="007947BF" w:rsidRPr="008463F3" w:rsidRDefault="007947BF" w:rsidP="00DA2AFC">
            <w:pPr>
              <w:rPr>
                <w:rFonts w:eastAsia="Calibri" w:cs="Arial"/>
                <w:lang w:val="en-GB"/>
              </w:rPr>
            </w:pPr>
            <w:r w:rsidRPr="008463F3">
              <w:rPr>
                <w:rFonts w:eastAsia="Calibri" w:cs="Arial"/>
                <w:lang w:val="en-GB"/>
              </w:rPr>
              <w:t xml:space="preserve">Research groups from Western Balkan economies </w:t>
            </w:r>
          </w:p>
        </w:tc>
        <w:tc>
          <w:tcPr>
            <w:tcW w:w="4927" w:type="dxa"/>
          </w:tcPr>
          <w:p w14:paraId="67E774E4" w14:textId="77777777" w:rsidR="007947BF" w:rsidRPr="008463F3" w:rsidRDefault="007947BF" w:rsidP="00DA2AFC">
            <w:pPr>
              <w:rPr>
                <w:rFonts w:eastAsia="Calibri" w:cs="Arial"/>
                <w:b/>
                <w:lang w:val="en-GB"/>
              </w:rPr>
            </w:pPr>
          </w:p>
          <w:p w14:paraId="357C44EB" w14:textId="77777777" w:rsidR="007947BF" w:rsidRPr="008463F3" w:rsidRDefault="007947BF" w:rsidP="00DA2AFC">
            <w:pPr>
              <w:rPr>
                <w:rFonts w:eastAsia="Calibri" w:cs="Arial"/>
                <w:b/>
                <w:lang w:val="en-GB"/>
              </w:rPr>
            </w:pPr>
          </w:p>
        </w:tc>
      </w:tr>
      <w:tr w:rsidR="007947BF" w:rsidRPr="008463F3" w14:paraId="198A8AD3" w14:textId="77777777" w:rsidTr="00DA2AFC">
        <w:tc>
          <w:tcPr>
            <w:tcW w:w="4927" w:type="dxa"/>
          </w:tcPr>
          <w:p w14:paraId="129DAAEB" w14:textId="77777777" w:rsidR="007947BF" w:rsidRPr="008463F3" w:rsidRDefault="007947BF" w:rsidP="00DA2AFC">
            <w:pPr>
              <w:rPr>
                <w:rFonts w:eastAsia="Calibri" w:cs="Arial"/>
                <w:lang w:val="en-GB"/>
              </w:rPr>
            </w:pPr>
            <w:r w:rsidRPr="008463F3">
              <w:rPr>
                <w:rFonts w:eastAsia="Calibri" w:cs="Arial"/>
                <w:lang w:val="en-GB"/>
              </w:rPr>
              <w:t>Research groups from EU and other countries</w:t>
            </w:r>
          </w:p>
        </w:tc>
        <w:tc>
          <w:tcPr>
            <w:tcW w:w="4927" w:type="dxa"/>
          </w:tcPr>
          <w:p w14:paraId="45B2BB88" w14:textId="77777777" w:rsidR="007947BF" w:rsidRPr="008463F3" w:rsidRDefault="007947BF" w:rsidP="00DA2AFC">
            <w:pPr>
              <w:rPr>
                <w:rFonts w:eastAsia="Calibri" w:cs="Arial"/>
                <w:b/>
                <w:lang w:val="en-GB"/>
              </w:rPr>
            </w:pPr>
          </w:p>
          <w:p w14:paraId="74D13927" w14:textId="77777777" w:rsidR="007947BF" w:rsidRPr="008463F3" w:rsidRDefault="007947BF" w:rsidP="00DA2AFC">
            <w:pPr>
              <w:rPr>
                <w:rFonts w:eastAsia="Calibri" w:cs="Arial"/>
                <w:b/>
                <w:lang w:val="en-GB"/>
              </w:rPr>
            </w:pPr>
          </w:p>
        </w:tc>
      </w:tr>
    </w:tbl>
    <w:p w14:paraId="72FC8BA7" w14:textId="77777777" w:rsidR="007947BF" w:rsidRPr="008463F3" w:rsidRDefault="007947BF" w:rsidP="007947BF">
      <w:pPr>
        <w:rPr>
          <w:rFonts w:eastAsia="Calibri" w:cs="Arial"/>
          <w:b/>
          <w:lang w:val="en-GB"/>
        </w:rPr>
      </w:pPr>
    </w:p>
    <w:p w14:paraId="5D867F0D" w14:textId="77777777" w:rsidR="007947BF" w:rsidRPr="008463F3" w:rsidRDefault="007947BF" w:rsidP="007947BF">
      <w:pPr>
        <w:rPr>
          <w:b/>
          <w:sz w:val="24"/>
          <w:lang w:val="en-GB"/>
        </w:rPr>
      </w:pPr>
      <w:r w:rsidRPr="008463F3">
        <w:rPr>
          <w:b/>
          <w:sz w:val="24"/>
          <w:lang w:val="en-GB"/>
        </w:rPr>
        <w:t>3.2. Information on cooperation</w:t>
      </w:r>
    </w:p>
    <w:p w14:paraId="0BC4F975" w14:textId="77777777" w:rsidR="007947BF" w:rsidRPr="008463F3" w:rsidRDefault="007947BF" w:rsidP="007947BF">
      <w:pPr>
        <w:spacing w:after="0"/>
        <w:rPr>
          <w:rFonts w:eastAsia="Calibri" w:cs="Arial"/>
          <w:lang w:val="en-GB"/>
        </w:rPr>
      </w:pPr>
      <w:r w:rsidRPr="008463F3">
        <w:rPr>
          <w:rFonts w:eastAsia="Calibri" w:cs="Arial"/>
          <w:lang w:val="en-GB"/>
        </w:rPr>
        <w:t>Please list the international co-operation agreements and partnerships in which this RI has been involved.</w:t>
      </w:r>
    </w:p>
    <w:tbl>
      <w:tblPr>
        <w:tblStyle w:val="TableGrid"/>
        <w:tblW w:w="0" w:type="auto"/>
        <w:tblLook w:val="04A0" w:firstRow="1" w:lastRow="0" w:firstColumn="1" w:lastColumn="0" w:noHBand="0" w:noVBand="1"/>
      </w:tblPr>
      <w:tblGrid>
        <w:gridCol w:w="9062"/>
      </w:tblGrid>
      <w:tr w:rsidR="007947BF" w:rsidRPr="008463F3" w14:paraId="5337C42D" w14:textId="77777777" w:rsidTr="00DA2AFC">
        <w:tc>
          <w:tcPr>
            <w:tcW w:w="9242" w:type="dxa"/>
          </w:tcPr>
          <w:p w14:paraId="1EA2A7EA" w14:textId="77777777" w:rsidR="007947BF" w:rsidRPr="008463F3" w:rsidRDefault="007947BF" w:rsidP="00DA2AFC">
            <w:pPr>
              <w:rPr>
                <w:rFonts w:eastAsia="Calibri" w:cs="Arial"/>
                <w:sz w:val="24"/>
                <w:lang w:val="en-GB"/>
              </w:rPr>
            </w:pPr>
          </w:p>
          <w:p w14:paraId="61108E81" w14:textId="77777777" w:rsidR="007947BF" w:rsidRPr="008463F3" w:rsidRDefault="007947BF" w:rsidP="00DA2AFC">
            <w:pPr>
              <w:rPr>
                <w:rFonts w:eastAsia="Calibri" w:cs="Arial"/>
                <w:sz w:val="24"/>
                <w:lang w:val="en-GB"/>
              </w:rPr>
            </w:pPr>
          </w:p>
        </w:tc>
      </w:tr>
    </w:tbl>
    <w:p w14:paraId="1D6DDFF8" w14:textId="77777777" w:rsidR="007947BF" w:rsidRPr="008463F3" w:rsidRDefault="007947BF" w:rsidP="007947BF">
      <w:pPr>
        <w:rPr>
          <w:b/>
          <w:lang w:val="en-GB"/>
        </w:rPr>
      </w:pPr>
      <w:r w:rsidRPr="008463F3">
        <w:rPr>
          <w:b/>
          <w:lang w:val="en-GB"/>
        </w:rPr>
        <w:t>3.2.1. Integration into larger RIs</w:t>
      </w:r>
    </w:p>
    <w:p w14:paraId="1B35FCF8" w14:textId="77777777" w:rsidR="007947BF" w:rsidRPr="008463F3" w:rsidRDefault="007947BF" w:rsidP="007947BF">
      <w:pPr>
        <w:jc w:val="both"/>
        <w:rPr>
          <w:lang w:val="en-GB"/>
        </w:rPr>
      </w:pPr>
      <w:r w:rsidRPr="008463F3">
        <w:rPr>
          <w:lang w:val="en-GB"/>
        </w:rPr>
        <w:t xml:space="preserve">Is RI connected or integrated into larger RIs (international) or is it a member of any European RI?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665"/>
      </w:tblGrid>
      <w:tr w:rsidR="007947BF" w:rsidRPr="008463F3" w14:paraId="47FD6B4D" w14:textId="77777777" w:rsidTr="00DA2AFC">
        <w:sdt>
          <w:sdtPr>
            <w:rPr>
              <w:lang w:val="en-GB"/>
            </w:rPr>
            <w:id w:val="1383675351"/>
            <w14:checkbox>
              <w14:checked w14:val="0"/>
              <w14:checkedState w14:val="2612" w14:font="MS Gothic"/>
              <w14:uncheckedState w14:val="2610" w14:font="MS Gothic"/>
            </w14:checkbox>
          </w:sdtPr>
          <w:sdtEndPr/>
          <w:sdtContent>
            <w:tc>
              <w:tcPr>
                <w:tcW w:w="436" w:type="dxa"/>
              </w:tcPr>
              <w:p w14:paraId="013681B3" w14:textId="77777777" w:rsidR="007947BF" w:rsidRPr="008463F3" w:rsidRDefault="007947BF" w:rsidP="00DA2AFC">
                <w:pPr>
                  <w:jc w:val="both"/>
                  <w:rPr>
                    <w:lang w:val="en-GB"/>
                  </w:rPr>
                </w:pPr>
                <w:r w:rsidRPr="008463F3">
                  <w:rPr>
                    <w:rFonts w:ascii="MS Gothic" w:eastAsia="MS Gothic" w:hAnsi="MS Gothic" w:cs="MS Gothic"/>
                    <w:lang w:val="en-GB"/>
                  </w:rPr>
                  <w:t>☐</w:t>
                </w:r>
              </w:p>
            </w:tc>
          </w:sdtContent>
        </w:sdt>
        <w:tc>
          <w:tcPr>
            <w:tcW w:w="665" w:type="dxa"/>
          </w:tcPr>
          <w:p w14:paraId="231A6E12" w14:textId="77777777" w:rsidR="007947BF" w:rsidRPr="008463F3" w:rsidRDefault="007947BF" w:rsidP="00DA2AFC">
            <w:pPr>
              <w:jc w:val="both"/>
              <w:rPr>
                <w:lang w:val="en-GB"/>
              </w:rPr>
            </w:pPr>
            <w:r w:rsidRPr="008463F3">
              <w:rPr>
                <w:lang w:val="en-GB"/>
              </w:rPr>
              <w:t>Yes</w:t>
            </w:r>
          </w:p>
        </w:tc>
      </w:tr>
      <w:tr w:rsidR="007947BF" w:rsidRPr="008463F3" w14:paraId="75561F52" w14:textId="77777777" w:rsidTr="00DA2AFC">
        <w:sdt>
          <w:sdtPr>
            <w:rPr>
              <w:lang w:val="en-GB"/>
            </w:rPr>
            <w:id w:val="871190773"/>
            <w14:checkbox>
              <w14:checked w14:val="0"/>
              <w14:checkedState w14:val="2612" w14:font="MS Gothic"/>
              <w14:uncheckedState w14:val="2610" w14:font="MS Gothic"/>
            </w14:checkbox>
          </w:sdtPr>
          <w:sdtEndPr/>
          <w:sdtContent>
            <w:tc>
              <w:tcPr>
                <w:tcW w:w="436" w:type="dxa"/>
              </w:tcPr>
              <w:p w14:paraId="600A483E" w14:textId="77777777" w:rsidR="007947BF" w:rsidRPr="008463F3" w:rsidRDefault="007947BF" w:rsidP="00DA2AFC">
                <w:pPr>
                  <w:jc w:val="both"/>
                  <w:rPr>
                    <w:lang w:val="en-GB"/>
                  </w:rPr>
                </w:pPr>
                <w:r w:rsidRPr="008463F3">
                  <w:rPr>
                    <w:rFonts w:ascii="MS Gothic" w:eastAsia="MS Gothic" w:hAnsi="MS Gothic" w:cs="MS Gothic"/>
                    <w:lang w:val="en-GB"/>
                  </w:rPr>
                  <w:t>☐</w:t>
                </w:r>
              </w:p>
            </w:tc>
          </w:sdtContent>
        </w:sdt>
        <w:tc>
          <w:tcPr>
            <w:tcW w:w="665" w:type="dxa"/>
          </w:tcPr>
          <w:p w14:paraId="05825DD3" w14:textId="77777777" w:rsidR="007947BF" w:rsidRPr="008463F3" w:rsidRDefault="007947BF" w:rsidP="00DA2AFC">
            <w:pPr>
              <w:jc w:val="both"/>
              <w:rPr>
                <w:lang w:val="en-GB"/>
              </w:rPr>
            </w:pPr>
            <w:r w:rsidRPr="008463F3">
              <w:rPr>
                <w:lang w:val="en-GB"/>
              </w:rPr>
              <w:t>No</w:t>
            </w:r>
          </w:p>
        </w:tc>
      </w:tr>
    </w:tbl>
    <w:p w14:paraId="03FC8B6C" w14:textId="77777777" w:rsidR="007947BF" w:rsidRPr="008463F3" w:rsidRDefault="007947BF" w:rsidP="007947BF">
      <w:pPr>
        <w:jc w:val="both"/>
        <w:rPr>
          <w:lang w:val="en-GB"/>
        </w:rPr>
      </w:pPr>
      <w:r w:rsidRPr="008463F3">
        <w:rPr>
          <w:lang w:val="en-GB"/>
        </w:rPr>
        <w:t xml:space="preserve">If yes, please specify the details: </w:t>
      </w:r>
    </w:p>
    <w:tbl>
      <w:tblPr>
        <w:tblStyle w:val="TableGrid"/>
        <w:tblW w:w="0" w:type="auto"/>
        <w:tblLook w:val="04A0" w:firstRow="1" w:lastRow="0" w:firstColumn="1" w:lastColumn="0" w:noHBand="0" w:noVBand="1"/>
      </w:tblPr>
      <w:tblGrid>
        <w:gridCol w:w="3622"/>
        <w:gridCol w:w="3153"/>
        <w:gridCol w:w="2287"/>
      </w:tblGrid>
      <w:tr w:rsidR="007947BF" w:rsidRPr="008463F3" w14:paraId="6CE6AC15" w14:textId="77777777" w:rsidTr="00DA2AFC">
        <w:tc>
          <w:tcPr>
            <w:tcW w:w="3936" w:type="dxa"/>
          </w:tcPr>
          <w:p w14:paraId="0A7D60D1" w14:textId="77777777" w:rsidR="007947BF" w:rsidRPr="008463F3" w:rsidRDefault="007947BF" w:rsidP="00DA2AFC">
            <w:pPr>
              <w:jc w:val="both"/>
              <w:rPr>
                <w:lang w:val="en-GB"/>
              </w:rPr>
            </w:pPr>
            <w:r w:rsidRPr="008463F3">
              <w:rPr>
                <w:lang w:val="en-GB"/>
              </w:rPr>
              <w:t>The name of larger RI:</w:t>
            </w:r>
          </w:p>
        </w:tc>
        <w:tc>
          <w:tcPr>
            <w:tcW w:w="5918" w:type="dxa"/>
            <w:gridSpan w:val="2"/>
          </w:tcPr>
          <w:p w14:paraId="06F7D658" w14:textId="77777777" w:rsidR="007947BF" w:rsidRPr="008463F3" w:rsidRDefault="007947BF" w:rsidP="00DA2AFC">
            <w:pPr>
              <w:jc w:val="both"/>
              <w:rPr>
                <w:lang w:val="en-GB"/>
              </w:rPr>
            </w:pPr>
          </w:p>
        </w:tc>
      </w:tr>
      <w:tr w:rsidR="007947BF" w:rsidRPr="008463F3" w14:paraId="180A7151" w14:textId="77777777" w:rsidTr="00DA2AFC">
        <w:tc>
          <w:tcPr>
            <w:tcW w:w="3936" w:type="dxa"/>
          </w:tcPr>
          <w:p w14:paraId="686491B8" w14:textId="77777777" w:rsidR="007947BF" w:rsidRPr="008463F3" w:rsidRDefault="007947BF" w:rsidP="00DA2AFC">
            <w:pPr>
              <w:jc w:val="both"/>
              <w:rPr>
                <w:lang w:val="en-GB"/>
              </w:rPr>
            </w:pPr>
            <w:r w:rsidRPr="008463F3">
              <w:rPr>
                <w:lang w:val="en-GB"/>
              </w:rPr>
              <w:t>Membership conditions:</w:t>
            </w:r>
          </w:p>
        </w:tc>
        <w:tc>
          <w:tcPr>
            <w:tcW w:w="3454" w:type="dxa"/>
          </w:tcPr>
          <w:p w14:paraId="753735DA" w14:textId="77777777" w:rsidR="007947BF" w:rsidRPr="008463F3" w:rsidRDefault="001E6D5A" w:rsidP="00DA2AFC">
            <w:pPr>
              <w:jc w:val="both"/>
              <w:rPr>
                <w:lang w:val="en-GB"/>
              </w:rPr>
            </w:pPr>
            <w:sdt>
              <w:sdtPr>
                <w:rPr>
                  <w:lang w:val="en-GB"/>
                </w:rPr>
                <w:id w:val="-104661072"/>
                <w14:checkbox>
                  <w14:checked w14:val="0"/>
                  <w14:checkedState w14:val="2612" w14:font="MS Gothic"/>
                  <w14:uncheckedState w14:val="2610" w14:font="MS Gothic"/>
                </w14:checkbox>
              </w:sdtPr>
              <w:sdtEndPr/>
              <w:sdtContent>
                <w:r w:rsidR="007947BF" w:rsidRPr="008463F3">
                  <w:rPr>
                    <w:rFonts w:ascii="MS Gothic" w:eastAsia="MS Gothic" w:hAnsi="MS Gothic" w:cs="MS Gothic"/>
                    <w:lang w:val="en-GB"/>
                  </w:rPr>
                  <w:t>☐</w:t>
                </w:r>
              </w:sdtContent>
            </w:sdt>
            <w:r w:rsidR="007947BF" w:rsidRPr="008463F3">
              <w:rPr>
                <w:lang w:val="en-GB"/>
              </w:rPr>
              <w:t>Active</w:t>
            </w:r>
          </w:p>
        </w:tc>
        <w:tc>
          <w:tcPr>
            <w:tcW w:w="2464" w:type="dxa"/>
          </w:tcPr>
          <w:p w14:paraId="6219EF9E" w14:textId="77777777" w:rsidR="007947BF" w:rsidRPr="008463F3" w:rsidRDefault="001E6D5A" w:rsidP="00DA2AFC">
            <w:pPr>
              <w:jc w:val="both"/>
              <w:rPr>
                <w:lang w:val="en-GB"/>
              </w:rPr>
            </w:pPr>
            <w:sdt>
              <w:sdtPr>
                <w:rPr>
                  <w:lang w:val="en-GB"/>
                </w:rPr>
                <w:id w:val="1097292609"/>
                <w14:checkbox>
                  <w14:checked w14:val="0"/>
                  <w14:checkedState w14:val="2612" w14:font="MS Gothic"/>
                  <w14:uncheckedState w14:val="2610" w14:font="MS Gothic"/>
                </w14:checkbox>
              </w:sdtPr>
              <w:sdtEndPr/>
              <w:sdtContent>
                <w:r w:rsidR="007947BF" w:rsidRPr="008463F3">
                  <w:rPr>
                    <w:rFonts w:ascii="MS Gothic" w:eastAsia="MS Gothic" w:hAnsi="MS Gothic" w:cs="MS Gothic"/>
                    <w:lang w:val="en-GB"/>
                  </w:rPr>
                  <w:t>☐</w:t>
                </w:r>
              </w:sdtContent>
            </w:sdt>
            <w:r w:rsidR="007947BF" w:rsidRPr="008463F3">
              <w:rPr>
                <w:lang w:val="en-GB"/>
              </w:rPr>
              <w:t>Joined</w:t>
            </w:r>
          </w:p>
        </w:tc>
      </w:tr>
      <w:tr w:rsidR="007947BF" w:rsidRPr="008463F3" w14:paraId="18F8253F" w14:textId="77777777" w:rsidTr="00DA2AFC">
        <w:tc>
          <w:tcPr>
            <w:tcW w:w="3936" w:type="dxa"/>
          </w:tcPr>
          <w:p w14:paraId="63A9FFFF" w14:textId="77777777" w:rsidR="007947BF" w:rsidRPr="008463F3" w:rsidRDefault="007947BF" w:rsidP="00DA2AFC">
            <w:pPr>
              <w:jc w:val="both"/>
              <w:rPr>
                <w:lang w:val="en-GB"/>
              </w:rPr>
            </w:pPr>
            <w:r w:rsidRPr="008463F3">
              <w:rPr>
                <w:lang w:val="en-GB"/>
              </w:rPr>
              <w:t>Membership fee, who finances it:</w:t>
            </w:r>
          </w:p>
        </w:tc>
        <w:tc>
          <w:tcPr>
            <w:tcW w:w="5918" w:type="dxa"/>
            <w:gridSpan w:val="2"/>
          </w:tcPr>
          <w:p w14:paraId="0BCED619" w14:textId="77777777" w:rsidR="007947BF" w:rsidRPr="008463F3" w:rsidRDefault="007947BF" w:rsidP="00DA2AFC">
            <w:pPr>
              <w:jc w:val="both"/>
              <w:rPr>
                <w:lang w:val="en-GB"/>
              </w:rPr>
            </w:pPr>
          </w:p>
        </w:tc>
      </w:tr>
      <w:tr w:rsidR="007947BF" w:rsidRPr="008463F3" w14:paraId="00CF97C8" w14:textId="77777777" w:rsidTr="00DA2AFC">
        <w:tc>
          <w:tcPr>
            <w:tcW w:w="3936" w:type="dxa"/>
          </w:tcPr>
          <w:p w14:paraId="02B9A327" w14:textId="77777777" w:rsidR="007947BF" w:rsidRPr="008463F3" w:rsidRDefault="007947BF" w:rsidP="00DA2AFC">
            <w:pPr>
              <w:jc w:val="both"/>
              <w:rPr>
                <w:lang w:val="en-GB"/>
              </w:rPr>
            </w:pPr>
            <w:r w:rsidRPr="008463F3">
              <w:rPr>
                <w:lang w:val="en-GB"/>
              </w:rPr>
              <w:t>Additional information:</w:t>
            </w:r>
          </w:p>
        </w:tc>
        <w:tc>
          <w:tcPr>
            <w:tcW w:w="5918" w:type="dxa"/>
            <w:gridSpan w:val="2"/>
          </w:tcPr>
          <w:p w14:paraId="26B4CAAA" w14:textId="77777777" w:rsidR="007947BF" w:rsidRPr="008463F3" w:rsidRDefault="007947BF" w:rsidP="00DA2AFC">
            <w:pPr>
              <w:jc w:val="both"/>
              <w:rPr>
                <w:lang w:val="en-GB"/>
              </w:rPr>
            </w:pPr>
          </w:p>
        </w:tc>
      </w:tr>
    </w:tbl>
    <w:p w14:paraId="36FE8ABB" w14:textId="77777777" w:rsidR="007947BF" w:rsidRPr="008463F3" w:rsidRDefault="007947BF" w:rsidP="007947BF">
      <w:pPr>
        <w:rPr>
          <w:rFonts w:eastAsia="Calibri" w:cs="Arial"/>
          <w:sz w:val="24"/>
          <w:lang w:val="en-GB"/>
        </w:rPr>
      </w:pPr>
    </w:p>
    <w:p w14:paraId="5E1CEED1" w14:textId="77777777" w:rsidR="007947BF" w:rsidRPr="008463F3" w:rsidRDefault="007947BF" w:rsidP="007947BF">
      <w:pPr>
        <w:rPr>
          <w:b/>
          <w:sz w:val="24"/>
          <w:lang w:val="en-GB"/>
        </w:rPr>
      </w:pPr>
      <w:r w:rsidRPr="008463F3">
        <w:rPr>
          <w:b/>
          <w:sz w:val="24"/>
          <w:lang w:val="en-GB"/>
        </w:rPr>
        <w:t>3.3. Engagement in projects related to research infrastructure development</w:t>
      </w:r>
    </w:p>
    <w:p w14:paraId="1702A6CA" w14:textId="77777777" w:rsidR="007947BF" w:rsidRPr="008463F3" w:rsidRDefault="007947BF" w:rsidP="007947BF">
      <w:pPr>
        <w:rPr>
          <w:lang w:val="en-GB"/>
        </w:rPr>
      </w:pPr>
      <w:r w:rsidRPr="008463F3">
        <w:rPr>
          <w:lang w:val="en-GB"/>
        </w:rPr>
        <w:t xml:space="preserve">Have you been engaged in a project aiming at the development of research infrastructure?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665"/>
      </w:tblGrid>
      <w:tr w:rsidR="007947BF" w:rsidRPr="008463F3" w14:paraId="39208204" w14:textId="77777777" w:rsidTr="00DA2AFC">
        <w:sdt>
          <w:sdtPr>
            <w:rPr>
              <w:lang w:val="en-GB"/>
            </w:rPr>
            <w:id w:val="-528870544"/>
            <w14:checkbox>
              <w14:checked w14:val="0"/>
              <w14:checkedState w14:val="2612" w14:font="MS Gothic"/>
              <w14:uncheckedState w14:val="2610" w14:font="MS Gothic"/>
            </w14:checkbox>
          </w:sdtPr>
          <w:sdtEndPr/>
          <w:sdtContent>
            <w:tc>
              <w:tcPr>
                <w:tcW w:w="436" w:type="dxa"/>
              </w:tcPr>
              <w:p w14:paraId="5BC54535" w14:textId="77777777" w:rsidR="007947BF" w:rsidRPr="008463F3" w:rsidRDefault="007947BF" w:rsidP="00DA2AFC">
                <w:pPr>
                  <w:jc w:val="both"/>
                  <w:rPr>
                    <w:lang w:val="en-GB"/>
                  </w:rPr>
                </w:pPr>
                <w:r w:rsidRPr="008463F3">
                  <w:rPr>
                    <w:rFonts w:ascii="MS Gothic" w:eastAsia="MS Gothic" w:hAnsi="MS Gothic" w:cs="MS Gothic"/>
                    <w:lang w:val="en-GB"/>
                  </w:rPr>
                  <w:t>☐</w:t>
                </w:r>
              </w:p>
            </w:tc>
          </w:sdtContent>
        </w:sdt>
        <w:tc>
          <w:tcPr>
            <w:tcW w:w="665" w:type="dxa"/>
          </w:tcPr>
          <w:p w14:paraId="39FCFA71" w14:textId="77777777" w:rsidR="007947BF" w:rsidRPr="008463F3" w:rsidRDefault="007947BF" w:rsidP="00DA2AFC">
            <w:pPr>
              <w:jc w:val="both"/>
              <w:rPr>
                <w:lang w:val="en-GB"/>
              </w:rPr>
            </w:pPr>
            <w:r w:rsidRPr="008463F3">
              <w:rPr>
                <w:lang w:val="en-GB"/>
              </w:rPr>
              <w:t>Yes</w:t>
            </w:r>
          </w:p>
        </w:tc>
      </w:tr>
      <w:tr w:rsidR="007947BF" w:rsidRPr="008463F3" w14:paraId="7FC65EBB" w14:textId="77777777" w:rsidTr="00DA2AFC">
        <w:sdt>
          <w:sdtPr>
            <w:rPr>
              <w:lang w:val="en-GB"/>
            </w:rPr>
            <w:id w:val="-316277131"/>
            <w14:checkbox>
              <w14:checked w14:val="0"/>
              <w14:checkedState w14:val="2612" w14:font="MS Gothic"/>
              <w14:uncheckedState w14:val="2610" w14:font="MS Gothic"/>
            </w14:checkbox>
          </w:sdtPr>
          <w:sdtEndPr/>
          <w:sdtContent>
            <w:tc>
              <w:tcPr>
                <w:tcW w:w="436" w:type="dxa"/>
              </w:tcPr>
              <w:p w14:paraId="2F289970" w14:textId="77777777" w:rsidR="007947BF" w:rsidRPr="008463F3" w:rsidRDefault="007947BF" w:rsidP="00DA2AFC">
                <w:pPr>
                  <w:jc w:val="both"/>
                  <w:rPr>
                    <w:lang w:val="en-GB"/>
                  </w:rPr>
                </w:pPr>
                <w:r w:rsidRPr="008463F3">
                  <w:rPr>
                    <w:rFonts w:ascii="MS Gothic" w:eastAsia="MS Gothic" w:hAnsi="MS Gothic" w:cs="MS Gothic"/>
                    <w:lang w:val="en-GB"/>
                  </w:rPr>
                  <w:t>☐</w:t>
                </w:r>
              </w:p>
            </w:tc>
          </w:sdtContent>
        </w:sdt>
        <w:tc>
          <w:tcPr>
            <w:tcW w:w="665" w:type="dxa"/>
          </w:tcPr>
          <w:p w14:paraId="43932A30" w14:textId="77777777" w:rsidR="007947BF" w:rsidRPr="008463F3" w:rsidRDefault="007947BF" w:rsidP="00DA2AFC">
            <w:pPr>
              <w:jc w:val="both"/>
              <w:rPr>
                <w:lang w:val="en-GB"/>
              </w:rPr>
            </w:pPr>
            <w:r w:rsidRPr="008463F3">
              <w:rPr>
                <w:lang w:val="en-GB"/>
              </w:rPr>
              <w:t>No</w:t>
            </w:r>
          </w:p>
        </w:tc>
      </w:tr>
    </w:tbl>
    <w:p w14:paraId="782D3054" w14:textId="77777777" w:rsidR="007947BF" w:rsidRPr="008463F3" w:rsidRDefault="007947BF" w:rsidP="007947BF">
      <w:pPr>
        <w:rPr>
          <w:lang w:val="en-GB"/>
        </w:rPr>
      </w:pPr>
      <w:r w:rsidRPr="008463F3">
        <w:rPr>
          <w:lang w:val="en-GB"/>
        </w:rPr>
        <w:t xml:space="preserve">If yes, please specify the details: </w:t>
      </w:r>
    </w:p>
    <w:tbl>
      <w:tblPr>
        <w:tblStyle w:val="TableGrid"/>
        <w:tblW w:w="0" w:type="auto"/>
        <w:tblLook w:val="04A0" w:firstRow="1" w:lastRow="0" w:firstColumn="1" w:lastColumn="0" w:noHBand="0" w:noVBand="1"/>
      </w:tblPr>
      <w:tblGrid>
        <w:gridCol w:w="3926"/>
        <w:gridCol w:w="5136"/>
      </w:tblGrid>
      <w:tr w:rsidR="007947BF" w:rsidRPr="008463F3" w14:paraId="255E457A" w14:textId="77777777" w:rsidTr="00DA2AFC">
        <w:tc>
          <w:tcPr>
            <w:tcW w:w="4219" w:type="dxa"/>
          </w:tcPr>
          <w:p w14:paraId="78A40537" w14:textId="77777777" w:rsidR="007947BF" w:rsidRPr="008463F3" w:rsidRDefault="007947BF" w:rsidP="00DA2AFC">
            <w:pPr>
              <w:rPr>
                <w:lang w:val="en-GB"/>
              </w:rPr>
            </w:pPr>
            <w:r w:rsidRPr="008463F3">
              <w:rPr>
                <w:lang w:val="en-GB"/>
              </w:rPr>
              <w:t>Title of the project:</w:t>
            </w:r>
          </w:p>
        </w:tc>
        <w:tc>
          <w:tcPr>
            <w:tcW w:w="5635" w:type="dxa"/>
          </w:tcPr>
          <w:p w14:paraId="4769152D" w14:textId="77777777" w:rsidR="007947BF" w:rsidRPr="008463F3" w:rsidRDefault="007947BF" w:rsidP="00DA2AFC">
            <w:pPr>
              <w:rPr>
                <w:lang w:val="en-GB"/>
              </w:rPr>
            </w:pPr>
          </w:p>
        </w:tc>
      </w:tr>
      <w:tr w:rsidR="007947BF" w:rsidRPr="008463F3" w14:paraId="2D253ACB" w14:textId="77777777" w:rsidTr="00DA2AFC">
        <w:tc>
          <w:tcPr>
            <w:tcW w:w="4219" w:type="dxa"/>
          </w:tcPr>
          <w:p w14:paraId="2C9C22E7" w14:textId="77777777" w:rsidR="007947BF" w:rsidRPr="008463F3" w:rsidRDefault="007947BF" w:rsidP="00DA2AFC">
            <w:pPr>
              <w:rPr>
                <w:lang w:val="en-GB"/>
              </w:rPr>
            </w:pPr>
            <w:r w:rsidRPr="008463F3">
              <w:rPr>
                <w:lang w:val="en-GB"/>
              </w:rPr>
              <w:t>Time duration:</w:t>
            </w:r>
          </w:p>
        </w:tc>
        <w:tc>
          <w:tcPr>
            <w:tcW w:w="5635" w:type="dxa"/>
          </w:tcPr>
          <w:p w14:paraId="7CF3B9A0" w14:textId="77777777" w:rsidR="007947BF" w:rsidRPr="008463F3" w:rsidRDefault="007947BF" w:rsidP="00DA2AFC">
            <w:pPr>
              <w:rPr>
                <w:lang w:val="en-GB"/>
              </w:rPr>
            </w:pPr>
          </w:p>
        </w:tc>
      </w:tr>
      <w:tr w:rsidR="007947BF" w:rsidRPr="008463F3" w14:paraId="2FB8B744" w14:textId="77777777" w:rsidTr="00DA2AFC">
        <w:tc>
          <w:tcPr>
            <w:tcW w:w="4219" w:type="dxa"/>
          </w:tcPr>
          <w:p w14:paraId="084D4768" w14:textId="77777777" w:rsidR="007947BF" w:rsidRPr="008463F3" w:rsidRDefault="007947BF" w:rsidP="00DA2AFC">
            <w:pPr>
              <w:rPr>
                <w:lang w:val="en-GB"/>
              </w:rPr>
            </w:pPr>
            <w:r w:rsidRPr="008463F3">
              <w:rPr>
                <w:lang w:val="en-GB"/>
              </w:rPr>
              <w:t>Link to web address:</w:t>
            </w:r>
          </w:p>
        </w:tc>
        <w:tc>
          <w:tcPr>
            <w:tcW w:w="5635" w:type="dxa"/>
          </w:tcPr>
          <w:p w14:paraId="17B9031A" w14:textId="77777777" w:rsidR="007947BF" w:rsidRPr="008463F3" w:rsidRDefault="007947BF" w:rsidP="00DA2AFC">
            <w:pPr>
              <w:rPr>
                <w:lang w:val="en-GB"/>
              </w:rPr>
            </w:pPr>
          </w:p>
        </w:tc>
      </w:tr>
    </w:tbl>
    <w:p w14:paraId="5C5B75BB" w14:textId="77777777" w:rsidR="007947BF" w:rsidRPr="008463F3" w:rsidRDefault="007947BF" w:rsidP="007947BF">
      <w:pPr>
        <w:rPr>
          <w:rFonts w:eastAsia="Calibri" w:cs="Arial"/>
          <w:lang w:val="en-GB"/>
        </w:rPr>
      </w:pPr>
      <w:r w:rsidRPr="008463F3">
        <w:rPr>
          <w:rFonts w:eastAsia="Calibri" w:cs="Arial"/>
          <w:lang w:val="en-GB"/>
        </w:rPr>
        <w:t>Please add new rows if necessary.</w:t>
      </w:r>
    </w:p>
    <w:p w14:paraId="3BC07275" w14:textId="77777777" w:rsidR="007947BF" w:rsidRPr="008463F3" w:rsidRDefault="007947BF" w:rsidP="007947BF">
      <w:pPr>
        <w:rPr>
          <w:b/>
          <w:sz w:val="24"/>
          <w:lang w:val="en-GB"/>
        </w:rPr>
      </w:pPr>
      <w:r w:rsidRPr="008463F3">
        <w:rPr>
          <w:b/>
          <w:sz w:val="24"/>
          <w:lang w:val="en-GB"/>
        </w:rPr>
        <w:t>3.4. Plan for the Future</w:t>
      </w:r>
    </w:p>
    <w:p w14:paraId="60F3BF14" w14:textId="77777777" w:rsidR="007947BF" w:rsidRPr="008463F3" w:rsidRDefault="007947BF" w:rsidP="007947BF">
      <w:pPr>
        <w:spacing w:after="0"/>
        <w:rPr>
          <w:rFonts w:eastAsia="Calibri" w:cs="Arial"/>
          <w:lang w:val="en-GB"/>
        </w:rPr>
      </w:pPr>
      <w:r w:rsidRPr="008463F3">
        <w:rPr>
          <w:rFonts w:eastAsia="Calibri" w:cs="Arial"/>
          <w:lang w:val="en-GB"/>
        </w:rPr>
        <w:t xml:space="preserve">Please describe in detail the plan for the next period, at least for 2-5 years: </w:t>
      </w:r>
    </w:p>
    <w:tbl>
      <w:tblPr>
        <w:tblStyle w:val="TableGrid"/>
        <w:tblW w:w="0" w:type="auto"/>
        <w:tblLook w:val="04A0" w:firstRow="1" w:lastRow="0" w:firstColumn="1" w:lastColumn="0" w:noHBand="0" w:noVBand="1"/>
      </w:tblPr>
      <w:tblGrid>
        <w:gridCol w:w="4595"/>
        <w:gridCol w:w="4467"/>
      </w:tblGrid>
      <w:tr w:rsidR="007947BF" w:rsidRPr="008463F3" w14:paraId="4060B93C" w14:textId="77777777" w:rsidTr="00DA2AFC">
        <w:tc>
          <w:tcPr>
            <w:tcW w:w="4927" w:type="dxa"/>
          </w:tcPr>
          <w:p w14:paraId="01F65489" w14:textId="77777777" w:rsidR="007947BF" w:rsidRPr="008463F3" w:rsidRDefault="007947BF" w:rsidP="00DA2AFC">
            <w:pPr>
              <w:rPr>
                <w:rFonts w:eastAsia="Calibri" w:cs="Arial"/>
                <w:lang w:val="en-GB"/>
              </w:rPr>
            </w:pPr>
            <w:r w:rsidRPr="008463F3">
              <w:rPr>
                <w:rFonts w:eastAsia="Calibri" w:cs="Arial"/>
                <w:lang w:val="en-GB"/>
              </w:rPr>
              <w:t>Future investments in research equipment:</w:t>
            </w:r>
          </w:p>
        </w:tc>
        <w:tc>
          <w:tcPr>
            <w:tcW w:w="4927" w:type="dxa"/>
          </w:tcPr>
          <w:p w14:paraId="6215BF52" w14:textId="77777777" w:rsidR="007947BF" w:rsidRPr="008463F3" w:rsidRDefault="007947BF" w:rsidP="00DA2AFC">
            <w:pPr>
              <w:rPr>
                <w:rFonts w:eastAsia="Calibri" w:cs="Arial"/>
                <w:lang w:val="en-GB"/>
              </w:rPr>
            </w:pPr>
          </w:p>
          <w:p w14:paraId="7759856E" w14:textId="77777777" w:rsidR="007947BF" w:rsidRPr="008463F3" w:rsidRDefault="007947BF" w:rsidP="00DA2AFC">
            <w:pPr>
              <w:rPr>
                <w:rFonts w:eastAsia="Calibri" w:cs="Arial"/>
                <w:lang w:val="en-GB"/>
              </w:rPr>
            </w:pPr>
          </w:p>
        </w:tc>
      </w:tr>
      <w:tr w:rsidR="007947BF" w:rsidRPr="008463F3" w14:paraId="6C543C09" w14:textId="77777777" w:rsidTr="00DA2AFC">
        <w:tc>
          <w:tcPr>
            <w:tcW w:w="4927" w:type="dxa"/>
          </w:tcPr>
          <w:p w14:paraId="59AEF867" w14:textId="77777777" w:rsidR="007947BF" w:rsidRPr="008463F3" w:rsidRDefault="007947BF" w:rsidP="00DA2AFC">
            <w:pPr>
              <w:rPr>
                <w:rFonts w:eastAsia="Calibri" w:cs="Arial"/>
                <w:lang w:val="en-GB"/>
              </w:rPr>
            </w:pPr>
            <w:r w:rsidRPr="008463F3">
              <w:rPr>
                <w:rFonts w:eastAsia="Calibri" w:cs="Arial"/>
                <w:lang w:val="en-GB"/>
              </w:rPr>
              <w:t>Is integration into larger research infrastructures considered:</w:t>
            </w:r>
          </w:p>
        </w:tc>
        <w:tc>
          <w:tcPr>
            <w:tcW w:w="4927" w:type="dxa"/>
          </w:tcPr>
          <w:p w14:paraId="287C7DCE" w14:textId="77777777" w:rsidR="007947BF" w:rsidRPr="008463F3" w:rsidRDefault="007947BF" w:rsidP="00DA2AFC">
            <w:pPr>
              <w:rPr>
                <w:rFonts w:eastAsia="Calibri" w:cs="Arial"/>
                <w:lang w:val="en-GB"/>
              </w:rPr>
            </w:pPr>
          </w:p>
          <w:p w14:paraId="4AF32160" w14:textId="77777777" w:rsidR="007947BF" w:rsidRPr="008463F3" w:rsidRDefault="007947BF" w:rsidP="00DA2AFC">
            <w:pPr>
              <w:rPr>
                <w:rFonts w:eastAsia="Calibri" w:cs="Arial"/>
                <w:lang w:val="en-GB"/>
              </w:rPr>
            </w:pPr>
          </w:p>
        </w:tc>
      </w:tr>
      <w:tr w:rsidR="007947BF" w:rsidRPr="008463F3" w14:paraId="6A736C4C" w14:textId="77777777" w:rsidTr="00DA2AFC">
        <w:tc>
          <w:tcPr>
            <w:tcW w:w="4927" w:type="dxa"/>
          </w:tcPr>
          <w:p w14:paraId="76900F24" w14:textId="77777777" w:rsidR="007947BF" w:rsidRPr="008463F3" w:rsidRDefault="007947BF" w:rsidP="00DA2AFC">
            <w:pPr>
              <w:rPr>
                <w:rFonts w:eastAsia="Calibri" w:cs="Arial"/>
                <w:lang w:val="en-GB"/>
              </w:rPr>
            </w:pPr>
            <w:r w:rsidRPr="008463F3">
              <w:rPr>
                <w:rFonts w:eastAsia="Calibri" w:cs="Arial"/>
                <w:lang w:val="en-GB"/>
              </w:rPr>
              <w:t>Other relevant information:</w:t>
            </w:r>
          </w:p>
        </w:tc>
        <w:tc>
          <w:tcPr>
            <w:tcW w:w="4927" w:type="dxa"/>
          </w:tcPr>
          <w:p w14:paraId="0FA1CB3F" w14:textId="77777777" w:rsidR="007947BF" w:rsidRPr="008463F3" w:rsidRDefault="007947BF" w:rsidP="00DA2AFC">
            <w:pPr>
              <w:rPr>
                <w:rFonts w:eastAsia="Calibri" w:cs="Arial"/>
                <w:lang w:val="en-GB"/>
              </w:rPr>
            </w:pPr>
          </w:p>
          <w:p w14:paraId="4CFEEA68" w14:textId="77777777" w:rsidR="007947BF" w:rsidRPr="008463F3" w:rsidRDefault="007947BF" w:rsidP="00DA2AFC">
            <w:pPr>
              <w:rPr>
                <w:rFonts w:eastAsia="Calibri" w:cs="Arial"/>
                <w:lang w:val="en-GB"/>
              </w:rPr>
            </w:pPr>
          </w:p>
        </w:tc>
      </w:tr>
    </w:tbl>
    <w:p w14:paraId="690E9B9D" w14:textId="77777777" w:rsidR="007947BF" w:rsidRPr="008463F3" w:rsidRDefault="007947BF" w:rsidP="007947BF">
      <w:pPr>
        <w:spacing w:after="0"/>
        <w:rPr>
          <w:rFonts w:eastAsia="Calibri" w:cs="Arial"/>
          <w:lang w:val="en-GB"/>
        </w:rPr>
      </w:pPr>
    </w:p>
    <w:p w14:paraId="7074C779" w14:textId="77777777" w:rsidR="007947BF" w:rsidRPr="008463F3" w:rsidRDefault="007947BF" w:rsidP="007947BF">
      <w:pPr>
        <w:spacing w:after="0"/>
        <w:rPr>
          <w:rFonts w:eastAsia="Calibri" w:cs="Arial"/>
          <w:lang w:val="en-GB"/>
        </w:rPr>
      </w:pPr>
    </w:p>
    <w:p w14:paraId="4B156D4F" w14:textId="77777777" w:rsidR="007947BF" w:rsidRPr="008463F3" w:rsidRDefault="007947BF" w:rsidP="007947BF">
      <w:pPr>
        <w:pStyle w:val="Heading1"/>
        <w:rPr>
          <w:rFonts w:asciiTheme="minorHAnsi" w:hAnsiTheme="minorHAnsi" w:cstheme="minorHAnsi"/>
          <w:sz w:val="32"/>
        </w:rPr>
      </w:pPr>
    </w:p>
    <w:p w14:paraId="100F4F63" w14:textId="77777777" w:rsidR="007947BF" w:rsidRPr="008463F3" w:rsidRDefault="007947BF" w:rsidP="007947BF">
      <w:pPr>
        <w:rPr>
          <w:lang w:val="en-GB"/>
        </w:rPr>
      </w:pPr>
    </w:p>
    <w:p w14:paraId="36653AB8" w14:textId="77777777" w:rsidR="007947BF" w:rsidRPr="008463F3" w:rsidRDefault="007947BF" w:rsidP="007947BF">
      <w:pPr>
        <w:rPr>
          <w:lang w:val="en-GB"/>
        </w:rPr>
      </w:pPr>
    </w:p>
    <w:p w14:paraId="648A6FB2" w14:textId="77777777" w:rsidR="007947BF" w:rsidRPr="008463F3" w:rsidRDefault="007947BF" w:rsidP="007947BF">
      <w:pPr>
        <w:rPr>
          <w:rFonts w:eastAsiaTheme="majorEastAsia" w:cstheme="minorHAnsi"/>
          <w:b/>
          <w:bCs/>
          <w:color w:val="365F91" w:themeColor="accent1" w:themeShade="BF"/>
          <w:sz w:val="32"/>
          <w:szCs w:val="28"/>
          <w:lang w:val="en-GB"/>
        </w:rPr>
      </w:pPr>
      <w:r w:rsidRPr="008463F3">
        <w:rPr>
          <w:rFonts w:cstheme="minorHAnsi"/>
          <w:sz w:val="32"/>
          <w:lang w:val="en-GB"/>
        </w:rPr>
        <w:br w:type="page"/>
      </w:r>
    </w:p>
    <w:p w14:paraId="2DEBEB1D" w14:textId="77777777" w:rsidR="007947BF" w:rsidRPr="008463F3" w:rsidRDefault="007947BF" w:rsidP="007947BF">
      <w:pPr>
        <w:pStyle w:val="Heading1"/>
        <w:rPr>
          <w:rFonts w:asciiTheme="minorHAnsi" w:hAnsiTheme="minorHAnsi" w:cstheme="minorHAnsi"/>
          <w:b w:val="0"/>
          <w:bCs w:val="0"/>
          <w:sz w:val="32"/>
        </w:rPr>
      </w:pPr>
      <w:bookmarkStart w:id="57" w:name="_Toc63107237"/>
      <w:bookmarkStart w:id="58" w:name="_Toc64639531"/>
      <w:bookmarkStart w:id="59" w:name="_Toc77322055"/>
      <w:r w:rsidRPr="008463F3">
        <w:rPr>
          <w:rFonts w:asciiTheme="minorHAnsi" w:hAnsiTheme="minorHAnsi" w:cstheme="minorHAnsi"/>
          <w:sz w:val="32"/>
        </w:rPr>
        <w:t>APPENDIX 3:</w:t>
      </w:r>
      <w:r w:rsidRPr="008463F3">
        <w:rPr>
          <w:rFonts w:asciiTheme="minorHAnsi" w:hAnsiTheme="minorHAnsi" w:cstheme="minorHAnsi"/>
        </w:rPr>
        <w:t xml:space="preserve"> </w:t>
      </w:r>
      <w:bookmarkEnd w:id="56"/>
      <w:bookmarkEnd w:id="57"/>
      <w:r w:rsidRPr="008463F3">
        <w:rPr>
          <w:rFonts w:asciiTheme="minorHAnsi" w:hAnsiTheme="minorHAnsi" w:cstheme="minorHAnsi"/>
          <w:sz w:val="32"/>
        </w:rPr>
        <w:t>Detailed instructions for completing the survey</w:t>
      </w:r>
      <w:bookmarkEnd w:id="58"/>
      <w:bookmarkEnd w:id="59"/>
    </w:p>
    <w:p w14:paraId="4EA77D25" w14:textId="77777777" w:rsidR="007947BF" w:rsidRPr="008463F3" w:rsidRDefault="007947BF" w:rsidP="007947BF">
      <w:pPr>
        <w:spacing w:after="0" w:line="252" w:lineRule="auto"/>
        <w:jc w:val="both"/>
        <w:rPr>
          <w:rFonts w:cs="Arial"/>
          <w:color w:val="0049DA"/>
          <w:lang w:val="en-GB"/>
        </w:rPr>
      </w:pPr>
    </w:p>
    <w:p w14:paraId="0A78C478" w14:textId="77777777" w:rsidR="007947BF" w:rsidRPr="008463F3" w:rsidRDefault="007947BF" w:rsidP="007947BF">
      <w:pPr>
        <w:jc w:val="both"/>
        <w:rPr>
          <w:lang w:val="en-GB"/>
        </w:rPr>
      </w:pPr>
      <w:r w:rsidRPr="008463F3">
        <w:rPr>
          <w:lang w:val="en-GB"/>
        </w:rPr>
        <w:t>The entire process of launching and conducting survey needs to be carried out in broad cooperation with the scientific and research community. Ministry of Education and Science is responsible for lunching and gathering the information from the survey. The process of surveying need</w:t>
      </w:r>
      <w:r>
        <w:rPr>
          <w:lang w:val="en-GB"/>
        </w:rPr>
        <w:t>s</w:t>
      </w:r>
      <w:r w:rsidRPr="008463F3">
        <w:rPr>
          <w:lang w:val="en-GB"/>
        </w:rPr>
        <w:t xml:space="preserve"> to be complemented with the integration of infrastructure data from other sources</w:t>
      </w:r>
      <w:r>
        <w:rPr>
          <w:lang w:val="en-GB"/>
        </w:rPr>
        <w:t>,</w:t>
      </w:r>
      <w:r w:rsidRPr="008463F3">
        <w:rPr>
          <w:lang w:val="en-GB"/>
        </w:rPr>
        <w:t xml:space="preserve"> i.e. memberships in international research infrastructure organi</w:t>
      </w:r>
      <w:r>
        <w:rPr>
          <w:lang w:val="en-GB"/>
        </w:rPr>
        <w:t>s</w:t>
      </w:r>
      <w:r w:rsidRPr="008463F3">
        <w:rPr>
          <w:lang w:val="en-GB"/>
        </w:rPr>
        <w:t>ations, research infrastructures on national level developed from domestic and EU funds</w:t>
      </w:r>
      <w:r>
        <w:rPr>
          <w:lang w:val="en-GB"/>
        </w:rPr>
        <w:t>,</w:t>
      </w:r>
      <w:r w:rsidRPr="008463F3">
        <w:rPr>
          <w:lang w:val="en-GB"/>
        </w:rPr>
        <w:t xml:space="preserve"> etc. </w:t>
      </w:r>
    </w:p>
    <w:p w14:paraId="5615E2C5" w14:textId="77777777" w:rsidR="007947BF" w:rsidRPr="008463F3" w:rsidRDefault="007947BF" w:rsidP="007947BF">
      <w:pPr>
        <w:rPr>
          <w:lang w:val="en-GB"/>
        </w:rPr>
      </w:pPr>
      <w:r w:rsidRPr="008463F3">
        <w:rPr>
          <w:lang w:val="en-GB"/>
        </w:rPr>
        <w:t>The text below provides detailed instructions for completing survey questionnaire.</w:t>
      </w:r>
    </w:p>
    <w:p w14:paraId="20A97BBB" w14:textId="77777777" w:rsidR="007947BF" w:rsidRPr="008463F3" w:rsidRDefault="007947BF" w:rsidP="007947BF">
      <w:pPr>
        <w:spacing w:after="0" w:line="252" w:lineRule="auto"/>
        <w:jc w:val="both"/>
        <w:rPr>
          <w:rFonts w:cs="Arial"/>
          <w:lang w:val="en-GB"/>
        </w:rPr>
      </w:pPr>
    </w:p>
    <w:p w14:paraId="20FC7872" w14:textId="77777777" w:rsidR="007947BF" w:rsidRPr="008463F3" w:rsidRDefault="007947BF" w:rsidP="007947BF">
      <w:pPr>
        <w:spacing w:after="0" w:line="252" w:lineRule="auto"/>
        <w:jc w:val="both"/>
        <w:rPr>
          <w:rFonts w:cs="Arial"/>
          <w:lang w:val="en-GB"/>
        </w:rPr>
      </w:pPr>
      <w:r w:rsidRPr="008463F3">
        <w:rPr>
          <w:rFonts w:cs="Arial"/>
          <w:lang w:val="en-GB"/>
        </w:rPr>
        <w:t>The survey questionnaire consists of 3 sections:</w:t>
      </w:r>
    </w:p>
    <w:p w14:paraId="10A57A25" w14:textId="77777777" w:rsidR="007947BF" w:rsidRPr="008463F3" w:rsidRDefault="007947BF" w:rsidP="007947BF">
      <w:pPr>
        <w:pStyle w:val="ListParagraph"/>
        <w:numPr>
          <w:ilvl w:val="0"/>
          <w:numId w:val="14"/>
        </w:numPr>
        <w:spacing w:after="0" w:line="252" w:lineRule="auto"/>
        <w:jc w:val="both"/>
        <w:rPr>
          <w:rFonts w:cs="Arial"/>
          <w:lang w:val="en-GB"/>
        </w:rPr>
      </w:pPr>
      <w:r w:rsidRPr="008463F3">
        <w:rPr>
          <w:rFonts w:cs="Arial"/>
          <w:lang w:val="en-GB"/>
        </w:rPr>
        <w:t>General information</w:t>
      </w:r>
      <w:r w:rsidRPr="008463F3">
        <w:rPr>
          <w:rFonts w:cs="Arial"/>
          <w:lang w:val="en-GB"/>
        </w:rPr>
        <w:tab/>
      </w:r>
    </w:p>
    <w:p w14:paraId="374B90EB" w14:textId="77777777" w:rsidR="007947BF" w:rsidRPr="008463F3" w:rsidRDefault="007947BF" w:rsidP="007947BF">
      <w:pPr>
        <w:pStyle w:val="ListParagraph"/>
        <w:numPr>
          <w:ilvl w:val="0"/>
          <w:numId w:val="14"/>
        </w:numPr>
        <w:spacing w:after="0" w:line="252" w:lineRule="auto"/>
        <w:jc w:val="both"/>
        <w:rPr>
          <w:rFonts w:cs="Arial"/>
          <w:lang w:val="en-GB"/>
        </w:rPr>
      </w:pPr>
      <w:r w:rsidRPr="008463F3">
        <w:rPr>
          <w:rFonts w:cs="Arial"/>
          <w:lang w:val="en-GB"/>
        </w:rPr>
        <w:t>Data on infrastructure and equipment</w:t>
      </w:r>
    </w:p>
    <w:p w14:paraId="6903590A" w14:textId="77777777" w:rsidR="007947BF" w:rsidRPr="008463F3" w:rsidRDefault="007947BF" w:rsidP="007947BF">
      <w:pPr>
        <w:pStyle w:val="ListParagraph"/>
        <w:numPr>
          <w:ilvl w:val="0"/>
          <w:numId w:val="14"/>
        </w:numPr>
        <w:spacing w:after="0" w:line="252" w:lineRule="auto"/>
        <w:jc w:val="both"/>
        <w:rPr>
          <w:rFonts w:cs="Arial"/>
          <w:lang w:val="en-GB"/>
        </w:rPr>
      </w:pPr>
      <w:r w:rsidRPr="008463F3">
        <w:rPr>
          <w:rFonts w:cs="Arial"/>
          <w:lang w:val="en-GB"/>
        </w:rPr>
        <w:t>Information on Access, Collaboration and Networks</w:t>
      </w:r>
    </w:p>
    <w:p w14:paraId="407BD463" w14:textId="77777777" w:rsidR="007947BF" w:rsidRPr="008463F3" w:rsidRDefault="007947BF" w:rsidP="007947BF">
      <w:pPr>
        <w:spacing w:after="0" w:line="252" w:lineRule="auto"/>
        <w:jc w:val="both"/>
        <w:rPr>
          <w:rFonts w:cs="Arial"/>
          <w:b/>
          <w:lang w:val="en-GB"/>
        </w:rPr>
      </w:pPr>
    </w:p>
    <w:p w14:paraId="698FA830" w14:textId="77777777" w:rsidR="007947BF" w:rsidRPr="008463F3" w:rsidRDefault="007947BF" w:rsidP="007947BF">
      <w:pPr>
        <w:spacing w:after="0" w:line="252" w:lineRule="auto"/>
        <w:jc w:val="both"/>
        <w:rPr>
          <w:rFonts w:cs="Arial"/>
          <w:lang w:val="en-GB"/>
        </w:rPr>
      </w:pPr>
      <w:r w:rsidRPr="008463F3">
        <w:rPr>
          <w:rFonts w:cs="Arial"/>
          <w:lang w:val="en-GB"/>
        </w:rPr>
        <w:t xml:space="preserve">The questionnaire should be filled in for one research infrastructure and all data and descriptions should be given for the specific infrastructure that is subject of the questionnaire. </w:t>
      </w:r>
      <w:r>
        <w:rPr>
          <w:rFonts w:cs="Arial"/>
          <w:lang w:val="en-GB"/>
        </w:rPr>
        <w:t>D</w:t>
      </w:r>
      <w:r w:rsidRPr="008463F3">
        <w:rPr>
          <w:rFonts w:cs="Arial"/>
          <w:lang w:val="en-GB"/>
        </w:rPr>
        <w:t>etailed instructions for completing the questionnaire are provided</w:t>
      </w:r>
      <w:r>
        <w:rPr>
          <w:rFonts w:cs="Arial"/>
          <w:lang w:val="en-GB"/>
        </w:rPr>
        <w:t xml:space="preserve"> i</w:t>
      </w:r>
      <w:r w:rsidRPr="008463F3">
        <w:rPr>
          <w:rFonts w:cs="Arial"/>
          <w:lang w:val="en-GB"/>
        </w:rPr>
        <w:t>n the text below.</w:t>
      </w:r>
    </w:p>
    <w:p w14:paraId="47342B8E" w14:textId="77777777" w:rsidR="007947BF" w:rsidRPr="008463F3" w:rsidRDefault="007947BF" w:rsidP="007947BF">
      <w:pPr>
        <w:spacing w:after="0" w:line="252" w:lineRule="auto"/>
        <w:jc w:val="both"/>
        <w:rPr>
          <w:rFonts w:cs="Arial"/>
          <w:b/>
          <w:lang w:val="en-GB"/>
        </w:rPr>
      </w:pPr>
    </w:p>
    <w:p w14:paraId="3777B290" w14:textId="77777777" w:rsidR="007947BF" w:rsidRPr="008463F3" w:rsidRDefault="007947BF" w:rsidP="007947BF">
      <w:pPr>
        <w:spacing w:after="0" w:line="252" w:lineRule="auto"/>
        <w:jc w:val="both"/>
        <w:rPr>
          <w:rFonts w:cs="Arial"/>
          <w:b/>
          <w:lang w:val="en-GB"/>
        </w:rPr>
      </w:pPr>
      <w:r w:rsidRPr="008463F3">
        <w:rPr>
          <w:rFonts w:cs="Arial"/>
          <w:b/>
          <w:lang w:val="en-GB"/>
        </w:rPr>
        <w:t>Instructions for completing Part 1: General information: Tables 1.1., 1.2., 1.3., 1.4.</w:t>
      </w:r>
    </w:p>
    <w:p w14:paraId="060A1F33" w14:textId="77777777" w:rsidR="007947BF" w:rsidRPr="008463F3" w:rsidRDefault="007947BF" w:rsidP="007947BF">
      <w:pPr>
        <w:spacing w:after="0" w:line="252" w:lineRule="auto"/>
        <w:jc w:val="both"/>
        <w:rPr>
          <w:rFonts w:cs="Arial"/>
          <w:b/>
          <w:lang w:val="en-GB"/>
        </w:rPr>
      </w:pPr>
    </w:p>
    <w:p w14:paraId="4D5B95AF" w14:textId="77777777" w:rsidR="007947BF" w:rsidRPr="008463F3" w:rsidRDefault="007947BF" w:rsidP="007947BF">
      <w:pPr>
        <w:spacing w:after="0" w:line="252" w:lineRule="auto"/>
        <w:jc w:val="both"/>
        <w:rPr>
          <w:rFonts w:cs="Arial"/>
          <w:lang w:val="en-GB"/>
        </w:rPr>
      </w:pPr>
      <w:r>
        <w:rPr>
          <w:rFonts w:cs="Arial"/>
          <w:lang w:val="en-GB"/>
        </w:rPr>
        <w:t>T</w:t>
      </w:r>
      <w:r w:rsidRPr="008463F3">
        <w:rPr>
          <w:rFonts w:cs="Arial"/>
          <w:lang w:val="en-GB"/>
        </w:rPr>
        <w:t xml:space="preserve">able 1.1 </w:t>
      </w:r>
      <w:r>
        <w:rPr>
          <w:rFonts w:cs="Arial"/>
          <w:lang w:val="en-GB"/>
        </w:rPr>
        <w:t>should include</w:t>
      </w:r>
      <w:r w:rsidRPr="008463F3">
        <w:rPr>
          <w:rFonts w:cs="Arial"/>
          <w:lang w:val="en-GB"/>
        </w:rPr>
        <w:t xml:space="preserve"> main information about respondent. The second </w:t>
      </w:r>
      <w:r>
        <w:rPr>
          <w:rFonts w:cs="Arial"/>
          <w:lang w:val="en-GB"/>
        </w:rPr>
        <w:t>T</w:t>
      </w:r>
      <w:r w:rsidRPr="008463F3">
        <w:rPr>
          <w:rFonts w:cs="Arial"/>
          <w:lang w:val="en-GB"/>
        </w:rPr>
        <w:t xml:space="preserve">able 1.2 refers to the general information about research infrastructure which is the main focus of the questionnaire. </w:t>
      </w:r>
    </w:p>
    <w:p w14:paraId="4D8A3037" w14:textId="77777777" w:rsidR="007947BF" w:rsidRPr="008463F3" w:rsidRDefault="007947BF" w:rsidP="007947BF">
      <w:pPr>
        <w:spacing w:after="0" w:line="252" w:lineRule="auto"/>
        <w:jc w:val="both"/>
        <w:rPr>
          <w:rFonts w:cs="Arial"/>
          <w:lang w:val="en-GB"/>
        </w:rPr>
      </w:pPr>
      <w:r w:rsidRPr="008463F3">
        <w:rPr>
          <w:rFonts w:cs="Arial"/>
          <w:lang w:val="en-GB"/>
        </w:rPr>
        <w:t xml:space="preserve">In the field </w:t>
      </w:r>
      <w:r>
        <w:rPr>
          <w:rFonts w:cs="Arial"/>
          <w:lang w:val="en-GB"/>
        </w:rPr>
        <w:t>“</w:t>
      </w:r>
      <w:r w:rsidRPr="008463F3">
        <w:rPr>
          <w:rFonts w:cs="Arial"/>
          <w:lang w:val="en-GB"/>
        </w:rPr>
        <w:t>Thematic categorisation of RI types by field of science“, research infrastructure should be grouped thematically. The ESFRI Roadmap 2016 sets the following 6 thematic areas:</w:t>
      </w:r>
    </w:p>
    <w:p w14:paraId="49689F6C" w14:textId="77777777" w:rsidR="007947BF" w:rsidRPr="008463F3" w:rsidRDefault="007947BF" w:rsidP="007947BF">
      <w:pPr>
        <w:pStyle w:val="ListParagraph"/>
        <w:numPr>
          <w:ilvl w:val="0"/>
          <w:numId w:val="12"/>
        </w:numPr>
        <w:spacing w:after="0" w:line="252" w:lineRule="auto"/>
        <w:jc w:val="both"/>
        <w:rPr>
          <w:rFonts w:cs="Arial"/>
          <w:lang w:val="en-GB"/>
        </w:rPr>
      </w:pPr>
      <w:r w:rsidRPr="008463F3">
        <w:rPr>
          <w:rFonts w:cs="Arial"/>
          <w:lang w:val="en-GB"/>
        </w:rPr>
        <w:t>energy;</w:t>
      </w:r>
    </w:p>
    <w:p w14:paraId="4DB8CC39" w14:textId="77777777" w:rsidR="007947BF" w:rsidRPr="008463F3" w:rsidRDefault="007947BF" w:rsidP="007947BF">
      <w:pPr>
        <w:pStyle w:val="ListParagraph"/>
        <w:numPr>
          <w:ilvl w:val="0"/>
          <w:numId w:val="12"/>
        </w:numPr>
        <w:spacing w:after="0" w:line="252" w:lineRule="auto"/>
        <w:jc w:val="both"/>
        <w:rPr>
          <w:rFonts w:cs="Arial"/>
          <w:lang w:val="en-GB"/>
        </w:rPr>
      </w:pPr>
      <w:r w:rsidRPr="008463F3">
        <w:rPr>
          <w:rFonts w:cs="Arial"/>
          <w:lang w:val="en-GB"/>
        </w:rPr>
        <w:t>environment;</w:t>
      </w:r>
    </w:p>
    <w:p w14:paraId="457F8651" w14:textId="77777777" w:rsidR="007947BF" w:rsidRPr="008463F3" w:rsidRDefault="007947BF" w:rsidP="007947BF">
      <w:pPr>
        <w:pStyle w:val="ListParagraph"/>
        <w:numPr>
          <w:ilvl w:val="0"/>
          <w:numId w:val="12"/>
        </w:numPr>
        <w:spacing w:after="0" w:line="252" w:lineRule="auto"/>
        <w:jc w:val="both"/>
        <w:rPr>
          <w:rFonts w:cs="Arial"/>
          <w:lang w:val="en-GB"/>
        </w:rPr>
      </w:pPr>
      <w:r w:rsidRPr="008463F3">
        <w:rPr>
          <w:rFonts w:cs="Arial"/>
          <w:lang w:val="en-GB"/>
        </w:rPr>
        <w:t>health and food sciences;</w:t>
      </w:r>
    </w:p>
    <w:p w14:paraId="4850A293" w14:textId="77777777" w:rsidR="007947BF" w:rsidRPr="008463F3" w:rsidRDefault="007947BF" w:rsidP="007947BF">
      <w:pPr>
        <w:pStyle w:val="ListParagraph"/>
        <w:numPr>
          <w:ilvl w:val="0"/>
          <w:numId w:val="12"/>
        </w:numPr>
        <w:spacing w:after="0" w:line="252" w:lineRule="auto"/>
        <w:jc w:val="both"/>
        <w:rPr>
          <w:rFonts w:cs="Arial"/>
          <w:lang w:val="en-GB"/>
        </w:rPr>
      </w:pPr>
      <w:r w:rsidRPr="008463F3">
        <w:rPr>
          <w:rFonts w:cs="Arial"/>
          <w:lang w:val="en-GB"/>
        </w:rPr>
        <w:t>physical sciences and engineering</w:t>
      </w:r>
    </w:p>
    <w:p w14:paraId="5879B060" w14:textId="77777777" w:rsidR="007947BF" w:rsidRPr="008463F3" w:rsidRDefault="007947BF" w:rsidP="007947BF">
      <w:pPr>
        <w:pStyle w:val="ListParagraph"/>
        <w:numPr>
          <w:ilvl w:val="0"/>
          <w:numId w:val="12"/>
        </w:numPr>
        <w:spacing w:after="0" w:line="252" w:lineRule="auto"/>
        <w:jc w:val="both"/>
        <w:rPr>
          <w:rFonts w:cs="Arial"/>
          <w:lang w:val="en-GB"/>
        </w:rPr>
      </w:pPr>
      <w:r w:rsidRPr="008463F3">
        <w:rPr>
          <w:rFonts w:cs="Arial"/>
          <w:lang w:val="en-GB"/>
        </w:rPr>
        <w:t>social and cultural innovation;</w:t>
      </w:r>
    </w:p>
    <w:p w14:paraId="4F703DF2" w14:textId="77777777" w:rsidR="007947BF" w:rsidRPr="008463F3" w:rsidRDefault="007947BF" w:rsidP="007947BF">
      <w:pPr>
        <w:pStyle w:val="ListParagraph"/>
        <w:numPr>
          <w:ilvl w:val="0"/>
          <w:numId w:val="12"/>
        </w:numPr>
        <w:spacing w:after="0" w:line="252" w:lineRule="auto"/>
        <w:jc w:val="both"/>
        <w:rPr>
          <w:rFonts w:cs="Arial"/>
          <w:lang w:val="en-GB"/>
        </w:rPr>
      </w:pPr>
      <w:r w:rsidRPr="008463F3">
        <w:rPr>
          <w:rFonts w:cs="Arial"/>
          <w:lang w:val="en-GB"/>
        </w:rPr>
        <w:t>e-infrastructures.</w:t>
      </w:r>
    </w:p>
    <w:p w14:paraId="20055C69" w14:textId="77777777" w:rsidR="007947BF" w:rsidRPr="008463F3" w:rsidRDefault="007947BF" w:rsidP="007947BF">
      <w:pPr>
        <w:spacing w:after="0" w:line="252" w:lineRule="auto"/>
        <w:jc w:val="both"/>
        <w:rPr>
          <w:rFonts w:cs="Arial"/>
          <w:lang w:val="en-GB"/>
        </w:rPr>
      </w:pPr>
      <w:r w:rsidRPr="008463F3">
        <w:rPr>
          <w:rFonts w:cs="Arial"/>
          <w:lang w:val="en-GB"/>
        </w:rPr>
        <w:t>Research infrastructures should be linked to one of these defined categories.</w:t>
      </w:r>
    </w:p>
    <w:p w14:paraId="08B6E66A" w14:textId="77777777" w:rsidR="007947BF" w:rsidRPr="008463F3" w:rsidRDefault="007947BF" w:rsidP="007947BF">
      <w:pPr>
        <w:spacing w:after="0" w:line="252" w:lineRule="auto"/>
        <w:jc w:val="both"/>
        <w:rPr>
          <w:rFonts w:cs="Arial"/>
          <w:lang w:val="en-GB"/>
        </w:rPr>
      </w:pPr>
    </w:p>
    <w:p w14:paraId="6BB221CF" w14:textId="77777777" w:rsidR="007947BF" w:rsidRPr="008463F3" w:rsidRDefault="007947BF" w:rsidP="007947BF">
      <w:pPr>
        <w:spacing w:after="0" w:line="252" w:lineRule="auto"/>
        <w:jc w:val="both"/>
        <w:rPr>
          <w:rFonts w:cs="Arial"/>
          <w:lang w:val="en-GB"/>
        </w:rPr>
      </w:pPr>
      <w:r w:rsidRPr="008463F3">
        <w:rPr>
          <w:rFonts w:cs="Arial"/>
          <w:lang w:val="en-GB"/>
        </w:rPr>
        <w:t xml:space="preserve">In the next field </w:t>
      </w:r>
      <w:r>
        <w:rPr>
          <w:rFonts w:cs="Arial"/>
          <w:lang w:val="en-GB"/>
        </w:rPr>
        <w:t>“</w:t>
      </w:r>
      <w:r w:rsidRPr="008463F3">
        <w:rPr>
          <w:rFonts w:cs="Arial"/>
          <w:lang w:val="en-GB"/>
        </w:rPr>
        <w:t xml:space="preserve">Type of RI“, there are four types of RI that are commonly distinguished: </w:t>
      </w:r>
    </w:p>
    <w:p w14:paraId="2BC7EFF9" w14:textId="77777777" w:rsidR="007947BF" w:rsidRPr="008463F3" w:rsidRDefault="007947BF" w:rsidP="007947BF">
      <w:pPr>
        <w:pStyle w:val="ListParagraph"/>
        <w:numPr>
          <w:ilvl w:val="0"/>
          <w:numId w:val="13"/>
        </w:numPr>
        <w:spacing w:after="0" w:line="252" w:lineRule="auto"/>
        <w:jc w:val="both"/>
        <w:rPr>
          <w:rFonts w:cs="Arial"/>
          <w:lang w:val="en-GB"/>
        </w:rPr>
      </w:pPr>
      <w:r w:rsidRPr="008463F3">
        <w:rPr>
          <w:rFonts w:cs="Arial"/>
          <w:lang w:val="en-GB"/>
        </w:rPr>
        <w:t xml:space="preserve">single-site facilities; </w:t>
      </w:r>
    </w:p>
    <w:p w14:paraId="304DDAFB" w14:textId="77777777" w:rsidR="007947BF" w:rsidRPr="008463F3" w:rsidRDefault="007947BF" w:rsidP="007947BF">
      <w:pPr>
        <w:pStyle w:val="ListParagraph"/>
        <w:numPr>
          <w:ilvl w:val="0"/>
          <w:numId w:val="13"/>
        </w:numPr>
        <w:spacing w:after="0" w:line="252" w:lineRule="auto"/>
        <w:jc w:val="both"/>
        <w:rPr>
          <w:rFonts w:cs="Arial"/>
          <w:lang w:val="en-GB"/>
        </w:rPr>
      </w:pPr>
      <w:r w:rsidRPr="008463F3">
        <w:rPr>
          <w:rFonts w:cs="Arial"/>
          <w:lang w:val="en-GB"/>
        </w:rPr>
        <w:t xml:space="preserve">distributed facilities; </w:t>
      </w:r>
    </w:p>
    <w:p w14:paraId="35D69983" w14:textId="77777777" w:rsidR="007947BF" w:rsidRPr="008463F3" w:rsidRDefault="007947BF" w:rsidP="007947BF">
      <w:pPr>
        <w:pStyle w:val="ListParagraph"/>
        <w:numPr>
          <w:ilvl w:val="0"/>
          <w:numId w:val="13"/>
        </w:numPr>
        <w:spacing w:after="0" w:line="252" w:lineRule="auto"/>
        <w:jc w:val="both"/>
        <w:rPr>
          <w:rFonts w:cs="Arial"/>
          <w:lang w:val="en-GB"/>
        </w:rPr>
      </w:pPr>
      <w:r w:rsidRPr="008463F3">
        <w:rPr>
          <w:rFonts w:cs="Arial"/>
          <w:lang w:val="en-GB"/>
        </w:rPr>
        <w:t xml:space="preserve">mobile facilities; </w:t>
      </w:r>
    </w:p>
    <w:p w14:paraId="04CC17A0" w14:textId="77777777" w:rsidR="007947BF" w:rsidRPr="008463F3" w:rsidRDefault="007947BF" w:rsidP="007947BF">
      <w:pPr>
        <w:pStyle w:val="ListParagraph"/>
        <w:numPr>
          <w:ilvl w:val="0"/>
          <w:numId w:val="13"/>
        </w:numPr>
        <w:spacing w:after="0" w:line="252" w:lineRule="auto"/>
        <w:jc w:val="both"/>
        <w:rPr>
          <w:rFonts w:cs="Arial"/>
          <w:lang w:val="en-GB"/>
        </w:rPr>
      </w:pPr>
      <w:r w:rsidRPr="008463F3">
        <w:rPr>
          <w:rFonts w:cs="Arial"/>
          <w:lang w:val="en-GB"/>
        </w:rPr>
        <w:t>virtual facilities.</w:t>
      </w:r>
    </w:p>
    <w:p w14:paraId="24B31138" w14:textId="77777777" w:rsidR="007947BF" w:rsidRPr="008463F3" w:rsidRDefault="007947BF" w:rsidP="007947BF">
      <w:pPr>
        <w:spacing w:after="0" w:line="252" w:lineRule="auto"/>
        <w:jc w:val="both"/>
        <w:rPr>
          <w:rFonts w:eastAsia="Calibri" w:cs="Arial"/>
          <w:lang w:val="en-GB"/>
        </w:rPr>
      </w:pPr>
      <w:r w:rsidRPr="008463F3">
        <w:rPr>
          <w:rFonts w:eastAsia="Calibri" w:cs="Arial"/>
          <w:lang w:val="en-GB"/>
        </w:rPr>
        <w:t>Each research infrastructure should belong to one of th</w:t>
      </w:r>
      <w:r>
        <w:rPr>
          <w:rFonts w:eastAsia="Calibri" w:cs="Arial"/>
          <w:lang w:val="en-GB"/>
        </w:rPr>
        <w:t>ese</w:t>
      </w:r>
      <w:r w:rsidRPr="008463F3">
        <w:rPr>
          <w:rFonts w:eastAsia="Calibri" w:cs="Arial"/>
          <w:lang w:val="en-GB"/>
        </w:rPr>
        <w:t xml:space="preserve"> 4 types.</w:t>
      </w:r>
    </w:p>
    <w:p w14:paraId="04A85EC0" w14:textId="77777777" w:rsidR="007947BF" w:rsidRPr="008463F3" w:rsidRDefault="007947BF" w:rsidP="007947BF">
      <w:pPr>
        <w:spacing w:after="0" w:line="252" w:lineRule="auto"/>
        <w:jc w:val="both"/>
        <w:rPr>
          <w:rFonts w:eastAsia="Calibri" w:cs="Arial"/>
          <w:lang w:val="en-GB"/>
        </w:rPr>
      </w:pPr>
    </w:p>
    <w:p w14:paraId="4A479137" w14:textId="77777777" w:rsidR="007947BF" w:rsidRPr="008463F3" w:rsidRDefault="007947BF" w:rsidP="007947BF">
      <w:pPr>
        <w:spacing w:after="0" w:line="252" w:lineRule="auto"/>
        <w:jc w:val="both"/>
        <w:rPr>
          <w:rFonts w:eastAsia="Calibri" w:cs="Arial"/>
          <w:lang w:val="en-GB"/>
        </w:rPr>
      </w:pPr>
      <w:r>
        <w:rPr>
          <w:rFonts w:eastAsia="Calibri" w:cs="Arial"/>
          <w:lang w:val="en-GB"/>
        </w:rPr>
        <w:t>T</w:t>
      </w:r>
      <w:r w:rsidRPr="008463F3">
        <w:rPr>
          <w:rFonts w:eastAsia="Calibri" w:cs="Arial"/>
          <w:lang w:val="en-GB"/>
        </w:rPr>
        <w:t xml:space="preserve">able 1.3 </w:t>
      </w:r>
      <w:r>
        <w:rPr>
          <w:rFonts w:eastAsia="Calibri" w:cs="Arial"/>
          <w:lang w:val="en-GB"/>
        </w:rPr>
        <w:t xml:space="preserve">should provide </w:t>
      </w:r>
      <w:r w:rsidRPr="008463F3">
        <w:rPr>
          <w:rFonts w:eastAsia="Calibri" w:cs="Arial"/>
          <w:lang w:val="en-GB"/>
        </w:rPr>
        <w:t xml:space="preserve">a detailed description of research infrastructure (general information on research infrastructure) and its main purpose and objectives. </w:t>
      </w:r>
    </w:p>
    <w:p w14:paraId="369ABDED" w14:textId="77777777" w:rsidR="007947BF" w:rsidRPr="008463F3" w:rsidRDefault="007947BF" w:rsidP="007947BF">
      <w:pPr>
        <w:spacing w:after="0" w:line="252" w:lineRule="auto"/>
        <w:jc w:val="both"/>
        <w:rPr>
          <w:rFonts w:eastAsia="Calibri" w:cs="Arial"/>
          <w:lang w:val="en-GB"/>
        </w:rPr>
      </w:pPr>
    </w:p>
    <w:p w14:paraId="697509DB" w14:textId="77777777" w:rsidR="007947BF" w:rsidRPr="008463F3" w:rsidRDefault="007947BF" w:rsidP="007947BF">
      <w:pPr>
        <w:spacing w:after="0" w:line="252" w:lineRule="auto"/>
        <w:jc w:val="both"/>
        <w:rPr>
          <w:rFonts w:eastAsia="Calibri" w:cs="Arial"/>
          <w:lang w:val="en-GB"/>
        </w:rPr>
      </w:pPr>
      <w:r>
        <w:rPr>
          <w:rFonts w:eastAsia="Calibri" w:cs="Arial"/>
          <w:lang w:val="en-GB"/>
        </w:rPr>
        <w:t>T</w:t>
      </w:r>
      <w:r w:rsidRPr="008463F3">
        <w:rPr>
          <w:rFonts w:eastAsia="Calibri" w:cs="Arial"/>
          <w:lang w:val="en-GB"/>
        </w:rPr>
        <w:t xml:space="preserve">able 1.4 </w:t>
      </w:r>
      <w:r>
        <w:rPr>
          <w:rFonts w:eastAsia="Calibri" w:cs="Arial"/>
          <w:lang w:val="en-GB"/>
        </w:rPr>
        <w:t xml:space="preserve">should specify and explain </w:t>
      </w:r>
      <w:r w:rsidRPr="008463F3">
        <w:rPr>
          <w:rFonts w:eastAsia="Calibri" w:cs="Arial"/>
          <w:lang w:val="en-GB"/>
        </w:rPr>
        <w:t>specific research services provided to users and external researchers. It is necessary to list the services available to researchers that the research infrastructure offers.</w:t>
      </w:r>
    </w:p>
    <w:p w14:paraId="4A0811D1" w14:textId="77777777" w:rsidR="007947BF" w:rsidRPr="008463F3" w:rsidRDefault="007947BF" w:rsidP="007947BF">
      <w:pPr>
        <w:spacing w:after="0" w:line="252" w:lineRule="auto"/>
        <w:jc w:val="both"/>
        <w:rPr>
          <w:rFonts w:eastAsia="Calibri" w:cs="Arial"/>
          <w:b/>
          <w:lang w:val="en-GB"/>
        </w:rPr>
      </w:pPr>
      <w:r w:rsidRPr="008463F3">
        <w:rPr>
          <w:rFonts w:eastAsia="Calibri" w:cs="Arial"/>
          <w:b/>
          <w:lang w:val="en-GB"/>
        </w:rPr>
        <w:t>Instructions for completing Table 2.1:</w:t>
      </w:r>
    </w:p>
    <w:p w14:paraId="32A0510C" w14:textId="77777777" w:rsidR="007947BF" w:rsidRPr="008463F3" w:rsidRDefault="007947BF" w:rsidP="007947BF">
      <w:pPr>
        <w:spacing w:after="0" w:line="252" w:lineRule="auto"/>
        <w:jc w:val="both"/>
        <w:rPr>
          <w:rFonts w:eastAsia="Calibri" w:cs="Arial"/>
          <w:lang w:val="en-GB"/>
        </w:rPr>
      </w:pPr>
      <w:r>
        <w:rPr>
          <w:rFonts w:eastAsia="Calibri" w:cs="Arial"/>
          <w:lang w:val="en-GB"/>
        </w:rPr>
        <w:t>T</w:t>
      </w:r>
      <w:r w:rsidRPr="008463F3">
        <w:rPr>
          <w:rFonts w:eastAsia="Calibri" w:cs="Arial"/>
          <w:lang w:val="en-GB"/>
        </w:rPr>
        <w:t>otal value of research equipment used within the research infrastructure should be entered</w:t>
      </w:r>
      <w:r>
        <w:rPr>
          <w:rFonts w:eastAsia="Calibri" w:cs="Arial"/>
          <w:lang w:val="en-GB"/>
        </w:rPr>
        <w:t xml:space="preserve"> in Table 2.1</w:t>
      </w:r>
      <w:r w:rsidRPr="008463F3">
        <w:rPr>
          <w:rFonts w:eastAsia="Calibri" w:cs="Arial"/>
          <w:lang w:val="en-GB"/>
        </w:rPr>
        <w:t>. It is important to enter two types of values: the purchase value and the current value which take</w:t>
      </w:r>
      <w:r>
        <w:rPr>
          <w:rFonts w:eastAsia="Calibri" w:cs="Arial"/>
          <w:lang w:val="en-GB"/>
        </w:rPr>
        <w:t>s</w:t>
      </w:r>
      <w:r w:rsidRPr="008463F3">
        <w:rPr>
          <w:rFonts w:eastAsia="Calibri" w:cs="Arial"/>
          <w:lang w:val="en-GB"/>
        </w:rPr>
        <w:t xml:space="preserve"> into account the depreciation of equipment.</w:t>
      </w:r>
    </w:p>
    <w:p w14:paraId="4B521632" w14:textId="77777777" w:rsidR="007947BF" w:rsidRPr="008463F3" w:rsidRDefault="007947BF" w:rsidP="007947BF">
      <w:pPr>
        <w:spacing w:after="0" w:line="252" w:lineRule="auto"/>
        <w:jc w:val="both"/>
        <w:rPr>
          <w:rFonts w:eastAsia="Calibri" w:cs="Arial"/>
          <w:b/>
          <w:lang w:val="en-GB"/>
        </w:rPr>
      </w:pPr>
    </w:p>
    <w:p w14:paraId="272A5807" w14:textId="77777777" w:rsidR="007947BF" w:rsidRPr="008463F3" w:rsidRDefault="007947BF" w:rsidP="007947BF">
      <w:pPr>
        <w:spacing w:after="0" w:line="252" w:lineRule="auto"/>
        <w:jc w:val="both"/>
        <w:rPr>
          <w:rFonts w:eastAsia="Calibri" w:cs="Arial"/>
          <w:b/>
          <w:lang w:val="en-GB"/>
        </w:rPr>
      </w:pPr>
      <w:r w:rsidRPr="008463F3">
        <w:rPr>
          <w:rFonts w:eastAsia="Calibri" w:cs="Arial"/>
          <w:b/>
          <w:lang w:val="en-GB"/>
        </w:rPr>
        <w:t>Instructions for completing Table 2.2:</w:t>
      </w:r>
    </w:p>
    <w:p w14:paraId="1E7FD28C" w14:textId="77777777" w:rsidR="007947BF" w:rsidRPr="008463F3" w:rsidRDefault="007947BF" w:rsidP="007947BF">
      <w:pPr>
        <w:spacing w:after="0" w:line="252" w:lineRule="auto"/>
        <w:jc w:val="both"/>
        <w:rPr>
          <w:rFonts w:eastAsia="Calibri" w:cs="Arial"/>
          <w:lang w:val="en-GB"/>
        </w:rPr>
      </w:pPr>
      <w:r w:rsidRPr="008463F3">
        <w:rPr>
          <w:rFonts w:eastAsia="Calibri" w:cs="Arial"/>
          <w:lang w:val="en-GB"/>
        </w:rPr>
        <w:t xml:space="preserve">Table 2.2 </w:t>
      </w:r>
      <w:r>
        <w:rPr>
          <w:rFonts w:eastAsia="Calibri" w:cs="Arial"/>
          <w:lang w:val="en-GB"/>
        </w:rPr>
        <w:t xml:space="preserve">should list </w:t>
      </w:r>
      <w:r w:rsidRPr="008463F3">
        <w:rPr>
          <w:rFonts w:eastAsia="Calibri" w:cs="Arial"/>
          <w:lang w:val="en-GB"/>
        </w:rPr>
        <w:t>only capital research equipment at purchase price higher than EUR 50,000.</w:t>
      </w:r>
    </w:p>
    <w:p w14:paraId="28BCFBB5" w14:textId="77777777" w:rsidR="007947BF" w:rsidRPr="008463F3" w:rsidRDefault="007947BF" w:rsidP="007947BF">
      <w:pPr>
        <w:spacing w:after="0" w:line="252" w:lineRule="auto"/>
        <w:jc w:val="both"/>
        <w:rPr>
          <w:rFonts w:eastAsia="Calibri" w:cs="Arial"/>
          <w:lang w:val="en-GB"/>
        </w:rPr>
      </w:pPr>
      <w:r w:rsidRPr="008463F3">
        <w:rPr>
          <w:rFonts w:eastAsia="Calibri" w:cs="Arial"/>
          <w:lang w:val="en-GB"/>
        </w:rPr>
        <w:t xml:space="preserve">Funding source should be entered </w:t>
      </w:r>
      <w:r>
        <w:rPr>
          <w:rFonts w:eastAsia="Calibri" w:cs="Arial"/>
          <w:lang w:val="en-GB"/>
        </w:rPr>
        <w:t>i</w:t>
      </w:r>
      <w:r w:rsidRPr="008463F3">
        <w:rPr>
          <w:rFonts w:eastAsia="Calibri" w:cs="Arial"/>
          <w:lang w:val="en-GB"/>
        </w:rPr>
        <w:t xml:space="preserve">n the column </w:t>
      </w:r>
      <w:r>
        <w:rPr>
          <w:rFonts w:eastAsia="Calibri" w:cs="Arial"/>
          <w:lang w:val="en-GB"/>
        </w:rPr>
        <w:t>“</w:t>
      </w:r>
      <w:r w:rsidRPr="008463F3">
        <w:rPr>
          <w:rFonts w:eastAsia="Calibri" w:cs="Arial"/>
          <w:lang w:val="en-GB"/>
        </w:rPr>
        <w:t>The source of funds for the purchase of equipment”. If there are two or more funding sources, each one should be indicated with the participation share. One of the following funding sources should be inserted:</w:t>
      </w:r>
    </w:p>
    <w:p w14:paraId="75112717" w14:textId="77777777" w:rsidR="007947BF" w:rsidRPr="008463F3" w:rsidRDefault="007947BF" w:rsidP="007947BF">
      <w:pPr>
        <w:pStyle w:val="ListParagraph"/>
        <w:numPr>
          <w:ilvl w:val="0"/>
          <w:numId w:val="11"/>
        </w:numPr>
        <w:spacing w:after="0" w:line="252" w:lineRule="auto"/>
        <w:jc w:val="both"/>
        <w:rPr>
          <w:rFonts w:eastAsia="Calibri" w:cs="Arial"/>
          <w:lang w:val="en-GB"/>
        </w:rPr>
      </w:pPr>
      <w:r w:rsidRPr="008463F3">
        <w:rPr>
          <w:rFonts w:eastAsia="Calibri" w:cs="Arial"/>
          <w:lang w:val="en-GB"/>
        </w:rPr>
        <w:t>Own funds</w:t>
      </w:r>
    </w:p>
    <w:p w14:paraId="2E15A37B" w14:textId="77777777" w:rsidR="007947BF" w:rsidRPr="008463F3" w:rsidRDefault="007947BF" w:rsidP="007947BF">
      <w:pPr>
        <w:pStyle w:val="ListParagraph"/>
        <w:numPr>
          <w:ilvl w:val="0"/>
          <w:numId w:val="11"/>
        </w:numPr>
        <w:spacing w:after="0" w:line="252" w:lineRule="auto"/>
        <w:jc w:val="both"/>
        <w:rPr>
          <w:rFonts w:eastAsia="Calibri" w:cs="Arial"/>
          <w:lang w:val="en-GB"/>
        </w:rPr>
      </w:pPr>
      <w:r w:rsidRPr="008463F3">
        <w:rPr>
          <w:rFonts w:eastAsia="Calibri" w:cs="Arial"/>
          <w:lang w:val="en-GB"/>
        </w:rPr>
        <w:t>Resources of the Ministry of Education and Science</w:t>
      </w:r>
    </w:p>
    <w:p w14:paraId="0F2D5E8F" w14:textId="77777777" w:rsidR="007947BF" w:rsidRPr="008463F3" w:rsidRDefault="007947BF" w:rsidP="007947BF">
      <w:pPr>
        <w:pStyle w:val="ListParagraph"/>
        <w:numPr>
          <w:ilvl w:val="0"/>
          <w:numId w:val="11"/>
        </w:numPr>
        <w:spacing w:after="0" w:line="252" w:lineRule="auto"/>
        <w:jc w:val="both"/>
        <w:rPr>
          <w:rFonts w:eastAsia="Calibri" w:cs="Arial"/>
          <w:lang w:val="en-GB"/>
        </w:rPr>
      </w:pPr>
      <w:r w:rsidRPr="008463F3">
        <w:rPr>
          <w:rFonts w:eastAsia="Calibri" w:cs="Arial"/>
          <w:lang w:val="en-GB"/>
        </w:rPr>
        <w:t>Resources of other ministries</w:t>
      </w:r>
    </w:p>
    <w:p w14:paraId="5A914241" w14:textId="77777777" w:rsidR="007947BF" w:rsidRPr="008463F3" w:rsidRDefault="007947BF" w:rsidP="007947BF">
      <w:pPr>
        <w:pStyle w:val="ListParagraph"/>
        <w:numPr>
          <w:ilvl w:val="0"/>
          <w:numId w:val="11"/>
        </w:numPr>
        <w:spacing w:after="0" w:line="252" w:lineRule="auto"/>
        <w:jc w:val="both"/>
        <w:rPr>
          <w:rFonts w:eastAsia="Calibri" w:cs="Arial"/>
          <w:lang w:val="en-GB"/>
        </w:rPr>
      </w:pPr>
      <w:r>
        <w:rPr>
          <w:rFonts w:eastAsia="Calibri" w:cs="Arial"/>
          <w:lang w:val="en-GB"/>
        </w:rPr>
        <w:t>Public Funds</w:t>
      </w:r>
      <w:r w:rsidRPr="008463F3">
        <w:rPr>
          <w:rFonts w:eastAsia="Calibri" w:cs="Arial"/>
          <w:lang w:val="en-GB"/>
        </w:rPr>
        <w:t xml:space="preserve"> from North Macedonia</w:t>
      </w:r>
    </w:p>
    <w:p w14:paraId="11A79B32" w14:textId="77777777" w:rsidR="007947BF" w:rsidRPr="008463F3" w:rsidRDefault="007947BF" w:rsidP="007947BF">
      <w:pPr>
        <w:pStyle w:val="ListParagraph"/>
        <w:numPr>
          <w:ilvl w:val="0"/>
          <w:numId w:val="11"/>
        </w:numPr>
        <w:spacing w:after="0" w:line="252" w:lineRule="auto"/>
        <w:jc w:val="both"/>
        <w:rPr>
          <w:rFonts w:eastAsia="Calibri" w:cs="Arial"/>
          <w:lang w:val="en-GB"/>
        </w:rPr>
      </w:pPr>
      <w:r w:rsidRPr="008463F3">
        <w:rPr>
          <w:rFonts w:eastAsia="Calibri" w:cs="Arial"/>
          <w:lang w:val="en-GB"/>
        </w:rPr>
        <w:t>Donations</w:t>
      </w:r>
    </w:p>
    <w:p w14:paraId="65F99000" w14:textId="77777777" w:rsidR="007947BF" w:rsidRPr="008463F3" w:rsidRDefault="007947BF" w:rsidP="007947BF">
      <w:pPr>
        <w:pStyle w:val="ListParagraph"/>
        <w:numPr>
          <w:ilvl w:val="0"/>
          <w:numId w:val="11"/>
        </w:numPr>
        <w:spacing w:after="0" w:line="252" w:lineRule="auto"/>
        <w:jc w:val="both"/>
        <w:rPr>
          <w:rFonts w:eastAsia="Calibri" w:cs="Arial"/>
          <w:lang w:val="en-GB"/>
        </w:rPr>
      </w:pPr>
      <w:r w:rsidRPr="008463F3">
        <w:rPr>
          <w:rFonts w:eastAsia="Calibri" w:cs="Arial"/>
          <w:lang w:val="en-GB"/>
        </w:rPr>
        <w:t>Funds from international projects</w:t>
      </w:r>
    </w:p>
    <w:p w14:paraId="32162ABD" w14:textId="77777777" w:rsidR="007947BF" w:rsidRPr="008463F3" w:rsidRDefault="007947BF" w:rsidP="007947BF">
      <w:pPr>
        <w:pStyle w:val="ListParagraph"/>
        <w:numPr>
          <w:ilvl w:val="0"/>
          <w:numId w:val="11"/>
        </w:numPr>
        <w:spacing w:after="0" w:line="252" w:lineRule="auto"/>
        <w:jc w:val="both"/>
        <w:rPr>
          <w:rFonts w:eastAsia="Calibri" w:cs="Arial"/>
          <w:lang w:val="en-GB"/>
        </w:rPr>
      </w:pPr>
      <w:r w:rsidRPr="008463F3">
        <w:rPr>
          <w:rFonts w:eastAsia="Calibri" w:cs="Arial"/>
          <w:lang w:val="en-GB"/>
        </w:rPr>
        <w:t xml:space="preserve">Funds / </w:t>
      </w:r>
      <w:r>
        <w:rPr>
          <w:rFonts w:eastAsia="Calibri" w:cs="Arial"/>
          <w:lang w:val="en-GB"/>
        </w:rPr>
        <w:t>international donations</w:t>
      </w:r>
    </w:p>
    <w:p w14:paraId="17726D3A" w14:textId="77777777" w:rsidR="007947BF" w:rsidRPr="008463F3" w:rsidRDefault="007947BF" w:rsidP="007947BF">
      <w:pPr>
        <w:pStyle w:val="ListParagraph"/>
        <w:numPr>
          <w:ilvl w:val="0"/>
          <w:numId w:val="11"/>
        </w:numPr>
        <w:spacing w:after="0" w:line="252" w:lineRule="auto"/>
        <w:jc w:val="both"/>
        <w:rPr>
          <w:rFonts w:eastAsia="Calibri" w:cs="Arial"/>
          <w:lang w:val="en-GB"/>
        </w:rPr>
      </w:pPr>
      <w:r w:rsidRPr="008463F3">
        <w:rPr>
          <w:rFonts w:eastAsia="Calibri" w:cs="Arial"/>
          <w:lang w:val="en-GB"/>
        </w:rPr>
        <w:t>Other sources - specify which!</w:t>
      </w:r>
    </w:p>
    <w:p w14:paraId="1BD5185F" w14:textId="77777777" w:rsidR="007947BF" w:rsidRPr="008463F3" w:rsidRDefault="007947BF" w:rsidP="007947BF">
      <w:pPr>
        <w:spacing w:after="0"/>
        <w:rPr>
          <w:b/>
          <w:lang w:val="en-GB"/>
        </w:rPr>
      </w:pPr>
    </w:p>
    <w:p w14:paraId="5914C73B" w14:textId="77777777" w:rsidR="007947BF" w:rsidRPr="008463F3" w:rsidRDefault="007947BF" w:rsidP="007947BF">
      <w:pPr>
        <w:spacing w:after="0"/>
        <w:rPr>
          <w:b/>
          <w:lang w:val="en-GB"/>
        </w:rPr>
      </w:pPr>
      <w:r w:rsidRPr="008463F3">
        <w:rPr>
          <w:b/>
          <w:lang w:val="en-GB"/>
        </w:rPr>
        <w:t>Instructions for section 3: Information on Access, Collaboration and Impact</w:t>
      </w:r>
    </w:p>
    <w:p w14:paraId="0D2C10A8" w14:textId="77777777" w:rsidR="007947BF" w:rsidRPr="008463F3" w:rsidRDefault="007947BF" w:rsidP="007947BF">
      <w:pPr>
        <w:jc w:val="both"/>
        <w:rPr>
          <w:lang w:val="en-GB"/>
        </w:rPr>
      </w:pPr>
      <w:r>
        <w:rPr>
          <w:lang w:val="en-GB"/>
        </w:rPr>
        <w:t>S</w:t>
      </w:r>
      <w:r w:rsidRPr="008463F3">
        <w:rPr>
          <w:lang w:val="en-GB"/>
        </w:rPr>
        <w:t xml:space="preserve">ection 3 consists of 4 open questions and sub-questions and it requires information on access, collaboration and impact of research infrastructure. </w:t>
      </w:r>
    </w:p>
    <w:p w14:paraId="6E87B7EC" w14:textId="77777777" w:rsidR="007947BF" w:rsidRPr="008463F3" w:rsidRDefault="007947BF" w:rsidP="007947BF">
      <w:pPr>
        <w:jc w:val="both"/>
        <w:rPr>
          <w:lang w:val="en-GB"/>
        </w:rPr>
      </w:pPr>
      <w:r w:rsidRPr="008463F3">
        <w:rPr>
          <w:rFonts w:eastAsia="Calibri" w:cs="Arial"/>
          <w:b/>
          <w:lang w:val="en-GB"/>
        </w:rPr>
        <w:t>Instructions for completing section 3.1.</w:t>
      </w:r>
    </w:p>
    <w:p w14:paraId="67A7D018" w14:textId="77777777" w:rsidR="007947BF" w:rsidRPr="008463F3" w:rsidRDefault="007947BF" w:rsidP="007947BF">
      <w:pPr>
        <w:jc w:val="both"/>
        <w:rPr>
          <w:lang w:val="en-GB"/>
        </w:rPr>
      </w:pPr>
      <w:r>
        <w:rPr>
          <w:lang w:val="en-GB"/>
        </w:rPr>
        <w:t>S</w:t>
      </w:r>
      <w:r w:rsidRPr="008463F3">
        <w:rPr>
          <w:lang w:val="en-GB"/>
        </w:rPr>
        <w:t>hort description of access policy and procedures for users of research infrastructure should be provided</w:t>
      </w:r>
      <w:r>
        <w:rPr>
          <w:lang w:val="en-GB"/>
        </w:rPr>
        <w:t xml:space="preserve"> in section 3.1</w:t>
      </w:r>
      <w:r w:rsidRPr="008463F3">
        <w:rPr>
          <w:lang w:val="en-GB"/>
        </w:rPr>
        <w:t xml:space="preserve">. If there is no official access policy, please describe internal procedures that are being used. In addition, the estimated number of users of research infrastructure should be also inserted since that it is very important information for determining the importance of the selected research infrastructure for the research community at the national and international level. </w:t>
      </w:r>
      <w:r>
        <w:rPr>
          <w:lang w:val="en-GB"/>
        </w:rPr>
        <w:t>A</w:t>
      </w:r>
      <w:r w:rsidRPr="008463F3">
        <w:rPr>
          <w:lang w:val="en-GB"/>
        </w:rPr>
        <w:t>ll external organi</w:t>
      </w:r>
      <w:r>
        <w:rPr>
          <w:lang w:val="en-GB"/>
        </w:rPr>
        <w:t>s</w:t>
      </w:r>
      <w:r w:rsidRPr="008463F3">
        <w:rPr>
          <w:lang w:val="en-GB"/>
        </w:rPr>
        <w:t>ations and institutions that used research equipment provided by research infrastructure so far should be listed</w:t>
      </w:r>
      <w:r>
        <w:rPr>
          <w:lang w:val="en-GB"/>
        </w:rPr>
        <w:t xml:space="preserve"> in section 3.1.1</w:t>
      </w:r>
      <w:r w:rsidRPr="008463F3">
        <w:rPr>
          <w:lang w:val="en-GB"/>
        </w:rPr>
        <w:t xml:space="preserve">. </w:t>
      </w:r>
    </w:p>
    <w:p w14:paraId="2BE71032" w14:textId="77777777" w:rsidR="007947BF" w:rsidRPr="008463F3" w:rsidRDefault="007947BF" w:rsidP="007947BF">
      <w:pPr>
        <w:jc w:val="both"/>
        <w:rPr>
          <w:lang w:val="en-GB"/>
        </w:rPr>
      </w:pPr>
      <w:r w:rsidRPr="008463F3">
        <w:rPr>
          <w:rFonts w:eastAsia="Calibri" w:cs="Arial"/>
          <w:b/>
          <w:lang w:val="en-GB"/>
        </w:rPr>
        <w:t>Instructions for completing section 3.2.</w:t>
      </w:r>
    </w:p>
    <w:p w14:paraId="5A652215" w14:textId="77777777" w:rsidR="007947BF" w:rsidRPr="008463F3" w:rsidRDefault="007947BF" w:rsidP="007947BF">
      <w:pPr>
        <w:jc w:val="both"/>
        <w:rPr>
          <w:lang w:val="en-GB"/>
        </w:rPr>
      </w:pPr>
      <w:r w:rsidRPr="008463F3">
        <w:rPr>
          <w:lang w:val="en-GB"/>
        </w:rPr>
        <w:t>Recognition of research infrastructure and scientific impact on the international level should be emphasi</w:t>
      </w:r>
      <w:r>
        <w:rPr>
          <w:lang w:val="en-GB"/>
        </w:rPr>
        <w:t>s</w:t>
      </w:r>
      <w:r w:rsidRPr="008463F3">
        <w:rPr>
          <w:lang w:val="en-GB"/>
        </w:rPr>
        <w:t xml:space="preserve">ed in the sections 3.2 and 3.3 of this questionnaire. This information is of particular interest for determining the relevance of research infrastructure on an international level. </w:t>
      </w:r>
    </w:p>
    <w:p w14:paraId="74D96A40" w14:textId="77777777" w:rsidR="007947BF" w:rsidRPr="008463F3" w:rsidRDefault="007947BF" w:rsidP="007947BF">
      <w:pPr>
        <w:jc w:val="both"/>
        <w:rPr>
          <w:lang w:val="en-GB"/>
        </w:rPr>
      </w:pPr>
      <w:r w:rsidRPr="008463F3">
        <w:rPr>
          <w:lang w:val="en-GB"/>
        </w:rPr>
        <w:t xml:space="preserve">Information on cooperation with other research institutions is important for determining the relevance of research infrastructure as well as the level of interaction with other actors in the research community. In section 3.2, all international research projects, partnerships or agreements that the research infrastructure has been involved in the last 10 years should be listed. Please note that only research projects that included the use of research equipment should be inserted. </w:t>
      </w:r>
      <w:r>
        <w:rPr>
          <w:lang w:val="en-GB"/>
        </w:rPr>
        <w:t>I</w:t>
      </w:r>
      <w:r w:rsidRPr="008463F3">
        <w:rPr>
          <w:lang w:val="en-GB"/>
        </w:rPr>
        <w:t>nformation on the potential integration into international or pan-European research infrastructures should be provided</w:t>
      </w:r>
      <w:r>
        <w:rPr>
          <w:lang w:val="en-GB"/>
        </w:rPr>
        <w:t xml:space="preserve">, </w:t>
      </w:r>
      <w:r w:rsidRPr="008463F3">
        <w:rPr>
          <w:lang w:val="en-GB"/>
        </w:rPr>
        <w:t>if there is any</w:t>
      </w:r>
      <w:r>
        <w:rPr>
          <w:lang w:val="en-GB"/>
        </w:rPr>
        <w:t xml:space="preserve">, in </w:t>
      </w:r>
      <w:r w:rsidRPr="008463F3">
        <w:rPr>
          <w:lang w:val="en-GB"/>
        </w:rPr>
        <w:t>3.2.1.</w:t>
      </w:r>
    </w:p>
    <w:p w14:paraId="53CE054C" w14:textId="77777777" w:rsidR="007947BF" w:rsidRPr="008463F3" w:rsidRDefault="007947BF" w:rsidP="007947BF">
      <w:pPr>
        <w:jc w:val="both"/>
        <w:rPr>
          <w:lang w:val="en-GB"/>
        </w:rPr>
      </w:pPr>
      <w:r w:rsidRPr="008463F3">
        <w:rPr>
          <w:rFonts w:eastAsia="Calibri" w:cs="Arial"/>
          <w:b/>
          <w:lang w:val="en-GB"/>
        </w:rPr>
        <w:t xml:space="preserve">Instructions for completing section </w:t>
      </w:r>
      <w:r w:rsidRPr="008463F3">
        <w:rPr>
          <w:b/>
          <w:lang w:val="en-GB"/>
        </w:rPr>
        <w:t>3.3.</w:t>
      </w:r>
    </w:p>
    <w:p w14:paraId="21AE0BC1" w14:textId="77777777" w:rsidR="007947BF" w:rsidRPr="008463F3" w:rsidRDefault="007947BF" w:rsidP="007947BF">
      <w:pPr>
        <w:jc w:val="both"/>
        <w:rPr>
          <w:lang w:val="en-GB"/>
        </w:rPr>
      </w:pPr>
      <w:r w:rsidRPr="008463F3">
        <w:rPr>
          <w:lang w:val="en-GB"/>
        </w:rPr>
        <w:t>The section 3.3 refers to the engagement in research projects (H2020, FP7, other programmes) which aimed at establish</w:t>
      </w:r>
      <w:r>
        <w:rPr>
          <w:lang w:val="en-GB"/>
        </w:rPr>
        <w:t>ing</w:t>
      </w:r>
      <w:r w:rsidRPr="008463F3">
        <w:rPr>
          <w:lang w:val="en-GB"/>
        </w:rPr>
        <w:t xml:space="preserve"> research infrastructures on national or international level. </w:t>
      </w:r>
    </w:p>
    <w:p w14:paraId="2D05A81B" w14:textId="77777777" w:rsidR="007947BF" w:rsidRPr="008463F3" w:rsidRDefault="007947BF" w:rsidP="007947BF">
      <w:pPr>
        <w:jc w:val="both"/>
        <w:rPr>
          <w:lang w:val="en-GB"/>
        </w:rPr>
      </w:pPr>
      <w:r w:rsidRPr="008463F3">
        <w:rPr>
          <w:rFonts w:eastAsia="Calibri" w:cs="Arial"/>
          <w:b/>
          <w:lang w:val="en-GB"/>
        </w:rPr>
        <w:t xml:space="preserve">Instructions for completing section </w:t>
      </w:r>
      <w:r w:rsidRPr="008463F3">
        <w:rPr>
          <w:b/>
          <w:lang w:val="en-GB"/>
        </w:rPr>
        <w:t>3.4.</w:t>
      </w:r>
    </w:p>
    <w:p w14:paraId="4D0EE81A" w14:textId="77777777" w:rsidR="007947BF" w:rsidRPr="008463F3" w:rsidRDefault="007947BF" w:rsidP="007947BF">
      <w:pPr>
        <w:jc w:val="both"/>
        <w:rPr>
          <w:lang w:val="en-GB"/>
        </w:rPr>
      </w:pPr>
      <w:r w:rsidRPr="008463F3">
        <w:rPr>
          <w:lang w:val="en-GB"/>
        </w:rPr>
        <w:t xml:space="preserve">The last section (3.4) refers to future plan of RI management. The respondent needs to briefly specify the future investment, integration into wider RI and other relevant information </w:t>
      </w:r>
      <w:r>
        <w:rPr>
          <w:lang w:val="en-GB"/>
        </w:rPr>
        <w:t xml:space="preserve">as </w:t>
      </w:r>
      <w:r w:rsidRPr="008463F3">
        <w:rPr>
          <w:lang w:val="en-GB"/>
        </w:rPr>
        <w:t>considered important.</w:t>
      </w:r>
    </w:p>
    <w:p w14:paraId="4FEB148C" w14:textId="77777777" w:rsidR="007947BF" w:rsidRPr="008463F3" w:rsidRDefault="007947BF" w:rsidP="007947BF">
      <w:pPr>
        <w:rPr>
          <w:lang w:val="en-GB"/>
        </w:rPr>
      </w:pPr>
    </w:p>
    <w:p w14:paraId="0880164E" w14:textId="77777777" w:rsidR="007947BF" w:rsidRPr="008463F3" w:rsidRDefault="007947BF" w:rsidP="007947BF">
      <w:pPr>
        <w:rPr>
          <w:lang w:val="en-GB"/>
        </w:rPr>
      </w:pPr>
    </w:p>
    <w:p w14:paraId="34E460D7" w14:textId="77777777" w:rsidR="007947BF" w:rsidRPr="008463F3" w:rsidRDefault="007947BF" w:rsidP="007947BF">
      <w:pPr>
        <w:rPr>
          <w:lang w:val="en-GB"/>
        </w:rPr>
      </w:pPr>
    </w:p>
    <w:p w14:paraId="3863DBEB" w14:textId="77777777" w:rsidR="000F5DAB" w:rsidRDefault="000F5DAB"/>
    <w:sectPr w:rsidR="000F5DAB" w:rsidSect="00AA5F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B986B" w14:textId="77777777" w:rsidR="001E6D5A" w:rsidRDefault="001E6D5A" w:rsidP="007947BF">
      <w:pPr>
        <w:spacing w:after="0" w:line="240" w:lineRule="auto"/>
      </w:pPr>
      <w:r>
        <w:separator/>
      </w:r>
    </w:p>
  </w:endnote>
  <w:endnote w:type="continuationSeparator" w:id="0">
    <w:p w14:paraId="4F87A3D3" w14:textId="77777777" w:rsidR="001E6D5A" w:rsidRDefault="001E6D5A" w:rsidP="00794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9316414"/>
      <w:docPartObj>
        <w:docPartGallery w:val="Page Numbers (Bottom of Page)"/>
        <w:docPartUnique/>
      </w:docPartObj>
    </w:sdtPr>
    <w:sdtEndPr>
      <w:rPr>
        <w:noProof/>
      </w:rPr>
    </w:sdtEndPr>
    <w:sdtContent>
      <w:p w14:paraId="66122840" w14:textId="77777777" w:rsidR="007947BF" w:rsidRDefault="007947BF">
        <w:pPr>
          <w:pStyle w:val="Footer"/>
          <w:jc w:val="center"/>
        </w:pPr>
        <w:r>
          <w:fldChar w:fldCharType="begin"/>
        </w:r>
        <w:r>
          <w:instrText xml:space="preserve"> PAGE   \* MERGEFORMAT </w:instrText>
        </w:r>
        <w:r>
          <w:fldChar w:fldCharType="separate"/>
        </w:r>
        <w:r>
          <w:rPr>
            <w:noProof/>
          </w:rPr>
          <w:t>86</w:t>
        </w:r>
        <w:r>
          <w:rPr>
            <w:noProof/>
          </w:rPr>
          <w:fldChar w:fldCharType="end"/>
        </w:r>
      </w:p>
    </w:sdtContent>
  </w:sdt>
  <w:p w14:paraId="619F1E1A" w14:textId="77777777" w:rsidR="007947BF" w:rsidRDefault="00794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61769" w14:textId="77777777" w:rsidR="001E6D5A" w:rsidRDefault="001E6D5A" w:rsidP="007947BF">
      <w:pPr>
        <w:spacing w:after="0" w:line="240" w:lineRule="auto"/>
      </w:pPr>
      <w:r>
        <w:separator/>
      </w:r>
    </w:p>
  </w:footnote>
  <w:footnote w:type="continuationSeparator" w:id="0">
    <w:p w14:paraId="425F3227" w14:textId="77777777" w:rsidR="001E6D5A" w:rsidRDefault="001E6D5A" w:rsidP="007947BF">
      <w:pPr>
        <w:spacing w:after="0" w:line="240" w:lineRule="auto"/>
      </w:pPr>
      <w:r>
        <w:continuationSeparator/>
      </w:r>
    </w:p>
  </w:footnote>
  <w:footnote w:id="1">
    <w:p w14:paraId="3F2F8B9D" w14:textId="77777777" w:rsidR="007947BF" w:rsidRPr="00255660" w:rsidRDefault="007947BF" w:rsidP="007947BF">
      <w:pPr>
        <w:pStyle w:val="FootnoteText"/>
      </w:pPr>
      <w:r w:rsidRPr="00255660">
        <w:rPr>
          <w:rStyle w:val="FootnoteReference"/>
        </w:rPr>
        <w:footnoteRef/>
      </w:r>
      <w:r w:rsidRPr="00255660">
        <w:t xml:space="preserve"> EC (2016). European Chapter for Access to Research Infrastructures, Directorate-General for Research and Innovation, Brussels</w:t>
      </w:r>
    </w:p>
  </w:footnote>
  <w:footnote w:id="2">
    <w:p w14:paraId="1E0BDD41" w14:textId="77777777" w:rsidR="007947BF" w:rsidRPr="00255660" w:rsidRDefault="007947BF" w:rsidP="007947BF">
      <w:pPr>
        <w:pStyle w:val="FootnoteText"/>
      </w:pPr>
      <w:r w:rsidRPr="00255660">
        <w:rPr>
          <w:rStyle w:val="FootnoteReference"/>
        </w:rPr>
        <w:footnoteRef/>
      </w:r>
      <w:r w:rsidRPr="00255660">
        <w:t xml:space="preserve"> Regulation (EU) No 1291/2013 of 11 December 2013 - “Establishing Horizon 2020 – the Framework Programme for Research and Innovation 2014-2020”</w:t>
      </w:r>
    </w:p>
  </w:footnote>
  <w:footnote w:id="3">
    <w:p w14:paraId="4833CA93" w14:textId="77777777" w:rsidR="007947BF" w:rsidRPr="00255660" w:rsidRDefault="007947BF" w:rsidP="007947BF">
      <w:pPr>
        <w:pStyle w:val="FootnoteText"/>
      </w:pPr>
      <w:r w:rsidRPr="00255660">
        <w:rPr>
          <w:rStyle w:val="FootnoteReference"/>
        </w:rPr>
        <w:footnoteRef/>
      </w:r>
      <w:r w:rsidRPr="00255660">
        <w:t xml:space="preserve"> </w:t>
      </w:r>
      <w:hyperlink r:id="rId1" w:history="1">
        <w:r w:rsidRPr="00255660">
          <w:rPr>
            <w:rStyle w:val="Hyperlink"/>
          </w:rPr>
          <w:t>http://ec.europa.eu/research/esfri</w:t>
        </w:r>
      </w:hyperlink>
      <w:r w:rsidRPr="00255660">
        <w:t xml:space="preserve"> </w:t>
      </w:r>
    </w:p>
  </w:footnote>
  <w:footnote w:id="4">
    <w:p w14:paraId="05EF3994" w14:textId="77777777" w:rsidR="007947BF" w:rsidRPr="00255660" w:rsidRDefault="007947BF" w:rsidP="007947BF">
      <w:pPr>
        <w:pStyle w:val="FootnoteText"/>
      </w:pPr>
      <w:r w:rsidRPr="00255660">
        <w:rPr>
          <w:rStyle w:val="FootnoteReference"/>
        </w:rPr>
        <w:footnoteRef/>
      </w:r>
      <w:r w:rsidRPr="00255660">
        <w:t xml:space="preserve"> </w:t>
      </w:r>
      <w:hyperlink r:id="rId2" w:history="1">
        <w:r w:rsidRPr="00255660">
          <w:rPr>
            <w:rStyle w:val="Hyperlink"/>
          </w:rPr>
          <w:t>https://data.worldbank.org/indicator/GB.XPD.RSDV.GD.ZS?locations=MK</w:t>
        </w:r>
      </w:hyperlink>
      <w:r w:rsidRPr="00255660">
        <w:t xml:space="preserve"> </w:t>
      </w:r>
    </w:p>
  </w:footnote>
  <w:footnote w:id="5">
    <w:p w14:paraId="4580A3E1" w14:textId="77777777" w:rsidR="007947BF" w:rsidRDefault="007947BF" w:rsidP="007947BF">
      <w:pPr>
        <w:pStyle w:val="FootnoteText"/>
      </w:pPr>
      <w:r>
        <w:rPr>
          <w:rStyle w:val="FootnoteReference"/>
        </w:rPr>
        <w:footnoteRef/>
      </w:r>
      <w:r>
        <w:t xml:space="preserve"> </w:t>
      </w:r>
      <w:r w:rsidRPr="0023482B">
        <w:t>Source: State Statistical Office of the Republic of</w:t>
      </w:r>
      <w:r>
        <w:t xml:space="preserve"> North</w:t>
      </w:r>
      <w:r w:rsidRPr="0023482B">
        <w:t xml:space="preserve"> Macedonia – Research and Development, 2020</w:t>
      </w:r>
    </w:p>
  </w:footnote>
  <w:footnote w:id="6">
    <w:p w14:paraId="731BC2A8" w14:textId="77777777" w:rsidR="007947BF" w:rsidRPr="00255660" w:rsidRDefault="007947BF" w:rsidP="007947BF">
      <w:pPr>
        <w:pStyle w:val="FootnoteText"/>
      </w:pPr>
      <w:r w:rsidRPr="00255660">
        <w:rPr>
          <w:rStyle w:val="FootnoteReference"/>
        </w:rPr>
        <w:footnoteRef/>
      </w:r>
      <w:r w:rsidRPr="00255660">
        <w:t xml:space="preserve"> https://ec.europa.eu/research/infrastructures/pdf/2016_charterforaccessto-ris.pdf</w:t>
      </w:r>
    </w:p>
  </w:footnote>
  <w:footnote w:id="7">
    <w:p w14:paraId="0B0791A8" w14:textId="77777777" w:rsidR="007947BF" w:rsidRPr="00A21742" w:rsidRDefault="007947BF" w:rsidP="007947BF">
      <w:pPr>
        <w:pStyle w:val="FootnoteText"/>
        <w:rPr>
          <w:lang w:val="en-US"/>
        </w:rPr>
      </w:pPr>
      <w:r>
        <w:rPr>
          <w:rStyle w:val="FootnoteReference"/>
        </w:rPr>
        <w:footnoteRef/>
      </w:r>
      <w:r>
        <w:t xml:space="preserve"> </w:t>
      </w:r>
      <w:r w:rsidRPr="00A21742">
        <w:rPr>
          <w:rFonts w:cs="Times New Roman"/>
        </w:rPr>
        <w:t>This designation is without prejudice to positions on status, and is in line with UNSCR 1244/1999 and the ICJ Opinion on the Kosovo declaration of independence.</w:t>
      </w:r>
    </w:p>
  </w:footnote>
  <w:footnote w:id="8">
    <w:p w14:paraId="3C6B9FCA" w14:textId="77777777" w:rsidR="007947BF" w:rsidRPr="00255660" w:rsidRDefault="007947BF" w:rsidP="007947BF">
      <w:pPr>
        <w:pStyle w:val="FootnoteText"/>
      </w:pPr>
      <w:r w:rsidRPr="00255660">
        <w:rPr>
          <w:rStyle w:val="FootnoteReference"/>
        </w:rPr>
        <w:footnoteRef/>
      </w:r>
      <w:r w:rsidRPr="00255660">
        <w:t xml:space="preserve"> EC (2016). European Chapter for Access to Research Infrastructures, Directorate-General for Research and Innovation, Brussels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570EB" w14:textId="77777777" w:rsidR="007947BF" w:rsidRDefault="007947BF" w:rsidP="0057459F">
    <w:pPr>
      <w:pStyle w:val="Header"/>
      <w:tabs>
        <w:tab w:val="clear" w:pos="4536"/>
        <w:tab w:val="clear" w:pos="9072"/>
        <w:tab w:val="left" w:pos="5505"/>
      </w:tabs>
    </w:pPr>
    <w:r>
      <w:rPr>
        <w:noProof/>
        <w:lang w:val="en-US"/>
      </w:rPr>
      <w:drawing>
        <wp:inline distT="0" distB="0" distL="0" distR="0" wp14:anchorId="7A46AB92" wp14:editId="043105B7">
          <wp:extent cx="1847850" cy="926389"/>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926389"/>
                  </a:xfrm>
                  <a:prstGeom prst="rect">
                    <a:avLst/>
                  </a:prstGeom>
                  <a:noFill/>
                  <a:ln>
                    <a:noFill/>
                  </a:ln>
                </pic:spPr>
              </pic:pic>
            </a:graphicData>
          </a:graphic>
        </wp:inline>
      </w:drawing>
    </w:r>
    <w:r>
      <w:tab/>
      <w:t xml:space="preserve"> </w:t>
    </w:r>
    <w:r>
      <w:rPr>
        <w:noProof/>
        <w:lang w:val="en-US"/>
      </w:rPr>
      <w:drawing>
        <wp:inline distT="0" distB="0" distL="0" distR="0" wp14:anchorId="67B4F2C1" wp14:editId="23D1B593">
          <wp:extent cx="1190334" cy="1019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
                    <a:extLst>
                      <a:ext uri="{28A0092B-C50C-407E-A947-70E740481C1C}">
                        <a14:useLocalDpi xmlns:a14="http://schemas.microsoft.com/office/drawing/2010/main" val="0"/>
                      </a:ext>
                    </a:extLst>
                  </a:blip>
                  <a:stretch>
                    <a:fillRect/>
                  </a:stretch>
                </pic:blipFill>
                <pic:spPr>
                  <a:xfrm>
                    <a:off x="0" y="0"/>
                    <a:ext cx="1191916" cy="1020530"/>
                  </a:xfrm>
                  <a:prstGeom prst="rect">
                    <a:avLst/>
                  </a:prstGeom>
                </pic:spPr>
              </pic:pic>
            </a:graphicData>
          </a:graphic>
        </wp:inline>
      </w:drawing>
    </w:r>
  </w:p>
  <w:p w14:paraId="3019D538" w14:textId="77777777" w:rsidR="007947BF" w:rsidRDefault="007947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39FB"/>
    <w:multiLevelType w:val="hybridMultilevel"/>
    <w:tmpl w:val="2280F404"/>
    <w:lvl w:ilvl="0" w:tplc="057CD520">
      <w:start w:val="11"/>
      <w:numFmt w:val="bullet"/>
      <w:lvlText w:val="•"/>
      <w:lvlJc w:val="left"/>
      <w:pPr>
        <w:ind w:left="1065" w:hanging="705"/>
      </w:pPr>
      <w:rPr>
        <w:rFonts w:ascii="Calibri" w:eastAsiaTheme="minorHAnsi" w:hAnsi="Calibri" w:cstheme="minorBidi" w:hint="default"/>
      </w:rPr>
    </w:lvl>
    <w:lvl w:ilvl="1" w:tplc="C3B21DE2">
      <w:numFmt w:val="bullet"/>
      <w:lvlText w:val="-"/>
      <w:lvlJc w:val="left"/>
      <w:pPr>
        <w:ind w:left="1785" w:hanging="705"/>
      </w:pPr>
      <w:rPr>
        <w:rFonts w:ascii="Calibri" w:eastAsiaTheme="minorHAnsi" w:hAnsi="Calibri" w:cstheme="minorBidi"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6786199"/>
    <w:multiLevelType w:val="hybridMultilevel"/>
    <w:tmpl w:val="C65C5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1623D"/>
    <w:multiLevelType w:val="hybridMultilevel"/>
    <w:tmpl w:val="27EABC40"/>
    <w:lvl w:ilvl="0" w:tplc="3E12CCD8">
      <w:start w:val="4"/>
      <w:numFmt w:val="bullet"/>
      <w:lvlText w:val="•"/>
      <w:lvlJc w:val="left"/>
      <w:pPr>
        <w:ind w:left="720" w:hanging="360"/>
      </w:pPr>
      <w:rPr>
        <w:rFonts w:ascii="Calibri" w:eastAsiaTheme="minorHAnsi" w:hAnsi="Calibri"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0AA74DD7"/>
    <w:multiLevelType w:val="hybridMultilevel"/>
    <w:tmpl w:val="138059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0B614024"/>
    <w:multiLevelType w:val="hybridMultilevel"/>
    <w:tmpl w:val="F02AFF8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0C682CA5"/>
    <w:multiLevelType w:val="hybridMultilevel"/>
    <w:tmpl w:val="D848FF4E"/>
    <w:lvl w:ilvl="0" w:tplc="3E12CCD8">
      <w:start w:val="4"/>
      <w:numFmt w:val="bullet"/>
      <w:lvlText w:val="•"/>
      <w:lvlJc w:val="left"/>
      <w:pPr>
        <w:ind w:left="720" w:hanging="360"/>
      </w:pPr>
      <w:rPr>
        <w:rFonts w:ascii="Calibri" w:eastAsiaTheme="minorHAnsi" w:hAnsi="Calibri"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171A65EB"/>
    <w:multiLevelType w:val="hybridMultilevel"/>
    <w:tmpl w:val="6B72525A"/>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1B4D11FF"/>
    <w:multiLevelType w:val="hybridMultilevel"/>
    <w:tmpl w:val="5F8CDA00"/>
    <w:lvl w:ilvl="0" w:tplc="3E12CCD8">
      <w:start w:val="4"/>
      <w:numFmt w:val="bullet"/>
      <w:lvlText w:val="•"/>
      <w:lvlJc w:val="left"/>
      <w:pPr>
        <w:ind w:left="720" w:hanging="360"/>
      </w:pPr>
      <w:rPr>
        <w:rFonts w:ascii="Calibri" w:eastAsiaTheme="minorHAnsi" w:hAnsi="Calibri" w:cstheme="minorBidi" w:hint="default"/>
      </w:rPr>
    </w:lvl>
    <w:lvl w:ilvl="1" w:tplc="B6BA917C">
      <w:numFmt w:val="bullet"/>
      <w:lvlText w:val="–"/>
      <w:lvlJc w:val="left"/>
      <w:pPr>
        <w:ind w:left="1440" w:hanging="360"/>
      </w:pPr>
      <w:rPr>
        <w:rFonts w:ascii="Calibri" w:eastAsia="Calibri" w:hAnsi="Calibri" w:cs="Times New Roman"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1B5F5280"/>
    <w:multiLevelType w:val="hybridMultilevel"/>
    <w:tmpl w:val="7C9CEB2E"/>
    <w:lvl w:ilvl="0" w:tplc="057CD520">
      <w:start w:val="11"/>
      <w:numFmt w:val="bullet"/>
      <w:lvlText w:val="•"/>
      <w:lvlJc w:val="left"/>
      <w:pPr>
        <w:ind w:left="1065" w:hanging="705"/>
      </w:pPr>
      <w:rPr>
        <w:rFonts w:ascii="Calibri" w:eastAsiaTheme="minorHAnsi" w:hAnsi="Calibri"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1BA716AC"/>
    <w:multiLevelType w:val="hybridMultilevel"/>
    <w:tmpl w:val="CF9661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1BC871C8"/>
    <w:multiLevelType w:val="hybridMultilevel"/>
    <w:tmpl w:val="B2ECA66C"/>
    <w:lvl w:ilvl="0" w:tplc="3E12CCD8">
      <w:start w:val="4"/>
      <w:numFmt w:val="bullet"/>
      <w:lvlText w:val="•"/>
      <w:lvlJc w:val="left"/>
      <w:pPr>
        <w:ind w:left="720" w:hanging="360"/>
      </w:pPr>
      <w:rPr>
        <w:rFonts w:ascii="Calibri" w:eastAsiaTheme="minorHAnsi" w:hAnsi="Calibri"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1C756EF8"/>
    <w:multiLevelType w:val="hybridMultilevel"/>
    <w:tmpl w:val="CF96289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1EA67ACB"/>
    <w:multiLevelType w:val="hybridMultilevel"/>
    <w:tmpl w:val="17C66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AF759E"/>
    <w:multiLevelType w:val="hybridMultilevel"/>
    <w:tmpl w:val="EEA4AE14"/>
    <w:lvl w:ilvl="0" w:tplc="241A0001">
      <w:start w:val="1"/>
      <w:numFmt w:val="bullet"/>
      <w:lvlText w:val=""/>
      <w:lvlJc w:val="left"/>
      <w:pPr>
        <w:ind w:left="720" w:hanging="360"/>
      </w:pPr>
      <w:rPr>
        <w:rFonts w:ascii="Symbol" w:hAnsi="Symbol" w:hint="default"/>
      </w:rPr>
    </w:lvl>
    <w:lvl w:ilvl="1" w:tplc="BF9EBD9E">
      <w:numFmt w:val="bullet"/>
      <w:lvlText w:val="–"/>
      <w:lvlJc w:val="left"/>
      <w:pPr>
        <w:ind w:left="1440" w:hanging="360"/>
      </w:pPr>
      <w:rPr>
        <w:rFonts w:ascii="Calibri" w:eastAsiaTheme="minorHAnsi" w:hAnsi="Calibri" w:cstheme="minorBidi"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21FE50FA"/>
    <w:multiLevelType w:val="hybridMultilevel"/>
    <w:tmpl w:val="7D7201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67DB8"/>
    <w:multiLevelType w:val="hybridMultilevel"/>
    <w:tmpl w:val="C51C685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227F1B58"/>
    <w:multiLevelType w:val="hybridMultilevel"/>
    <w:tmpl w:val="72C6A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2D7464F"/>
    <w:multiLevelType w:val="hybridMultilevel"/>
    <w:tmpl w:val="18C45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8C6170"/>
    <w:multiLevelType w:val="hybridMultilevel"/>
    <w:tmpl w:val="9A8E9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C147F1"/>
    <w:multiLevelType w:val="hybridMultilevel"/>
    <w:tmpl w:val="5B624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6261F9"/>
    <w:multiLevelType w:val="hybridMultilevel"/>
    <w:tmpl w:val="95C6708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25CE0A1E"/>
    <w:multiLevelType w:val="hybridMultilevel"/>
    <w:tmpl w:val="88D8418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26CC161E"/>
    <w:multiLevelType w:val="hybridMultilevel"/>
    <w:tmpl w:val="5F84C030"/>
    <w:lvl w:ilvl="0" w:tplc="3E12CCD8">
      <w:start w:val="4"/>
      <w:numFmt w:val="bullet"/>
      <w:lvlText w:val="•"/>
      <w:lvlJc w:val="left"/>
      <w:pPr>
        <w:ind w:left="720" w:hanging="360"/>
      </w:pPr>
      <w:rPr>
        <w:rFonts w:ascii="Calibri" w:eastAsiaTheme="minorHAnsi" w:hAnsi="Calibri"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29816A84"/>
    <w:multiLevelType w:val="hybridMultilevel"/>
    <w:tmpl w:val="4A341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B40C5E"/>
    <w:multiLevelType w:val="hybridMultilevel"/>
    <w:tmpl w:val="26E6C914"/>
    <w:lvl w:ilvl="0" w:tplc="3E12CCD8">
      <w:start w:val="4"/>
      <w:numFmt w:val="bullet"/>
      <w:lvlText w:val="•"/>
      <w:lvlJc w:val="left"/>
      <w:pPr>
        <w:ind w:left="720" w:hanging="360"/>
      </w:pPr>
      <w:rPr>
        <w:rFonts w:ascii="Calibri" w:eastAsiaTheme="minorHAnsi" w:hAnsi="Calibri" w:cstheme="minorBidi" w:hint="default"/>
      </w:rPr>
    </w:lvl>
    <w:lvl w:ilvl="1" w:tplc="08090001">
      <w:start w:val="1"/>
      <w:numFmt w:val="bullet"/>
      <w:lvlText w:val=""/>
      <w:lvlJc w:val="left"/>
      <w:pPr>
        <w:ind w:left="1440" w:hanging="360"/>
      </w:pPr>
      <w:rPr>
        <w:rFonts w:ascii="Symbol" w:hAnsi="Symbol"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0">
    <w:nsid w:val="380E32BC"/>
    <w:multiLevelType w:val="hybridMultilevel"/>
    <w:tmpl w:val="0D806918"/>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0">
    <w:nsid w:val="38251441"/>
    <w:multiLevelType w:val="hybridMultilevel"/>
    <w:tmpl w:val="BC6AE40E"/>
    <w:lvl w:ilvl="0" w:tplc="057CD520">
      <w:start w:val="11"/>
      <w:numFmt w:val="bullet"/>
      <w:lvlText w:val="•"/>
      <w:lvlJc w:val="left"/>
      <w:pPr>
        <w:ind w:left="1065" w:hanging="705"/>
      </w:pPr>
      <w:rPr>
        <w:rFonts w:ascii="Calibri" w:eastAsiaTheme="minorHAnsi" w:hAnsi="Calibri"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388C14F0"/>
    <w:multiLevelType w:val="hybridMultilevel"/>
    <w:tmpl w:val="4F5866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9B64A1E"/>
    <w:multiLevelType w:val="hybridMultilevel"/>
    <w:tmpl w:val="196CB25C"/>
    <w:lvl w:ilvl="0" w:tplc="81064B74">
      <w:numFmt w:val="bullet"/>
      <w:lvlText w:val="•"/>
      <w:lvlJc w:val="left"/>
      <w:pPr>
        <w:ind w:left="1065" w:hanging="705"/>
      </w:pPr>
      <w:rPr>
        <w:rFonts w:ascii="Calibri" w:eastAsiaTheme="minorHAnsi" w:hAnsi="Calibri"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3DD60314"/>
    <w:multiLevelType w:val="hybridMultilevel"/>
    <w:tmpl w:val="A524C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1C448E"/>
    <w:multiLevelType w:val="hybridMultilevel"/>
    <w:tmpl w:val="75085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4B659C"/>
    <w:multiLevelType w:val="hybridMultilevel"/>
    <w:tmpl w:val="977008BE"/>
    <w:lvl w:ilvl="0" w:tplc="3E12CCD8">
      <w:start w:val="4"/>
      <w:numFmt w:val="bullet"/>
      <w:lvlText w:val="•"/>
      <w:lvlJc w:val="left"/>
      <w:pPr>
        <w:ind w:left="720" w:hanging="360"/>
      </w:pPr>
      <w:rPr>
        <w:rFonts w:ascii="Calibri" w:eastAsiaTheme="minorHAnsi" w:hAnsi="Calibri"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438802E9"/>
    <w:multiLevelType w:val="hybridMultilevel"/>
    <w:tmpl w:val="B7781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E07BA2"/>
    <w:multiLevelType w:val="hybridMultilevel"/>
    <w:tmpl w:val="7FD4796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15:restartNumberingAfterBreak="0">
    <w:nsid w:val="46F90E99"/>
    <w:multiLevelType w:val="hybridMultilevel"/>
    <w:tmpl w:val="634E4748"/>
    <w:lvl w:ilvl="0" w:tplc="057CD520">
      <w:start w:val="11"/>
      <w:numFmt w:val="bullet"/>
      <w:lvlText w:val="•"/>
      <w:lvlJc w:val="left"/>
      <w:pPr>
        <w:ind w:left="1065" w:hanging="705"/>
      </w:pPr>
      <w:rPr>
        <w:rFonts w:ascii="Calibri" w:eastAsiaTheme="minorHAnsi" w:hAnsi="Calibri" w:cstheme="minorBidi" w:hint="default"/>
      </w:rPr>
    </w:lvl>
    <w:lvl w:ilvl="1" w:tplc="241A0001">
      <w:start w:val="1"/>
      <w:numFmt w:val="bullet"/>
      <w:lvlText w:val=""/>
      <w:lvlJc w:val="left"/>
      <w:pPr>
        <w:ind w:left="1785" w:hanging="705"/>
      </w:pPr>
      <w:rPr>
        <w:rFonts w:ascii="Symbol" w:hAnsi="Symbol"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15:restartNumberingAfterBreak="0">
    <w:nsid w:val="49E653FD"/>
    <w:multiLevelType w:val="hybridMultilevel"/>
    <w:tmpl w:val="557CD44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6" w15:restartNumberingAfterBreak="0">
    <w:nsid w:val="4E4856B6"/>
    <w:multiLevelType w:val="hybridMultilevel"/>
    <w:tmpl w:val="AEB836B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15:restartNumberingAfterBreak="0">
    <w:nsid w:val="51946BCA"/>
    <w:multiLevelType w:val="hybridMultilevel"/>
    <w:tmpl w:val="79A2A886"/>
    <w:lvl w:ilvl="0" w:tplc="057CD520">
      <w:start w:val="11"/>
      <w:numFmt w:val="bullet"/>
      <w:lvlText w:val="•"/>
      <w:lvlJc w:val="left"/>
      <w:pPr>
        <w:ind w:left="1065" w:hanging="705"/>
      </w:pPr>
      <w:rPr>
        <w:rFonts w:ascii="Calibri" w:eastAsiaTheme="minorHAnsi" w:hAnsi="Calibri" w:cstheme="minorBidi" w:hint="default"/>
      </w:rPr>
    </w:lvl>
    <w:lvl w:ilvl="1" w:tplc="EC8AFC3A">
      <w:numFmt w:val="bullet"/>
      <w:lvlText w:val="-"/>
      <w:lvlJc w:val="left"/>
      <w:pPr>
        <w:ind w:left="1785" w:hanging="705"/>
      </w:pPr>
      <w:rPr>
        <w:rFonts w:ascii="Calibri" w:eastAsiaTheme="minorHAnsi" w:hAnsi="Calibri" w:cstheme="minorBidi"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15:restartNumberingAfterBreak="0">
    <w:nsid w:val="51BB2D23"/>
    <w:multiLevelType w:val="hybridMultilevel"/>
    <w:tmpl w:val="8E76BE6E"/>
    <w:lvl w:ilvl="0" w:tplc="3E12CCD8">
      <w:start w:val="4"/>
      <w:numFmt w:val="bullet"/>
      <w:lvlText w:val="•"/>
      <w:lvlJc w:val="left"/>
      <w:pPr>
        <w:ind w:left="720" w:hanging="360"/>
      </w:pPr>
      <w:rPr>
        <w:rFonts w:ascii="Calibri" w:eastAsiaTheme="minorHAnsi" w:hAnsi="Calibri"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15:restartNumberingAfterBreak="0">
    <w:nsid w:val="56F06DD0"/>
    <w:multiLevelType w:val="hybridMultilevel"/>
    <w:tmpl w:val="2F788DC0"/>
    <w:lvl w:ilvl="0" w:tplc="81064B74">
      <w:numFmt w:val="bullet"/>
      <w:lvlText w:val="•"/>
      <w:lvlJc w:val="left"/>
      <w:pPr>
        <w:ind w:left="1065" w:hanging="705"/>
      </w:pPr>
      <w:rPr>
        <w:rFonts w:ascii="Calibri" w:eastAsiaTheme="minorHAnsi" w:hAnsi="Calibri"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0" w15:restartNumberingAfterBreak="0">
    <w:nsid w:val="574E23B2"/>
    <w:multiLevelType w:val="hybridMultilevel"/>
    <w:tmpl w:val="180AB238"/>
    <w:lvl w:ilvl="0" w:tplc="0809000F">
      <w:start w:val="1"/>
      <w:numFmt w:val="decimal"/>
      <w:lvlText w:val="%1."/>
      <w:lvlJc w:val="left"/>
      <w:pPr>
        <w:ind w:left="36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15:restartNumberingAfterBreak="0">
    <w:nsid w:val="5A0234F0"/>
    <w:multiLevelType w:val="hybridMultilevel"/>
    <w:tmpl w:val="2626005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15:restartNumberingAfterBreak="0">
    <w:nsid w:val="5B3E2736"/>
    <w:multiLevelType w:val="hybridMultilevel"/>
    <w:tmpl w:val="D62CDD28"/>
    <w:lvl w:ilvl="0" w:tplc="057CD520">
      <w:start w:val="11"/>
      <w:numFmt w:val="bullet"/>
      <w:lvlText w:val="•"/>
      <w:lvlJc w:val="left"/>
      <w:pPr>
        <w:ind w:left="1410" w:hanging="705"/>
      </w:pPr>
      <w:rPr>
        <w:rFonts w:ascii="Calibri" w:eastAsiaTheme="minorHAnsi" w:hAnsi="Calibri" w:cstheme="minorBidi" w:hint="default"/>
      </w:rPr>
    </w:lvl>
    <w:lvl w:ilvl="1" w:tplc="241A0001">
      <w:start w:val="1"/>
      <w:numFmt w:val="bullet"/>
      <w:lvlText w:val=""/>
      <w:lvlJc w:val="left"/>
      <w:pPr>
        <w:ind w:left="2130" w:hanging="705"/>
      </w:pPr>
      <w:rPr>
        <w:rFonts w:ascii="Symbol" w:hAnsi="Symbol" w:hint="default"/>
      </w:rPr>
    </w:lvl>
    <w:lvl w:ilvl="2" w:tplc="241A0005" w:tentative="1">
      <w:start w:val="1"/>
      <w:numFmt w:val="bullet"/>
      <w:lvlText w:val=""/>
      <w:lvlJc w:val="left"/>
      <w:pPr>
        <w:ind w:left="2505" w:hanging="360"/>
      </w:pPr>
      <w:rPr>
        <w:rFonts w:ascii="Wingdings" w:hAnsi="Wingdings" w:hint="default"/>
      </w:rPr>
    </w:lvl>
    <w:lvl w:ilvl="3" w:tplc="241A0001" w:tentative="1">
      <w:start w:val="1"/>
      <w:numFmt w:val="bullet"/>
      <w:lvlText w:val=""/>
      <w:lvlJc w:val="left"/>
      <w:pPr>
        <w:ind w:left="3225" w:hanging="360"/>
      </w:pPr>
      <w:rPr>
        <w:rFonts w:ascii="Symbol" w:hAnsi="Symbol" w:hint="default"/>
      </w:rPr>
    </w:lvl>
    <w:lvl w:ilvl="4" w:tplc="241A0003" w:tentative="1">
      <w:start w:val="1"/>
      <w:numFmt w:val="bullet"/>
      <w:lvlText w:val="o"/>
      <w:lvlJc w:val="left"/>
      <w:pPr>
        <w:ind w:left="3945" w:hanging="360"/>
      </w:pPr>
      <w:rPr>
        <w:rFonts w:ascii="Courier New" w:hAnsi="Courier New" w:cs="Courier New" w:hint="default"/>
      </w:rPr>
    </w:lvl>
    <w:lvl w:ilvl="5" w:tplc="241A0005" w:tentative="1">
      <w:start w:val="1"/>
      <w:numFmt w:val="bullet"/>
      <w:lvlText w:val=""/>
      <w:lvlJc w:val="left"/>
      <w:pPr>
        <w:ind w:left="4665" w:hanging="360"/>
      </w:pPr>
      <w:rPr>
        <w:rFonts w:ascii="Wingdings" w:hAnsi="Wingdings" w:hint="default"/>
      </w:rPr>
    </w:lvl>
    <w:lvl w:ilvl="6" w:tplc="241A0001" w:tentative="1">
      <w:start w:val="1"/>
      <w:numFmt w:val="bullet"/>
      <w:lvlText w:val=""/>
      <w:lvlJc w:val="left"/>
      <w:pPr>
        <w:ind w:left="5385" w:hanging="360"/>
      </w:pPr>
      <w:rPr>
        <w:rFonts w:ascii="Symbol" w:hAnsi="Symbol" w:hint="default"/>
      </w:rPr>
    </w:lvl>
    <w:lvl w:ilvl="7" w:tplc="241A0003" w:tentative="1">
      <w:start w:val="1"/>
      <w:numFmt w:val="bullet"/>
      <w:lvlText w:val="o"/>
      <w:lvlJc w:val="left"/>
      <w:pPr>
        <w:ind w:left="6105" w:hanging="360"/>
      </w:pPr>
      <w:rPr>
        <w:rFonts w:ascii="Courier New" w:hAnsi="Courier New" w:cs="Courier New" w:hint="default"/>
      </w:rPr>
    </w:lvl>
    <w:lvl w:ilvl="8" w:tplc="241A0005" w:tentative="1">
      <w:start w:val="1"/>
      <w:numFmt w:val="bullet"/>
      <w:lvlText w:val=""/>
      <w:lvlJc w:val="left"/>
      <w:pPr>
        <w:ind w:left="6825" w:hanging="360"/>
      </w:pPr>
      <w:rPr>
        <w:rFonts w:ascii="Wingdings" w:hAnsi="Wingdings" w:hint="default"/>
      </w:rPr>
    </w:lvl>
  </w:abstractNum>
  <w:abstractNum w:abstractNumId="43" w15:restartNumberingAfterBreak="0">
    <w:nsid w:val="5CDF15DD"/>
    <w:multiLevelType w:val="hybridMultilevel"/>
    <w:tmpl w:val="084E19F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08F1873"/>
    <w:multiLevelType w:val="hybridMultilevel"/>
    <w:tmpl w:val="54908EAA"/>
    <w:lvl w:ilvl="0" w:tplc="057CD520">
      <w:start w:val="11"/>
      <w:numFmt w:val="bullet"/>
      <w:lvlText w:val="•"/>
      <w:lvlJc w:val="left"/>
      <w:pPr>
        <w:ind w:left="1065" w:hanging="705"/>
      </w:pPr>
      <w:rPr>
        <w:rFonts w:ascii="Calibri" w:eastAsiaTheme="minorHAnsi" w:hAnsi="Calibri"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15:restartNumberingAfterBreak="0">
    <w:nsid w:val="63D5284D"/>
    <w:multiLevelType w:val="hybridMultilevel"/>
    <w:tmpl w:val="A69C5EE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15:restartNumberingAfterBreak="0">
    <w:nsid w:val="68485239"/>
    <w:multiLevelType w:val="hybridMultilevel"/>
    <w:tmpl w:val="2730C9B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7" w15:restartNumberingAfterBreak="0">
    <w:nsid w:val="6C46049D"/>
    <w:multiLevelType w:val="hybridMultilevel"/>
    <w:tmpl w:val="4CD87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EDC4C02"/>
    <w:multiLevelType w:val="hybridMultilevel"/>
    <w:tmpl w:val="48402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FBF4574"/>
    <w:multiLevelType w:val="hybridMultilevel"/>
    <w:tmpl w:val="6B4C9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4C03D79"/>
    <w:multiLevelType w:val="hybridMultilevel"/>
    <w:tmpl w:val="1A5CA05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1" w15:restartNumberingAfterBreak="0">
    <w:nsid w:val="7B262359"/>
    <w:multiLevelType w:val="hybridMultilevel"/>
    <w:tmpl w:val="98789E6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2"/>
  </w:num>
  <w:num w:numId="4">
    <w:abstractNumId w:val="10"/>
  </w:num>
  <w:num w:numId="5">
    <w:abstractNumId w:val="5"/>
  </w:num>
  <w:num w:numId="6">
    <w:abstractNumId w:val="38"/>
  </w:num>
  <w:num w:numId="7">
    <w:abstractNumId w:val="31"/>
  </w:num>
  <w:num w:numId="8">
    <w:abstractNumId w:val="46"/>
  </w:num>
  <w:num w:numId="9">
    <w:abstractNumId w:val="25"/>
  </w:num>
  <w:num w:numId="10">
    <w:abstractNumId w:val="45"/>
  </w:num>
  <w:num w:numId="11">
    <w:abstractNumId w:val="21"/>
  </w:num>
  <w:num w:numId="12">
    <w:abstractNumId w:val="4"/>
  </w:num>
  <w:num w:numId="13">
    <w:abstractNumId w:val="41"/>
  </w:num>
  <w:num w:numId="14">
    <w:abstractNumId w:val="11"/>
  </w:num>
  <w:num w:numId="15">
    <w:abstractNumId w:val="7"/>
  </w:num>
  <w:num w:numId="16">
    <w:abstractNumId w:val="6"/>
  </w:num>
  <w:num w:numId="17">
    <w:abstractNumId w:val="13"/>
  </w:num>
  <w:num w:numId="18">
    <w:abstractNumId w:val="28"/>
  </w:num>
  <w:num w:numId="19">
    <w:abstractNumId w:val="39"/>
  </w:num>
  <w:num w:numId="20">
    <w:abstractNumId w:val="17"/>
  </w:num>
  <w:num w:numId="21">
    <w:abstractNumId w:val="33"/>
  </w:num>
  <w:num w:numId="22">
    <w:abstractNumId w:val="26"/>
  </w:num>
  <w:num w:numId="23">
    <w:abstractNumId w:val="37"/>
  </w:num>
  <w:num w:numId="24">
    <w:abstractNumId w:val="44"/>
  </w:num>
  <w:num w:numId="25">
    <w:abstractNumId w:val="36"/>
  </w:num>
  <w:num w:numId="26">
    <w:abstractNumId w:val="51"/>
  </w:num>
  <w:num w:numId="27">
    <w:abstractNumId w:val="49"/>
  </w:num>
  <w:num w:numId="28">
    <w:abstractNumId w:val="19"/>
  </w:num>
  <w:num w:numId="29">
    <w:abstractNumId w:val="32"/>
  </w:num>
  <w:num w:numId="30">
    <w:abstractNumId w:val="30"/>
  </w:num>
  <w:num w:numId="31">
    <w:abstractNumId w:val="29"/>
  </w:num>
  <w:num w:numId="32">
    <w:abstractNumId w:val="18"/>
  </w:num>
  <w:num w:numId="33">
    <w:abstractNumId w:val="12"/>
  </w:num>
  <w:num w:numId="34">
    <w:abstractNumId w:val="23"/>
  </w:num>
  <w:num w:numId="35">
    <w:abstractNumId w:val="48"/>
  </w:num>
  <w:num w:numId="36">
    <w:abstractNumId w:val="42"/>
  </w:num>
  <w:num w:numId="37">
    <w:abstractNumId w:val="1"/>
  </w:num>
  <w:num w:numId="38">
    <w:abstractNumId w:val="47"/>
  </w:num>
  <w:num w:numId="39">
    <w:abstractNumId w:val="0"/>
  </w:num>
  <w:num w:numId="40">
    <w:abstractNumId w:val="8"/>
  </w:num>
  <w:num w:numId="41">
    <w:abstractNumId w:val="35"/>
  </w:num>
  <w:num w:numId="42">
    <w:abstractNumId w:val="15"/>
  </w:num>
  <w:num w:numId="43">
    <w:abstractNumId w:val="9"/>
  </w:num>
  <w:num w:numId="44">
    <w:abstractNumId w:val="24"/>
  </w:num>
  <w:num w:numId="45">
    <w:abstractNumId w:val="27"/>
  </w:num>
  <w:num w:numId="46">
    <w:abstractNumId w:val="43"/>
  </w:num>
  <w:num w:numId="47">
    <w:abstractNumId w:val="20"/>
  </w:num>
  <w:num w:numId="48">
    <w:abstractNumId w:val="50"/>
  </w:num>
  <w:num w:numId="49">
    <w:abstractNumId w:val="34"/>
  </w:num>
  <w:num w:numId="50">
    <w:abstractNumId w:val="40"/>
  </w:num>
  <w:num w:numId="51">
    <w:abstractNumId w:val="14"/>
  </w:num>
  <w:num w:numId="52">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7BF"/>
    <w:rsid w:val="000F5DAB"/>
    <w:rsid w:val="00141946"/>
    <w:rsid w:val="00152B95"/>
    <w:rsid w:val="001600A1"/>
    <w:rsid w:val="00177BC7"/>
    <w:rsid w:val="001E6D5A"/>
    <w:rsid w:val="002C7A63"/>
    <w:rsid w:val="002E69FE"/>
    <w:rsid w:val="005F0AF1"/>
    <w:rsid w:val="00603422"/>
    <w:rsid w:val="006405E1"/>
    <w:rsid w:val="00676898"/>
    <w:rsid w:val="00794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3386"/>
  <w15:docId w15:val="{C203673D-8115-47E5-A1B3-E916BE60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7BF"/>
    <w:rPr>
      <w:lang w:val="sr-Latn-RS"/>
    </w:rPr>
  </w:style>
  <w:style w:type="paragraph" w:styleId="Heading1">
    <w:name w:val="heading 1"/>
    <w:basedOn w:val="Normal"/>
    <w:next w:val="Normal"/>
    <w:link w:val="Heading1Char"/>
    <w:uiPriority w:val="1"/>
    <w:qFormat/>
    <w:rsid w:val="007947BF"/>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next w:val="Normal"/>
    <w:link w:val="Heading2Char"/>
    <w:uiPriority w:val="9"/>
    <w:unhideWhenUsed/>
    <w:qFormat/>
    <w:rsid w:val="007947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947BF"/>
    <w:pPr>
      <w:keepNext/>
      <w:keepLines/>
      <w:spacing w:before="200" w:after="0"/>
      <w:outlineLvl w:val="2"/>
    </w:pPr>
    <w:rPr>
      <w:rFonts w:asciiTheme="majorHAnsi" w:eastAsiaTheme="majorEastAsia" w:hAnsiTheme="majorHAnsi" w:cstheme="majorBidi"/>
      <w:b/>
      <w:bCs/>
      <w:color w:val="4F81BD" w:themeColor="accent1"/>
      <w:sz w:val="24"/>
    </w:rPr>
  </w:style>
  <w:style w:type="paragraph" w:styleId="Heading4">
    <w:name w:val="heading 4"/>
    <w:basedOn w:val="Normal"/>
    <w:next w:val="Normal"/>
    <w:link w:val="Heading4Char"/>
    <w:uiPriority w:val="1"/>
    <w:unhideWhenUsed/>
    <w:qFormat/>
    <w:rsid w:val="007947B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947B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947BF"/>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7947BF"/>
    <w:rPr>
      <w:rFonts w:asciiTheme="majorHAnsi" w:eastAsiaTheme="majorEastAsia" w:hAnsiTheme="majorHAnsi" w:cstheme="majorBidi"/>
      <w:b/>
      <w:bCs/>
      <w:color w:val="4F81BD" w:themeColor="accent1"/>
      <w:sz w:val="26"/>
      <w:szCs w:val="26"/>
      <w:lang w:val="sr-Latn-RS"/>
    </w:rPr>
  </w:style>
  <w:style w:type="character" w:customStyle="1" w:styleId="Heading3Char">
    <w:name w:val="Heading 3 Char"/>
    <w:basedOn w:val="DefaultParagraphFont"/>
    <w:link w:val="Heading3"/>
    <w:uiPriority w:val="9"/>
    <w:rsid w:val="007947BF"/>
    <w:rPr>
      <w:rFonts w:asciiTheme="majorHAnsi" w:eastAsiaTheme="majorEastAsia" w:hAnsiTheme="majorHAnsi" w:cstheme="majorBidi"/>
      <w:b/>
      <w:bCs/>
      <w:color w:val="4F81BD" w:themeColor="accent1"/>
      <w:sz w:val="24"/>
      <w:lang w:val="sr-Latn-RS"/>
    </w:rPr>
  </w:style>
  <w:style w:type="character" w:customStyle="1" w:styleId="Heading4Char">
    <w:name w:val="Heading 4 Char"/>
    <w:basedOn w:val="DefaultParagraphFont"/>
    <w:link w:val="Heading4"/>
    <w:uiPriority w:val="1"/>
    <w:rsid w:val="007947BF"/>
    <w:rPr>
      <w:rFonts w:asciiTheme="majorHAnsi" w:eastAsiaTheme="majorEastAsia" w:hAnsiTheme="majorHAnsi" w:cstheme="majorBidi"/>
      <w:b/>
      <w:bCs/>
      <w:i/>
      <w:iCs/>
      <w:color w:val="4F81BD" w:themeColor="accent1"/>
      <w:lang w:val="sr-Latn-RS"/>
    </w:rPr>
  </w:style>
  <w:style w:type="character" w:customStyle="1" w:styleId="Heading5Char">
    <w:name w:val="Heading 5 Char"/>
    <w:basedOn w:val="DefaultParagraphFont"/>
    <w:link w:val="Heading5"/>
    <w:uiPriority w:val="9"/>
    <w:rsid w:val="007947BF"/>
    <w:rPr>
      <w:rFonts w:asciiTheme="majorHAnsi" w:eastAsiaTheme="majorEastAsia" w:hAnsiTheme="majorHAnsi" w:cstheme="majorBidi"/>
      <w:color w:val="243F60" w:themeColor="accent1" w:themeShade="7F"/>
      <w:lang w:val="sr-Latn-RS"/>
    </w:rPr>
  </w:style>
  <w:style w:type="character" w:styleId="Hyperlink">
    <w:name w:val="Hyperlink"/>
    <w:basedOn w:val="DefaultParagraphFont"/>
    <w:uiPriority w:val="99"/>
    <w:unhideWhenUsed/>
    <w:rsid w:val="007947BF"/>
    <w:rPr>
      <w:color w:val="0000FF" w:themeColor="hyperlink"/>
      <w:u w:val="single"/>
    </w:rPr>
  </w:style>
  <w:style w:type="paragraph" w:styleId="ListParagraph">
    <w:name w:val="List Paragraph"/>
    <w:aliases w:val="Normal bullet 2,Bullet list,List Paragraph1,Numbered List,1st level - Bullet List Paragraph,Lettre d'introduction,List Paragraph11,Normal bullet 21,List Paragraph111,Bullet list1,Bullet Points,Liste Paragraf,Paragraph,lp1"/>
    <w:basedOn w:val="Normal"/>
    <w:link w:val="ListParagraphChar"/>
    <w:uiPriority w:val="34"/>
    <w:qFormat/>
    <w:rsid w:val="007947BF"/>
    <w:pPr>
      <w:ind w:left="720"/>
      <w:contextualSpacing/>
    </w:pPr>
  </w:style>
  <w:style w:type="paragraph" w:styleId="TOC1">
    <w:name w:val="toc 1"/>
    <w:basedOn w:val="Normal"/>
    <w:next w:val="Normal"/>
    <w:autoRedefine/>
    <w:uiPriority w:val="39"/>
    <w:unhideWhenUsed/>
    <w:rsid w:val="007947BF"/>
    <w:pPr>
      <w:spacing w:after="100"/>
    </w:pPr>
  </w:style>
  <w:style w:type="paragraph" w:styleId="TOC2">
    <w:name w:val="toc 2"/>
    <w:basedOn w:val="Normal"/>
    <w:next w:val="Normal"/>
    <w:autoRedefine/>
    <w:uiPriority w:val="39"/>
    <w:unhideWhenUsed/>
    <w:rsid w:val="007947BF"/>
    <w:pPr>
      <w:spacing w:after="100"/>
      <w:ind w:left="220"/>
    </w:pPr>
  </w:style>
  <w:style w:type="paragraph" w:styleId="TOC3">
    <w:name w:val="toc 3"/>
    <w:basedOn w:val="Normal"/>
    <w:next w:val="Normal"/>
    <w:autoRedefine/>
    <w:uiPriority w:val="39"/>
    <w:unhideWhenUsed/>
    <w:rsid w:val="007947BF"/>
    <w:pPr>
      <w:spacing w:after="100"/>
      <w:ind w:left="440"/>
    </w:pPr>
  </w:style>
  <w:style w:type="table" w:styleId="TableGrid">
    <w:name w:val="Table Grid"/>
    <w:basedOn w:val="TableNormal"/>
    <w:uiPriority w:val="59"/>
    <w:rsid w:val="007947BF"/>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Bullet list Char,List Paragraph1 Char,Numbered List Char,1st level - Bullet List Paragraph Char,Lettre d'introduction Char,List Paragraph11 Char,Normal bullet 21 Char,List Paragraph111 Char,Bullet list1 Char"/>
    <w:basedOn w:val="DefaultParagraphFont"/>
    <w:link w:val="ListParagraph"/>
    <w:uiPriority w:val="34"/>
    <w:rsid w:val="007947BF"/>
    <w:rPr>
      <w:lang w:val="sr-Latn-RS"/>
    </w:rPr>
  </w:style>
  <w:style w:type="paragraph" w:styleId="BalloonText">
    <w:name w:val="Balloon Text"/>
    <w:basedOn w:val="Normal"/>
    <w:link w:val="BalloonTextChar"/>
    <w:uiPriority w:val="99"/>
    <w:semiHidden/>
    <w:unhideWhenUsed/>
    <w:rsid w:val="00794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7BF"/>
    <w:rPr>
      <w:rFonts w:ascii="Tahoma" w:hAnsi="Tahoma" w:cs="Tahoma"/>
      <w:sz w:val="16"/>
      <w:szCs w:val="16"/>
      <w:lang w:val="sr-Latn-RS"/>
    </w:rPr>
  </w:style>
  <w:style w:type="table" w:styleId="LightList-Accent2">
    <w:name w:val="Light List Accent 2"/>
    <w:basedOn w:val="TableNormal"/>
    <w:uiPriority w:val="61"/>
    <w:rsid w:val="007947BF"/>
    <w:pPr>
      <w:spacing w:after="0" w:line="240" w:lineRule="auto"/>
    </w:pPr>
    <w:rPr>
      <w:lang w:val="sr-Latn-R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unhideWhenUsed/>
    <w:rsid w:val="007947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947BF"/>
    <w:rPr>
      <w:lang w:val="sr-Latn-RS"/>
    </w:rPr>
  </w:style>
  <w:style w:type="paragraph" w:styleId="Footer">
    <w:name w:val="footer"/>
    <w:basedOn w:val="Normal"/>
    <w:link w:val="FooterChar"/>
    <w:uiPriority w:val="99"/>
    <w:unhideWhenUsed/>
    <w:rsid w:val="007947B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47BF"/>
    <w:rPr>
      <w:lang w:val="sr-Latn-RS"/>
    </w:rPr>
  </w:style>
  <w:style w:type="paragraph" w:styleId="FootnoteText">
    <w:name w:val="footnote text"/>
    <w:basedOn w:val="Normal"/>
    <w:link w:val="FootnoteTextChar"/>
    <w:uiPriority w:val="99"/>
    <w:semiHidden/>
    <w:unhideWhenUsed/>
    <w:rsid w:val="007947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47BF"/>
    <w:rPr>
      <w:sz w:val="20"/>
      <w:szCs w:val="20"/>
      <w:lang w:val="sr-Latn-RS"/>
    </w:rPr>
  </w:style>
  <w:style w:type="character" w:styleId="FootnoteReference">
    <w:name w:val="footnote reference"/>
    <w:basedOn w:val="DefaultParagraphFont"/>
    <w:uiPriority w:val="99"/>
    <w:semiHidden/>
    <w:unhideWhenUsed/>
    <w:rsid w:val="007947BF"/>
    <w:rPr>
      <w:vertAlign w:val="superscript"/>
    </w:rPr>
  </w:style>
  <w:style w:type="character" w:styleId="FollowedHyperlink">
    <w:name w:val="FollowedHyperlink"/>
    <w:basedOn w:val="DefaultParagraphFont"/>
    <w:uiPriority w:val="99"/>
    <w:semiHidden/>
    <w:unhideWhenUsed/>
    <w:rsid w:val="007947BF"/>
    <w:rPr>
      <w:color w:val="800080" w:themeColor="followedHyperlink"/>
      <w:u w:val="single"/>
    </w:rPr>
  </w:style>
  <w:style w:type="table" w:styleId="LightGrid-Accent1">
    <w:name w:val="Light Grid Accent 1"/>
    <w:basedOn w:val="TableNormal"/>
    <w:uiPriority w:val="62"/>
    <w:rsid w:val="007947BF"/>
    <w:pPr>
      <w:spacing w:after="0" w:line="240" w:lineRule="auto"/>
    </w:pPr>
    <w:rPr>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7947BF"/>
    <w:rPr>
      <w:sz w:val="16"/>
      <w:szCs w:val="16"/>
    </w:rPr>
  </w:style>
  <w:style w:type="paragraph" w:styleId="CommentText">
    <w:name w:val="annotation text"/>
    <w:basedOn w:val="Normal"/>
    <w:link w:val="CommentTextChar"/>
    <w:uiPriority w:val="99"/>
    <w:semiHidden/>
    <w:unhideWhenUsed/>
    <w:rsid w:val="007947BF"/>
    <w:pPr>
      <w:spacing w:line="240" w:lineRule="auto"/>
    </w:pPr>
    <w:rPr>
      <w:sz w:val="20"/>
      <w:szCs w:val="20"/>
    </w:rPr>
  </w:style>
  <w:style w:type="character" w:customStyle="1" w:styleId="CommentTextChar">
    <w:name w:val="Comment Text Char"/>
    <w:basedOn w:val="DefaultParagraphFont"/>
    <w:link w:val="CommentText"/>
    <w:uiPriority w:val="99"/>
    <w:semiHidden/>
    <w:rsid w:val="007947BF"/>
    <w:rPr>
      <w:sz w:val="20"/>
      <w:szCs w:val="20"/>
      <w:lang w:val="sr-Latn-RS"/>
    </w:rPr>
  </w:style>
  <w:style w:type="paragraph" w:styleId="CommentSubject">
    <w:name w:val="annotation subject"/>
    <w:basedOn w:val="CommentText"/>
    <w:next w:val="CommentText"/>
    <w:link w:val="CommentSubjectChar"/>
    <w:uiPriority w:val="99"/>
    <w:semiHidden/>
    <w:unhideWhenUsed/>
    <w:rsid w:val="007947BF"/>
    <w:rPr>
      <w:b/>
      <w:bCs/>
    </w:rPr>
  </w:style>
  <w:style w:type="character" w:customStyle="1" w:styleId="CommentSubjectChar">
    <w:name w:val="Comment Subject Char"/>
    <w:basedOn w:val="CommentTextChar"/>
    <w:link w:val="CommentSubject"/>
    <w:uiPriority w:val="99"/>
    <w:semiHidden/>
    <w:rsid w:val="007947BF"/>
    <w:rPr>
      <w:b/>
      <w:bCs/>
      <w:sz w:val="20"/>
      <w:szCs w:val="20"/>
      <w:lang w:val="sr-Latn-RS"/>
    </w:rPr>
  </w:style>
  <w:style w:type="character" w:customStyle="1" w:styleId="jlqj4b">
    <w:name w:val="jlqj4b"/>
    <w:rsid w:val="007947BF"/>
  </w:style>
  <w:style w:type="table" w:customStyle="1" w:styleId="TableGrid1">
    <w:name w:val="Table Grid1"/>
    <w:basedOn w:val="TableNormal"/>
    <w:next w:val="TableGrid"/>
    <w:uiPriority w:val="39"/>
    <w:rsid w:val="007947BF"/>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947BF"/>
    <w:pPr>
      <w:spacing w:after="0" w:line="240" w:lineRule="auto"/>
    </w:pPr>
    <w:rPr>
      <w:lang w:val="sr-Latn-RS"/>
    </w:rPr>
  </w:style>
  <w:style w:type="character" w:styleId="Emphasis">
    <w:name w:val="Emphasis"/>
    <w:basedOn w:val="DefaultParagraphFont"/>
    <w:uiPriority w:val="20"/>
    <w:qFormat/>
    <w:rsid w:val="007947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rdis.europa.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nosci.mk/" TargetMode="External"/><Relationship Id="rId4" Type="http://schemas.openxmlformats.org/officeDocument/2006/relationships/webSettings" Target="webSettings.xml"/><Relationship Id="rId9" Type="http://schemas.openxmlformats.org/officeDocument/2006/relationships/hyperlink" Target="https://diendicure.m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ata.worldbank.org/indicator/GB.XPD.RSDV.GD.ZS?locations=MK" TargetMode="External"/><Relationship Id="rId1" Type="http://schemas.openxmlformats.org/officeDocument/2006/relationships/hyperlink" Target="http://ec.europa.eu/research/esfr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sr-Latn-RS" sz="1400"/>
              <a:t>Share of funds </a:t>
            </a:r>
            <a:r>
              <a:rPr lang="en-US" sz="1400"/>
              <a:t>allocated </a:t>
            </a:r>
            <a:r>
              <a:rPr lang="sr-Latn-RS" sz="1400"/>
              <a:t>for</a:t>
            </a:r>
            <a:r>
              <a:rPr lang="sr-Latn-RS" sz="1400" baseline="0"/>
              <a:t> research equipment per University</a:t>
            </a:r>
            <a:endParaRPr lang="en-GB" sz="1400"/>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Sheet5!$L$4:$L$8</c:f>
              <c:strCache>
                <c:ptCount val="5"/>
                <c:pt idx="0">
                  <c:v>The Ss. Cyril and Methodius University in Skopje </c:v>
                </c:pt>
                <c:pt idx="1">
                  <c:v>"St Kliment Ohridski" University - Bitola</c:v>
                </c:pt>
                <c:pt idx="2">
                  <c:v>University of Tetova</c:v>
                </c:pt>
                <c:pt idx="3">
                  <c:v>Goce Delchev University </c:v>
                </c:pt>
                <c:pt idx="4">
                  <c:v>Macedonian Academy of Sciences and Arts</c:v>
                </c:pt>
              </c:strCache>
            </c:strRef>
          </c:cat>
          <c:val>
            <c:numRef>
              <c:f>Sheet5!$M$4:$M$8</c:f>
              <c:numCache>
                <c:formatCode>#,##0.00\ [$EUR]</c:formatCode>
                <c:ptCount val="5"/>
                <c:pt idx="0">
                  <c:v>17394606.42445926</c:v>
                </c:pt>
                <c:pt idx="1">
                  <c:v>1099309.855261018</c:v>
                </c:pt>
                <c:pt idx="2" formatCode="#,##0.00\ [$€-1]">
                  <c:v>1091802.2442673605</c:v>
                </c:pt>
                <c:pt idx="3" formatCode="#,##0.00\ [$€-1]">
                  <c:v>2432001.3010245566</c:v>
                </c:pt>
                <c:pt idx="4" formatCode="#,##0.00\ [$€-1]">
                  <c:v>575511.4652789071</c:v>
                </c:pt>
              </c:numCache>
            </c:numRef>
          </c:val>
          <c:extLst>
            <c:ext xmlns:c16="http://schemas.microsoft.com/office/drawing/2014/chart" uri="{C3380CC4-5D6E-409C-BE32-E72D297353CC}">
              <c16:uniqueId val="{00000000-4AA2-40C5-8C81-00CDA215578D}"/>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3</Pages>
  <Words>32853</Words>
  <Characters>187266</Characters>
  <Application>Microsoft Office Word</Application>
  <DocSecurity>0</DocSecurity>
  <Lines>1560</Lines>
  <Paragraphs>439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Sinisa Marcic</dc:creator>
  <cp:lastModifiedBy>Svetlana</cp:lastModifiedBy>
  <cp:revision>2</cp:revision>
  <dcterms:created xsi:type="dcterms:W3CDTF">2022-09-07T07:44:00Z</dcterms:created>
  <dcterms:modified xsi:type="dcterms:W3CDTF">2022-09-07T07:44:00Z</dcterms:modified>
</cp:coreProperties>
</file>