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9AFF3" w14:textId="77777777" w:rsidR="007947BF" w:rsidRPr="008662BF" w:rsidRDefault="007947BF" w:rsidP="007947BF">
      <w:pPr>
        <w:rPr>
          <w:shd w:val="clear" w:color="auto" w:fill="FFFFFF"/>
          <w:lang w:val="mk-MK"/>
        </w:rPr>
      </w:pPr>
      <w:bookmarkStart w:id="0" w:name="_Toc61096320"/>
      <w:bookmarkStart w:id="1" w:name="_GoBack"/>
      <w:bookmarkEnd w:id="1"/>
    </w:p>
    <w:p w14:paraId="7F4FF994" w14:textId="77777777" w:rsidR="007947BF" w:rsidRPr="008662BF" w:rsidRDefault="007947BF" w:rsidP="007947BF">
      <w:pPr>
        <w:rPr>
          <w:shd w:val="clear" w:color="auto" w:fill="FFFFFF"/>
          <w:lang w:val="mk-MK"/>
        </w:rPr>
      </w:pPr>
    </w:p>
    <w:p w14:paraId="3A26B015" w14:textId="77777777" w:rsidR="007947BF" w:rsidRPr="008662BF" w:rsidRDefault="007947BF" w:rsidP="007947BF">
      <w:pPr>
        <w:rPr>
          <w:shd w:val="clear" w:color="auto" w:fill="FFFFFF"/>
          <w:lang w:val="mk-MK"/>
        </w:rPr>
      </w:pPr>
    </w:p>
    <w:p w14:paraId="793DDF48" w14:textId="77777777" w:rsidR="007947BF" w:rsidRPr="008662BF" w:rsidRDefault="007947BF" w:rsidP="007947BF">
      <w:pPr>
        <w:rPr>
          <w:shd w:val="clear" w:color="auto" w:fill="FFFFFF"/>
          <w:lang w:val="mk-MK"/>
        </w:rPr>
      </w:pPr>
    </w:p>
    <w:p w14:paraId="55ABBC33" w14:textId="77777777" w:rsidR="007947BF" w:rsidRPr="008662BF" w:rsidRDefault="007947BF" w:rsidP="007947BF">
      <w:pPr>
        <w:rPr>
          <w:shd w:val="clear" w:color="auto" w:fill="FFFFFF"/>
          <w:lang w:val="mk-MK"/>
        </w:rPr>
      </w:pPr>
    </w:p>
    <w:p w14:paraId="385FD1DC" w14:textId="77777777" w:rsidR="007947BF" w:rsidRPr="008662BF" w:rsidRDefault="007947BF" w:rsidP="007947BF">
      <w:pPr>
        <w:rPr>
          <w:shd w:val="clear" w:color="auto" w:fill="FFFFFF"/>
          <w:lang w:val="mk-MK"/>
        </w:rPr>
      </w:pPr>
    </w:p>
    <w:p w14:paraId="4F02BCE3" w14:textId="77777777" w:rsidR="007947BF" w:rsidRPr="008662BF" w:rsidRDefault="007947BF" w:rsidP="007947BF">
      <w:pPr>
        <w:rPr>
          <w:shd w:val="clear" w:color="auto" w:fill="FFFFFF"/>
          <w:lang w:val="mk-MK"/>
        </w:rPr>
      </w:pPr>
    </w:p>
    <w:p w14:paraId="371533BF" w14:textId="77777777" w:rsidR="007947BF" w:rsidRPr="008662BF" w:rsidRDefault="007947BF" w:rsidP="007947BF">
      <w:pPr>
        <w:rPr>
          <w:shd w:val="clear" w:color="auto" w:fill="FFFFFF"/>
          <w:lang w:val="mk-MK"/>
        </w:rPr>
      </w:pPr>
    </w:p>
    <w:p w14:paraId="436EF3B6" w14:textId="716BEC12" w:rsidR="007947BF" w:rsidRPr="008662BF" w:rsidRDefault="00BA342B" w:rsidP="007947BF">
      <w:pPr>
        <w:pStyle w:val="Heading4"/>
        <w:spacing w:after="240"/>
        <w:jc w:val="center"/>
        <w:rPr>
          <w:rFonts w:asciiTheme="minorHAnsi" w:hAnsiTheme="minorHAnsi"/>
          <w:i w:val="0"/>
          <w:color w:val="365F91"/>
          <w:sz w:val="28"/>
          <w:szCs w:val="28"/>
          <w:shd w:val="clear" w:color="auto" w:fill="FFFFFF"/>
          <w:lang w:val="mk-MK"/>
        </w:rPr>
      </w:pPr>
      <w:r w:rsidRPr="008662BF">
        <w:rPr>
          <w:rFonts w:cstheme="minorHAnsi"/>
          <w:i w:val="0"/>
          <w:color w:val="C00000"/>
          <w:sz w:val="44"/>
          <w:lang w:val="mk-MK"/>
        </w:rPr>
        <w:t>ПАТОКАЗ ЗА ИСТРАЖУВАЧКА</w:t>
      </w:r>
      <w:r w:rsidR="001D4D17">
        <w:rPr>
          <w:rFonts w:cstheme="minorHAnsi"/>
          <w:i w:val="0"/>
          <w:color w:val="C00000"/>
          <w:sz w:val="44"/>
          <w:lang w:val="mk-MK"/>
        </w:rPr>
        <w:t>ТА</w:t>
      </w:r>
      <w:r w:rsidRPr="008662BF">
        <w:rPr>
          <w:rFonts w:cstheme="minorHAnsi"/>
          <w:i w:val="0"/>
          <w:color w:val="C00000"/>
          <w:sz w:val="44"/>
          <w:lang w:val="mk-MK"/>
        </w:rPr>
        <w:t xml:space="preserve"> ИНФРАСТРУКТУРА НА </w:t>
      </w:r>
      <w:r w:rsidR="00417197">
        <w:rPr>
          <w:rFonts w:cstheme="minorHAnsi"/>
          <w:i w:val="0"/>
          <w:color w:val="C00000"/>
          <w:sz w:val="44"/>
          <w:lang w:val="mk-MK"/>
        </w:rPr>
        <w:t>РЕПУБЛИКА СЕВЕРНА МАКЕДОНИЈА</w:t>
      </w:r>
      <w:r w:rsidRPr="008662BF">
        <w:rPr>
          <w:rFonts w:cstheme="minorHAnsi"/>
          <w:i w:val="0"/>
          <w:color w:val="C00000"/>
          <w:sz w:val="44"/>
          <w:lang w:val="mk-MK"/>
        </w:rPr>
        <w:t xml:space="preserve"> </w:t>
      </w:r>
      <w:bookmarkEnd w:id="0"/>
    </w:p>
    <w:p w14:paraId="12887858" w14:textId="77777777" w:rsidR="007947BF" w:rsidRPr="008662BF" w:rsidRDefault="007947BF" w:rsidP="007947BF">
      <w:pPr>
        <w:jc w:val="center"/>
        <w:rPr>
          <w:b/>
          <w:color w:val="FF0000"/>
          <w:sz w:val="32"/>
          <w:lang w:val="mk-MK"/>
        </w:rPr>
      </w:pPr>
    </w:p>
    <w:p w14:paraId="187D78AD" w14:textId="77777777" w:rsidR="007947BF" w:rsidRPr="008662BF" w:rsidRDefault="007947BF" w:rsidP="007947BF">
      <w:pPr>
        <w:rPr>
          <w:b/>
          <w:sz w:val="32"/>
          <w:lang w:val="mk-MK"/>
        </w:rPr>
      </w:pPr>
    </w:p>
    <w:p w14:paraId="208B3AE0" w14:textId="77777777" w:rsidR="007947BF" w:rsidRPr="008662BF" w:rsidRDefault="007947BF" w:rsidP="007947BF">
      <w:pPr>
        <w:rPr>
          <w:b/>
          <w:sz w:val="32"/>
          <w:lang w:val="mk-MK"/>
        </w:rPr>
      </w:pPr>
    </w:p>
    <w:p w14:paraId="185E556E" w14:textId="77777777" w:rsidR="007947BF" w:rsidRPr="008662BF" w:rsidRDefault="007947BF" w:rsidP="007947BF">
      <w:pPr>
        <w:rPr>
          <w:b/>
          <w:sz w:val="32"/>
          <w:lang w:val="mk-MK"/>
        </w:rPr>
      </w:pPr>
    </w:p>
    <w:p w14:paraId="76001D52" w14:textId="77777777" w:rsidR="007947BF" w:rsidRPr="008662BF" w:rsidRDefault="007947BF" w:rsidP="007947BF">
      <w:pPr>
        <w:rPr>
          <w:b/>
          <w:sz w:val="32"/>
          <w:lang w:val="mk-MK"/>
        </w:rPr>
      </w:pPr>
    </w:p>
    <w:p w14:paraId="7D71D41D" w14:textId="77777777" w:rsidR="007947BF" w:rsidRPr="008662BF" w:rsidRDefault="007947BF" w:rsidP="007947BF">
      <w:pPr>
        <w:rPr>
          <w:b/>
          <w:sz w:val="32"/>
          <w:lang w:val="mk-MK"/>
        </w:rPr>
      </w:pPr>
    </w:p>
    <w:p w14:paraId="12E34A29" w14:textId="77777777" w:rsidR="007947BF" w:rsidRPr="008662BF" w:rsidRDefault="007947BF" w:rsidP="007947BF">
      <w:pPr>
        <w:rPr>
          <w:b/>
          <w:sz w:val="32"/>
          <w:lang w:val="mk-MK"/>
        </w:rPr>
      </w:pPr>
    </w:p>
    <w:p w14:paraId="34A0B07B" w14:textId="77777777" w:rsidR="007947BF" w:rsidRPr="008662BF" w:rsidRDefault="007947BF" w:rsidP="007947BF">
      <w:pPr>
        <w:rPr>
          <w:b/>
          <w:sz w:val="32"/>
          <w:lang w:val="mk-MK"/>
        </w:rPr>
      </w:pPr>
    </w:p>
    <w:p w14:paraId="139F3142" w14:textId="77777777" w:rsidR="007947BF" w:rsidRPr="008662BF" w:rsidRDefault="007947BF" w:rsidP="007947BF">
      <w:pPr>
        <w:rPr>
          <w:b/>
          <w:sz w:val="32"/>
          <w:lang w:val="mk-MK"/>
        </w:rPr>
      </w:pPr>
    </w:p>
    <w:p w14:paraId="5D316AE5" w14:textId="77777777" w:rsidR="007947BF" w:rsidRPr="008662BF" w:rsidRDefault="007947BF" w:rsidP="007947BF">
      <w:pPr>
        <w:rPr>
          <w:b/>
          <w:sz w:val="32"/>
          <w:lang w:val="mk-MK"/>
        </w:rPr>
      </w:pPr>
    </w:p>
    <w:p w14:paraId="4BDEBCB1" w14:textId="77777777" w:rsidR="007947BF" w:rsidRPr="008662BF" w:rsidRDefault="007947BF" w:rsidP="007947BF">
      <w:pPr>
        <w:rPr>
          <w:b/>
          <w:sz w:val="32"/>
          <w:lang w:val="mk-MK"/>
        </w:rPr>
      </w:pPr>
    </w:p>
    <w:p w14:paraId="3AF9A28D" w14:textId="77777777" w:rsidR="007947BF" w:rsidRPr="008662BF" w:rsidRDefault="007947BF" w:rsidP="007947BF">
      <w:pPr>
        <w:rPr>
          <w:b/>
          <w:sz w:val="32"/>
          <w:lang w:val="mk-MK"/>
        </w:rPr>
      </w:pPr>
    </w:p>
    <w:p w14:paraId="15DDC34E" w14:textId="77777777" w:rsidR="007947BF" w:rsidRPr="008662BF" w:rsidRDefault="007947BF" w:rsidP="007947BF">
      <w:pPr>
        <w:rPr>
          <w:b/>
          <w:sz w:val="32"/>
          <w:lang w:val="mk-MK"/>
        </w:rPr>
      </w:pPr>
    </w:p>
    <w:p w14:paraId="779A5722" w14:textId="77777777" w:rsidR="007947BF" w:rsidRPr="008662BF" w:rsidRDefault="007947BF" w:rsidP="007947BF">
      <w:pPr>
        <w:rPr>
          <w:shd w:val="clear" w:color="auto" w:fill="FFFFFF"/>
          <w:lang w:val="mk-MK"/>
        </w:rPr>
      </w:pPr>
    </w:p>
    <w:p w14:paraId="770D9E59" w14:textId="77777777" w:rsidR="007947BF" w:rsidRPr="008662BF" w:rsidRDefault="007947BF" w:rsidP="007947BF">
      <w:pPr>
        <w:rPr>
          <w:shd w:val="clear" w:color="auto" w:fill="FFFFFF"/>
          <w:lang w:val="mk-MK"/>
        </w:rPr>
      </w:pPr>
    </w:p>
    <w:p w14:paraId="6080A4DB" w14:textId="77777777" w:rsidR="007947BF" w:rsidRPr="008662BF" w:rsidRDefault="007947BF" w:rsidP="007947BF">
      <w:pPr>
        <w:rPr>
          <w:shd w:val="clear" w:color="auto" w:fill="FFFFFF"/>
          <w:lang w:val="mk-MK"/>
        </w:rPr>
      </w:pPr>
    </w:p>
    <w:p w14:paraId="42414E62" w14:textId="77777777" w:rsidR="007947BF" w:rsidRPr="008662BF" w:rsidRDefault="007947BF" w:rsidP="007947BF">
      <w:pPr>
        <w:rPr>
          <w:shd w:val="clear" w:color="auto" w:fill="FFFFFF"/>
          <w:lang w:val="mk-MK"/>
        </w:rPr>
      </w:pPr>
    </w:p>
    <w:p w14:paraId="5E68E3DC" w14:textId="77777777" w:rsidR="007947BF" w:rsidRPr="008662BF" w:rsidRDefault="007947BF" w:rsidP="007947BF">
      <w:pPr>
        <w:rPr>
          <w:shd w:val="clear" w:color="auto" w:fill="FFFFFF"/>
          <w:lang w:val="mk-MK"/>
        </w:rPr>
      </w:pPr>
    </w:p>
    <w:p w14:paraId="78FA5C17" w14:textId="77777777" w:rsidR="007947BF" w:rsidRPr="008662BF" w:rsidRDefault="007947BF" w:rsidP="007947BF">
      <w:pPr>
        <w:rPr>
          <w:shd w:val="clear" w:color="auto" w:fill="FFFFFF"/>
          <w:lang w:val="mk-MK"/>
        </w:rPr>
      </w:pPr>
    </w:p>
    <w:p w14:paraId="37ABD125" w14:textId="77777777" w:rsidR="007947BF" w:rsidRPr="008662BF" w:rsidRDefault="007947BF" w:rsidP="007947BF">
      <w:pPr>
        <w:rPr>
          <w:shd w:val="clear" w:color="auto" w:fill="FFFFFF"/>
          <w:lang w:val="mk-MK"/>
        </w:rPr>
      </w:pPr>
    </w:p>
    <w:p w14:paraId="55835CC5" w14:textId="77777777" w:rsidR="007947BF" w:rsidRPr="008662BF" w:rsidRDefault="007947BF" w:rsidP="007947BF">
      <w:pPr>
        <w:rPr>
          <w:shd w:val="clear" w:color="auto" w:fill="FFFFFF"/>
          <w:lang w:val="mk-MK"/>
        </w:rPr>
      </w:pPr>
    </w:p>
    <w:p w14:paraId="2B8AD3B9" w14:textId="77777777" w:rsidR="007947BF" w:rsidRPr="008662BF" w:rsidRDefault="007947BF" w:rsidP="007947BF">
      <w:pPr>
        <w:rPr>
          <w:shd w:val="clear" w:color="auto" w:fill="FFFFFF"/>
          <w:lang w:val="mk-MK"/>
        </w:rPr>
      </w:pPr>
    </w:p>
    <w:p w14:paraId="07E9381A" w14:textId="77777777" w:rsidR="007947BF" w:rsidRPr="008662BF" w:rsidRDefault="007947BF" w:rsidP="007947BF">
      <w:pPr>
        <w:rPr>
          <w:shd w:val="clear" w:color="auto" w:fill="FFFFFF"/>
          <w:lang w:val="mk-MK"/>
        </w:rPr>
      </w:pPr>
    </w:p>
    <w:p w14:paraId="1919F365" w14:textId="77777777" w:rsidR="007947BF" w:rsidRPr="008662BF" w:rsidRDefault="007947BF" w:rsidP="007947BF">
      <w:pPr>
        <w:rPr>
          <w:shd w:val="clear" w:color="auto" w:fill="FFFFFF"/>
          <w:lang w:val="mk-MK"/>
        </w:rPr>
      </w:pPr>
    </w:p>
    <w:p w14:paraId="139B3B24" w14:textId="77777777" w:rsidR="007947BF" w:rsidRPr="008662BF" w:rsidRDefault="007947BF" w:rsidP="007947BF">
      <w:pPr>
        <w:rPr>
          <w:shd w:val="clear" w:color="auto" w:fill="FFFFFF"/>
          <w:lang w:val="mk-MK"/>
        </w:rPr>
      </w:pPr>
    </w:p>
    <w:p w14:paraId="45389890" w14:textId="77777777" w:rsidR="007947BF" w:rsidRPr="008662BF" w:rsidRDefault="007947BF" w:rsidP="007947BF">
      <w:pPr>
        <w:rPr>
          <w:shd w:val="clear" w:color="auto" w:fill="FFFFFF"/>
          <w:lang w:val="mk-MK"/>
        </w:rPr>
      </w:pPr>
    </w:p>
    <w:p w14:paraId="2741A6E7" w14:textId="77777777" w:rsidR="007947BF" w:rsidRPr="008662BF" w:rsidRDefault="007947BF" w:rsidP="007947BF">
      <w:pPr>
        <w:rPr>
          <w:shd w:val="clear" w:color="auto" w:fill="FFFFFF"/>
          <w:lang w:val="mk-MK"/>
        </w:rPr>
      </w:pPr>
    </w:p>
    <w:p w14:paraId="1CACB68D" w14:textId="77777777" w:rsidR="007947BF" w:rsidRPr="008662BF" w:rsidRDefault="007947BF" w:rsidP="007947BF">
      <w:pPr>
        <w:rPr>
          <w:shd w:val="clear" w:color="auto" w:fill="FFFFFF"/>
          <w:lang w:val="mk-MK"/>
        </w:rPr>
      </w:pPr>
    </w:p>
    <w:p w14:paraId="28E3EF67" w14:textId="77777777" w:rsidR="007947BF" w:rsidRPr="008662BF" w:rsidRDefault="007947BF" w:rsidP="007947BF">
      <w:pPr>
        <w:rPr>
          <w:shd w:val="clear" w:color="auto" w:fill="FFFFFF"/>
          <w:lang w:val="mk-MK"/>
        </w:rPr>
      </w:pPr>
    </w:p>
    <w:p w14:paraId="4B641464" w14:textId="77777777" w:rsidR="007947BF" w:rsidRPr="008662BF" w:rsidRDefault="007947BF" w:rsidP="007947BF">
      <w:pPr>
        <w:rPr>
          <w:shd w:val="clear" w:color="auto" w:fill="FFFFFF"/>
          <w:lang w:val="mk-MK"/>
        </w:rPr>
      </w:pPr>
    </w:p>
    <w:p w14:paraId="596F0F3A" w14:textId="77777777" w:rsidR="00707CEA" w:rsidRPr="008662BF" w:rsidRDefault="007947BF" w:rsidP="00707CEA">
      <w:pPr>
        <w:jc w:val="both"/>
        <w:rPr>
          <w:sz w:val="24"/>
          <w:shd w:val="clear" w:color="auto" w:fill="FFFFFF"/>
          <w:lang w:val="mk-MK"/>
        </w:rPr>
      </w:pPr>
      <w:r w:rsidRPr="008662BF">
        <w:rPr>
          <w:sz w:val="24"/>
          <w:shd w:val="clear" w:color="auto" w:fill="FFFFFF"/>
          <w:lang w:val="mk-MK"/>
        </w:rPr>
        <w:t xml:space="preserve">(c)RCC2021 </w:t>
      </w:r>
      <w:r w:rsidR="00707CEA" w:rsidRPr="008662BF">
        <w:rPr>
          <w:sz w:val="24"/>
          <w:shd w:val="clear" w:color="auto" w:fill="FFFFFF"/>
          <w:lang w:val="mk-MK"/>
        </w:rPr>
        <w:t>Сите права се задржани. Содржината на оваа публикација може да се користи за некомерцијални цели, со соодветно наведување на изворот.</w:t>
      </w:r>
    </w:p>
    <w:p w14:paraId="14A8082D" w14:textId="77777777" w:rsidR="00707CEA" w:rsidRPr="008662BF" w:rsidRDefault="00707CEA" w:rsidP="00707CEA">
      <w:pPr>
        <w:jc w:val="both"/>
        <w:rPr>
          <w:sz w:val="24"/>
          <w:shd w:val="clear" w:color="auto" w:fill="FFFFFF"/>
          <w:lang w:val="mk-MK"/>
        </w:rPr>
      </w:pPr>
    </w:p>
    <w:p w14:paraId="0D4E739A" w14:textId="77777777" w:rsidR="00707CEA" w:rsidRPr="008662BF" w:rsidRDefault="00707CEA" w:rsidP="00707CEA">
      <w:pPr>
        <w:jc w:val="both"/>
        <w:rPr>
          <w:sz w:val="24"/>
          <w:shd w:val="clear" w:color="auto" w:fill="FFFFFF"/>
          <w:lang w:val="mk-MK"/>
        </w:rPr>
      </w:pPr>
      <w:r w:rsidRPr="008662BF">
        <w:rPr>
          <w:sz w:val="24"/>
          <w:shd w:val="clear" w:color="auto" w:fill="FFFFFF"/>
          <w:lang w:val="mk-MK"/>
        </w:rPr>
        <w:t>Ставовите и мислењата</w:t>
      </w:r>
      <w:r w:rsidR="00D70527">
        <w:rPr>
          <w:sz w:val="24"/>
          <w:shd w:val="clear" w:color="auto" w:fill="FFFFFF"/>
        </w:rPr>
        <w:t xml:space="preserve"> </w:t>
      </w:r>
      <w:r w:rsidR="00D70527">
        <w:rPr>
          <w:sz w:val="24"/>
          <w:shd w:val="clear" w:color="auto" w:fill="FFFFFF"/>
          <w:lang w:val="mk-MK"/>
        </w:rPr>
        <w:t>што се</w:t>
      </w:r>
      <w:r w:rsidRPr="008662BF">
        <w:rPr>
          <w:sz w:val="24"/>
          <w:shd w:val="clear" w:color="auto" w:fill="FFFFFF"/>
          <w:lang w:val="mk-MK"/>
        </w:rPr>
        <w:t xml:space="preserve"> изразени во овој извештај се на авторот(ите) и не мора да ја одразуваат официјалната политика или став</w:t>
      </w:r>
      <w:r w:rsidR="00D70527">
        <w:rPr>
          <w:sz w:val="24"/>
          <w:shd w:val="clear" w:color="auto" w:fill="FFFFFF"/>
          <w:lang w:val="mk-MK"/>
        </w:rPr>
        <w:t>от</w:t>
      </w:r>
      <w:r w:rsidRPr="008662BF">
        <w:rPr>
          <w:sz w:val="24"/>
          <w:shd w:val="clear" w:color="auto" w:fill="FFFFFF"/>
          <w:lang w:val="mk-MK"/>
        </w:rPr>
        <w:t xml:space="preserve"> на Советот за регионална соработка и Европската Унија.</w:t>
      </w:r>
    </w:p>
    <w:p w14:paraId="15B598D7" w14:textId="77777777" w:rsidR="007947BF" w:rsidRPr="008662BF" w:rsidRDefault="007947BF" w:rsidP="007947BF">
      <w:pPr>
        <w:rPr>
          <w:b/>
          <w:sz w:val="32"/>
          <w:lang w:val="mk-MK"/>
        </w:rPr>
      </w:pPr>
      <w:r w:rsidRPr="008662BF">
        <w:rPr>
          <w:b/>
          <w:sz w:val="32"/>
          <w:lang w:val="mk-MK"/>
        </w:rPr>
        <w:br w:type="page"/>
      </w:r>
    </w:p>
    <w:p w14:paraId="72B524ED" w14:textId="608BAE58" w:rsidR="007947BF" w:rsidRDefault="007947BF" w:rsidP="007947BF">
      <w:pPr>
        <w:rPr>
          <w:b/>
          <w:sz w:val="32"/>
          <w:lang w:val="mk-MK"/>
        </w:rPr>
      </w:pPr>
    </w:p>
    <w:p w14:paraId="69AC5B28" w14:textId="1431EAAC" w:rsidR="009C6455" w:rsidRDefault="009C6455" w:rsidP="007947BF">
      <w:pPr>
        <w:rPr>
          <w:b/>
          <w:sz w:val="32"/>
          <w:lang w:val="mk-MK"/>
        </w:rPr>
      </w:pPr>
    </w:p>
    <w:p w14:paraId="5A04737E" w14:textId="77CF8CA6" w:rsidR="009C6455" w:rsidRDefault="009C6455" w:rsidP="007947BF">
      <w:pPr>
        <w:rPr>
          <w:b/>
          <w:sz w:val="32"/>
          <w:lang w:val="mk-MK"/>
        </w:rPr>
      </w:pPr>
    </w:p>
    <w:p w14:paraId="7053C160" w14:textId="582E707E" w:rsidR="009C6455" w:rsidRDefault="009C6455" w:rsidP="007947BF">
      <w:pPr>
        <w:rPr>
          <w:b/>
          <w:sz w:val="32"/>
          <w:lang w:val="mk-MK"/>
        </w:rPr>
      </w:pPr>
    </w:p>
    <w:p w14:paraId="089E6BEA" w14:textId="409EB731" w:rsidR="009C6455" w:rsidRDefault="009C6455" w:rsidP="007947BF">
      <w:pPr>
        <w:rPr>
          <w:b/>
          <w:sz w:val="32"/>
          <w:lang w:val="mk-MK"/>
        </w:rPr>
      </w:pPr>
    </w:p>
    <w:p w14:paraId="23E69BB5" w14:textId="60F03E7A" w:rsidR="009C6455" w:rsidRDefault="009C6455" w:rsidP="007947BF">
      <w:pPr>
        <w:rPr>
          <w:b/>
          <w:sz w:val="32"/>
          <w:lang w:val="mk-MK"/>
        </w:rPr>
      </w:pPr>
    </w:p>
    <w:p w14:paraId="7B99B259" w14:textId="525BECFA" w:rsidR="009C6455" w:rsidRDefault="009C6455" w:rsidP="007947BF">
      <w:pPr>
        <w:rPr>
          <w:b/>
          <w:sz w:val="32"/>
          <w:lang w:val="mk-MK"/>
        </w:rPr>
      </w:pPr>
    </w:p>
    <w:p w14:paraId="2B9F1B59" w14:textId="11E8E7B9" w:rsidR="009C6455" w:rsidRDefault="009C6455" w:rsidP="007947BF">
      <w:pPr>
        <w:rPr>
          <w:b/>
          <w:sz w:val="32"/>
          <w:lang w:val="mk-MK"/>
        </w:rPr>
      </w:pPr>
    </w:p>
    <w:p w14:paraId="2F0E5523" w14:textId="53E4EAA4" w:rsidR="009C6455" w:rsidRDefault="009C6455" w:rsidP="007947BF">
      <w:pPr>
        <w:rPr>
          <w:b/>
          <w:sz w:val="32"/>
          <w:lang w:val="mk-MK"/>
        </w:rPr>
      </w:pPr>
    </w:p>
    <w:p w14:paraId="100A87FF" w14:textId="7F10031F" w:rsidR="009C6455" w:rsidRDefault="009C6455" w:rsidP="007947BF">
      <w:pPr>
        <w:rPr>
          <w:b/>
          <w:sz w:val="32"/>
          <w:lang w:val="mk-MK"/>
        </w:rPr>
      </w:pPr>
    </w:p>
    <w:p w14:paraId="2454B306" w14:textId="6064C345" w:rsidR="009C6455" w:rsidRDefault="009C6455" w:rsidP="007947BF">
      <w:pPr>
        <w:rPr>
          <w:b/>
          <w:sz w:val="32"/>
          <w:lang w:val="mk-MK"/>
        </w:rPr>
      </w:pPr>
    </w:p>
    <w:p w14:paraId="14A422F5" w14:textId="77DDD243" w:rsidR="009C6455" w:rsidRDefault="009C6455" w:rsidP="007947BF">
      <w:pPr>
        <w:rPr>
          <w:b/>
          <w:sz w:val="32"/>
          <w:lang w:val="mk-MK"/>
        </w:rPr>
      </w:pPr>
    </w:p>
    <w:p w14:paraId="13D85C90" w14:textId="6E63BC7A" w:rsidR="009C6455" w:rsidRDefault="009C6455" w:rsidP="007947BF">
      <w:pPr>
        <w:rPr>
          <w:b/>
          <w:sz w:val="32"/>
          <w:lang w:val="mk-MK"/>
        </w:rPr>
      </w:pPr>
    </w:p>
    <w:p w14:paraId="03428F0F" w14:textId="2B76D3F2" w:rsidR="009C6455" w:rsidRDefault="009C6455" w:rsidP="007947BF">
      <w:pPr>
        <w:rPr>
          <w:b/>
          <w:sz w:val="32"/>
          <w:lang w:val="mk-MK"/>
        </w:rPr>
      </w:pPr>
    </w:p>
    <w:p w14:paraId="08ADA5D0" w14:textId="08BEDE34" w:rsidR="009C6455" w:rsidRDefault="009C6455" w:rsidP="007947BF">
      <w:pPr>
        <w:rPr>
          <w:b/>
          <w:sz w:val="32"/>
          <w:lang w:val="mk-MK"/>
        </w:rPr>
      </w:pPr>
    </w:p>
    <w:p w14:paraId="1D5F28DD" w14:textId="66AF740F" w:rsidR="009C6455" w:rsidRDefault="009C6455" w:rsidP="007947BF">
      <w:pPr>
        <w:rPr>
          <w:b/>
          <w:sz w:val="32"/>
          <w:lang w:val="mk-MK"/>
        </w:rPr>
      </w:pPr>
    </w:p>
    <w:p w14:paraId="7404521E" w14:textId="64CF2D9A" w:rsidR="009C6455" w:rsidRDefault="009C6455" w:rsidP="007947BF">
      <w:pPr>
        <w:rPr>
          <w:b/>
          <w:sz w:val="32"/>
          <w:lang w:val="mk-MK"/>
        </w:rPr>
      </w:pPr>
    </w:p>
    <w:p w14:paraId="7B154B94" w14:textId="7B015669" w:rsidR="009C6455" w:rsidRDefault="009C6455" w:rsidP="007947BF">
      <w:pPr>
        <w:rPr>
          <w:b/>
          <w:sz w:val="32"/>
          <w:lang w:val="mk-MK"/>
        </w:rPr>
      </w:pPr>
    </w:p>
    <w:p w14:paraId="30DE9477" w14:textId="43123B00" w:rsidR="009C6455" w:rsidRPr="00AC0731" w:rsidRDefault="009C6455" w:rsidP="00AC0731">
      <w:pPr>
        <w:spacing w:after="0"/>
        <w:rPr>
          <w:b/>
          <w:sz w:val="24"/>
          <w:szCs w:val="24"/>
          <w:lang w:val="mk-MK"/>
        </w:rPr>
      </w:pPr>
      <w:r w:rsidRPr="00AC0731">
        <w:rPr>
          <w:b/>
          <w:sz w:val="24"/>
          <w:szCs w:val="24"/>
          <w:lang w:val="mk-MK"/>
        </w:rPr>
        <w:t>Лектура:</w:t>
      </w:r>
    </w:p>
    <w:p w14:paraId="2D6E5355" w14:textId="5B58AE73" w:rsidR="009C6455" w:rsidRPr="00AC0731" w:rsidRDefault="009C6455" w:rsidP="00AC0731">
      <w:pPr>
        <w:spacing w:after="0"/>
        <w:rPr>
          <w:bCs/>
          <w:sz w:val="24"/>
          <w:szCs w:val="24"/>
          <w:lang w:val="mk-MK"/>
        </w:rPr>
      </w:pPr>
      <w:r w:rsidRPr="00AC0731">
        <w:rPr>
          <w:bCs/>
          <w:sz w:val="24"/>
          <w:szCs w:val="24"/>
          <w:lang w:val="mk-MK"/>
        </w:rPr>
        <w:t>Весна Костовска</w:t>
      </w:r>
    </w:p>
    <w:p w14:paraId="7999C21E" w14:textId="0625B2AD" w:rsidR="009C6455" w:rsidRPr="00AC0731" w:rsidRDefault="009C6455" w:rsidP="00AC0731">
      <w:pPr>
        <w:spacing w:after="0"/>
        <w:rPr>
          <w:b/>
          <w:sz w:val="24"/>
          <w:szCs w:val="24"/>
          <w:lang w:val="mk-MK"/>
        </w:rPr>
      </w:pPr>
      <w:r w:rsidRPr="00AC0731">
        <w:rPr>
          <w:b/>
          <w:sz w:val="24"/>
          <w:szCs w:val="24"/>
          <w:lang w:val="mk-MK"/>
        </w:rPr>
        <w:t>Институт за македонски јазик</w:t>
      </w:r>
      <w:r w:rsidR="005965E8">
        <w:rPr>
          <w:b/>
          <w:sz w:val="24"/>
          <w:szCs w:val="24"/>
          <w:lang w:val="mk-MK"/>
        </w:rPr>
        <w:t xml:space="preserve"> „Крсте Мисирков“</w:t>
      </w:r>
      <w:r w:rsidR="00EF53DF">
        <w:rPr>
          <w:b/>
          <w:sz w:val="24"/>
          <w:szCs w:val="24"/>
          <w:lang w:val="mk-MK"/>
        </w:rPr>
        <w:t xml:space="preserve"> </w:t>
      </w:r>
      <w:r w:rsidRPr="00AC0731">
        <w:rPr>
          <w:b/>
          <w:sz w:val="24"/>
          <w:szCs w:val="24"/>
          <w:lang w:val="mk-MK"/>
        </w:rPr>
        <w:t>-</w:t>
      </w:r>
      <w:r w:rsidR="004D1F4A">
        <w:rPr>
          <w:b/>
          <w:sz w:val="24"/>
          <w:szCs w:val="24"/>
          <w:lang w:val="mk-MK"/>
        </w:rPr>
        <w:t xml:space="preserve"> </w:t>
      </w:r>
      <w:r w:rsidRPr="00AC0731">
        <w:rPr>
          <w:b/>
          <w:sz w:val="24"/>
          <w:szCs w:val="24"/>
          <w:lang w:val="mk-MK"/>
        </w:rPr>
        <w:t>Скопје</w:t>
      </w:r>
    </w:p>
    <w:p w14:paraId="66844F7F" w14:textId="7E56194B" w:rsidR="00AC0731" w:rsidRDefault="00AC0731" w:rsidP="007947BF">
      <w:pPr>
        <w:rPr>
          <w:b/>
          <w:sz w:val="32"/>
          <w:lang w:val="mk-MK"/>
        </w:rPr>
      </w:pPr>
    </w:p>
    <w:p w14:paraId="48153E98" w14:textId="77777777" w:rsidR="00AC0731" w:rsidRDefault="00AC0731" w:rsidP="007947BF">
      <w:pPr>
        <w:rPr>
          <w:b/>
          <w:sz w:val="32"/>
          <w:lang w:val="mk-MK"/>
        </w:rPr>
      </w:pPr>
    </w:p>
    <w:p w14:paraId="2A569A79" w14:textId="4AD19D17" w:rsidR="007947BF" w:rsidRPr="008662BF" w:rsidRDefault="00707CEA" w:rsidP="007947BF">
      <w:pPr>
        <w:rPr>
          <w:b/>
          <w:sz w:val="32"/>
          <w:lang w:val="mk-MK"/>
        </w:rPr>
      </w:pPr>
      <w:r w:rsidRPr="008662BF">
        <w:rPr>
          <w:b/>
          <w:sz w:val="32"/>
          <w:lang w:val="mk-MK"/>
        </w:rPr>
        <w:lastRenderedPageBreak/>
        <w:t>Содржина</w:t>
      </w:r>
    </w:p>
    <w:p w14:paraId="5770EFE5" w14:textId="77777777" w:rsidR="009E69D0" w:rsidRPr="00A10A21" w:rsidRDefault="00C50642">
      <w:pPr>
        <w:pStyle w:val="TOC1"/>
        <w:tabs>
          <w:tab w:val="right" w:leader="dot" w:pos="9062"/>
        </w:tabs>
        <w:rPr>
          <w:rFonts w:eastAsiaTheme="minorEastAsia"/>
          <w:noProof/>
        </w:rPr>
      </w:pPr>
      <w:r w:rsidRPr="00A10A21">
        <w:rPr>
          <w:lang w:val="mk-MK"/>
        </w:rPr>
        <w:fldChar w:fldCharType="begin"/>
      </w:r>
      <w:r w:rsidR="007947BF" w:rsidRPr="00A10A21">
        <w:rPr>
          <w:lang w:val="mk-MK"/>
        </w:rPr>
        <w:instrText xml:space="preserve"> TOC \o "1-3" \h \z \u </w:instrText>
      </w:r>
      <w:r w:rsidRPr="00A10A21">
        <w:rPr>
          <w:lang w:val="mk-MK"/>
        </w:rPr>
        <w:fldChar w:fldCharType="separate"/>
      </w:r>
      <w:hyperlink w:anchor="_Toc86916043" w:history="1">
        <w:r w:rsidR="009E69D0" w:rsidRPr="00A10A21">
          <w:rPr>
            <w:rStyle w:val="Hyperlink"/>
            <w:noProof/>
            <w:u w:val="none"/>
            <w:shd w:val="clear" w:color="auto" w:fill="FFFFFF"/>
            <w:lang w:val="mk-MK"/>
          </w:rPr>
          <w:t>Скратеници</w:t>
        </w:r>
        <w:r w:rsidR="009E69D0" w:rsidRPr="00A10A21">
          <w:rPr>
            <w:noProof/>
            <w:webHidden/>
          </w:rPr>
          <w:tab/>
        </w:r>
        <w:r w:rsidRPr="00A10A21">
          <w:rPr>
            <w:noProof/>
            <w:webHidden/>
          </w:rPr>
          <w:fldChar w:fldCharType="begin"/>
        </w:r>
        <w:r w:rsidR="009E69D0" w:rsidRPr="00A10A21">
          <w:rPr>
            <w:noProof/>
            <w:webHidden/>
          </w:rPr>
          <w:instrText xml:space="preserve"> PAGEREF _Toc86916043 \h </w:instrText>
        </w:r>
        <w:r w:rsidRPr="00A10A21">
          <w:rPr>
            <w:noProof/>
            <w:webHidden/>
          </w:rPr>
        </w:r>
        <w:r w:rsidRPr="00A10A21">
          <w:rPr>
            <w:noProof/>
            <w:webHidden/>
          </w:rPr>
          <w:fldChar w:fldCharType="separate"/>
        </w:r>
        <w:r w:rsidR="00FD62CC" w:rsidRPr="00A10A21">
          <w:rPr>
            <w:noProof/>
            <w:webHidden/>
          </w:rPr>
          <w:t>5</w:t>
        </w:r>
        <w:r w:rsidRPr="00A10A21">
          <w:rPr>
            <w:noProof/>
            <w:webHidden/>
          </w:rPr>
          <w:fldChar w:fldCharType="end"/>
        </w:r>
      </w:hyperlink>
    </w:p>
    <w:p w14:paraId="22AFF92A" w14:textId="77777777" w:rsidR="009E69D0" w:rsidRPr="00A10A21" w:rsidRDefault="001A55EE">
      <w:pPr>
        <w:pStyle w:val="TOC1"/>
        <w:tabs>
          <w:tab w:val="right" w:leader="dot" w:pos="9062"/>
        </w:tabs>
        <w:rPr>
          <w:rFonts w:eastAsiaTheme="minorEastAsia"/>
          <w:noProof/>
        </w:rPr>
      </w:pPr>
      <w:hyperlink w:anchor="_Toc86916044" w:history="1">
        <w:r w:rsidR="009E69D0" w:rsidRPr="00A10A21">
          <w:rPr>
            <w:rStyle w:val="Hyperlink"/>
            <w:rFonts w:ascii="Calibri" w:hAnsi="Calibri" w:cs="Calibri"/>
            <w:noProof/>
            <w:u w:val="none"/>
            <w:shd w:val="clear" w:color="auto" w:fill="FFFFFF"/>
            <w:lang w:val="mk-MK"/>
          </w:rPr>
          <w:t>КРАТОК ПРЕГЛЕД</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_Toc86916044 \h </w:instrText>
        </w:r>
        <w:r w:rsidR="00C50642" w:rsidRPr="00A10A21">
          <w:rPr>
            <w:noProof/>
            <w:webHidden/>
          </w:rPr>
        </w:r>
        <w:r w:rsidR="00C50642" w:rsidRPr="00A10A21">
          <w:rPr>
            <w:noProof/>
            <w:webHidden/>
          </w:rPr>
          <w:fldChar w:fldCharType="separate"/>
        </w:r>
        <w:r w:rsidR="00FD62CC" w:rsidRPr="00A10A21">
          <w:rPr>
            <w:noProof/>
            <w:webHidden/>
          </w:rPr>
          <w:t>6</w:t>
        </w:r>
        <w:r w:rsidR="00C50642" w:rsidRPr="00A10A21">
          <w:rPr>
            <w:noProof/>
            <w:webHidden/>
          </w:rPr>
          <w:fldChar w:fldCharType="end"/>
        </w:r>
      </w:hyperlink>
    </w:p>
    <w:p w14:paraId="53F672FC" w14:textId="77777777" w:rsidR="009E69D0" w:rsidRPr="00A10A21" w:rsidRDefault="001A55EE">
      <w:pPr>
        <w:pStyle w:val="TOC1"/>
        <w:tabs>
          <w:tab w:val="left" w:pos="440"/>
          <w:tab w:val="right" w:leader="dot" w:pos="9062"/>
        </w:tabs>
        <w:rPr>
          <w:rFonts w:eastAsiaTheme="minorEastAsia"/>
          <w:noProof/>
        </w:rPr>
      </w:pPr>
      <w:hyperlink w:anchor="_Toc86916045" w:history="1">
        <w:r w:rsidR="009E69D0" w:rsidRPr="00A10A21">
          <w:rPr>
            <w:rStyle w:val="Hyperlink"/>
            <w:noProof/>
            <w:u w:val="none"/>
            <w:lang w:val="mk-MK"/>
          </w:rPr>
          <w:t>1.</w:t>
        </w:r>
        <w:r w:rsidR="009E69D0" w:rsidRPr="00A10A21">
          <w:rPr>
            <w:rFonts w:eastAsiaTheme="minorEastAsia"/>
            <w:noProof/>
          </w:rPr>
          <w:tab/>
        </w:r>
        <w:r w:rsidR="009E69D0" w:rsidRPr="00A10A21">
          <w:rPr>
            <w:rStyle w:val="Hyperlink"/>
            <w:noProof/>
            <w:u w:val="none"/>
            <w:shd w:val="clear" w:color="auto" w:fill="FFFFFF"/>
            <w:lang w:val="mk-MK"/>
          </w:rPr>
          <w:t>Вовед</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_Toc86916045 \h </w:instrText>
        </w:r>
        <w:r w:rsidR="00C50642" w:rsidRPr="00A10A21">
          <w:rPr>
            <w:noProof/>
            <w:webHidden/>
          </w:rPr>
        </w:r>
        <w:r w:rsidR="00C50642" w:rsidRPr="00A10A21">
          <w:rPr>
            <w:noProof/>
            <w:webHidden/>
          </w:rPr>
          <w:fldChar w:fldCharType="separate"/>
        </w:r>
        <w:r w:rsidR="00FD62CC" w:rsidRPr="00A10A21">
          <w:rPr>
            <w:noProof/>
            <w:webHidden/>
          </w:rPr>
          <w:t>11</w:t>
        </w:r>
        <w:r w:rsidR="00C50642" w:rsidRPr="00A10A21">
          <w:rPr>
            <w:noProof/>
            <w:webHidden/>
          </w:rPr>
          <w:fldChar w:fldCharType="end"/>
        </w:r>
      </w:hyperlink>
    </w:p>
    <w:p w14:paraId="30A60643" w14:textId="77777777" w:rsidR="009E69D0" w:rsidRPr="00A10A21" w:rsidRDefault="001A55EE">
      <w:pPr>
        <w:pStyle w:val="TOC2"/>
        <w:rPr>
          <w:rFonts w:eastAsiaTheme="minorEastAsia"/>
          <w:noProof/>
        </w:rPr>
      </w:pPr>
      <w:hyperlink w:anchor="_Toc86916046" w:history="1">
        <w:r w:rsidR="009E69D0" w:rsidRPr="00A10A21">
          <w:rPr>
            <w:rStyle w:val="Hyperlink"/>
            <w:noProof/>
            <w:u w:val="none"/>
            <w:lang w:val="mk-MK"/>
          </w:rPr>
          <w:t>1.1.</w:t>
        </w:r>
        <w:r w:rsidR="009E69D0" w:rsidRPr="00A10A21">
          <w:rPr>
            <w:rFonts w:eastAsiaTheme="minorEastAsia"/>
            <w:noProof/>
          </w:rPr>
          <w:tab/>
        </w:r>
        <w:r w:rsidR="009E69D0" w:rsidRPr="00A10A21">
          <w:rPr>
            <w:rStyle w:val="Hyperlink"/>
            <w:noProof/>
            <w:u w:val="none"/>
            <w:shd w:val="clear" w:color="auto" w:fill="FFFFFF"/>
            <w:lang w:val="mk-MK"/>
          </w:rPr>
          <w:t>Опсег и цел на документот</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_Toc86916046 \h </w:instrText>
        </w:r>
        <w:r w:rsidR="00C50642" w:rsidRPr="00A10A21">
          <w:rPr>
            <w:noProof/>
            <w:webHidden/>
          </w:rPr>
        </w:r>
        <w:r w:rsidR="00C50642" w:rsidRPr="00A10A21">
          <w:rPr>
            <w:noProof/>
            <w:webHidden/>
          </w:rPr>
          <w:fldChar w:fldCharType="separate"/>
        </w:r>
        <w:r w:rsidR="00FD62CC" w:rsidRPr="00A10A21">
          <w:rPr>
            <w:noProof/>
            <w:webHidden/>
          </w:rPr>
          <w:t>11</w:t>
        </w:r>
        <w:r w:rsidR="00C50642" w:rsidRPr="00A10A21">
          <w:rPr>
            <w:noProof/>
            <w:webHidden/>
          </w:rPr>
          <w:fldChar w:fldCharType="end"/>
        </w:r>
      </w:hyperlink>
    </w:p>
    <w:p w14:paraId="6C4B1493" w14:textId="77777777" w:rsidR="009E69D0" w:rsidRPr="00A10A21" w:rsidRDefault="001A55EE">
      <w:pPr>
        <w:pStyle w:val="TOC2"/>
        <w:rPr>
          <w:rFonts w:eastAsiaTheme="minorEastAsia"/>
          <w:noProof/>
        </w:rPr>
      </w:pPr>
      <w:hyperlink w:anchor="_Toc86916047" w:history="1">
        <w:r w:rsidR="009E69D0" w:rsidRPr="00A10A21">
          <w:rPr>
            <w:rStyle w:val="Hyperlink"/>
            <w:noProof/>
            <w:u w:val="none"/>
            <w:lang w:val="mk-MK"/>
          </w:rPr>
          <w:t>1.2.</w:t>
        </w:r>
        <w:r w:rsidR="009E69D0" w:rsidRPr="00A10A21">
          <w:rPr>
            <w:rFonts w:eastAsiaTheme="minorEastAsia"/>
            <w:noProof/>
          </w:rPr>
          <w:tab/>
        </w:r>
        <w:r w:rsidR="009E69D0" w:rsidRPr="00A10A21">
          <w:rPr>
            <w:rStyle w:val="Hyperlink"/>
            <w:noProof/>
            <w:u w:val="none"/>
            <w:shd w:val="clear" w:color="auto" w:fill="FFFFFF"/>
            <w:lang w:val="mk-MK"/>
          </w:rPr>
          <w:t>Што претставуваат истражувачките инфракструктури?</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_Toc86916047 \h </w:instrText>
        </w:r>
        <w:r w:rsidR="00C50642" w:rsidRPr="00A10A21">
          <w:rPr>
            <w:noProof/>
            <w:webHidden/>
          </w:rPr>
        </w:r>
        <w:r w:rsidR="00C50642" w:rsidRPr="00A10A21">
          <w:rPr>
            <w:noProof/>
            <w:webHidden/>
          </w:rPr>
          <w:fldChar w:fldCharType="separate"/>
        </w:r>
        <w:r w:rsidR="00FD62CC" w:rsidRPr="00A10A21">
          <w:rPr>
            <w:noProof/>
            <w:webHidden/>
          </w:rPr>
          <w:t>12</w:t>
        </w:r>
        <w:r w:rsidR="00C50642" w:rsidRPr="00A10A21">
          <w:rPr>
            <w:noProof/>
            <w:webHidden/>
          </w:rPr>
          <w:fldChar w:fldCharType="end"/>
        </w:r>
      </w:hyperlink>
    </w:p>
    <w:p w14:paraId="17613C3F" w14:textId="77777777" w:rsidR="009E69D0" w:rsidRPr="00A10A21" w:rsidRDefault="001A55EE">
      <w:pPr>
        <w:pStyle w:val="TOC2"/>
        <w:rPr>
          <w:rFonts w:eastAsiaTheme="minorEastAsia"/>
          <w:noProof/>
        </w:rPr>
      </w:pPr>
      <w:hyperlink w:anchor="_Toc86916048" w:history="1">
        <w:r w:rsidR="009E69D0" w:rsidRPr="00A10A21">
          <w:rPr>
            <w:rStyle w:val="Hyperlink"/>
            <w:noProof/>
            <w:u w:val="none"/>
            <w:lang w:val="mk-MK"/>
          </w:rPr>
          <w:t>1.3.</w:t>
        </w:r>
        <w:r w:rsidR="009E69D0" w:rsidRPr="00A10A21">
          <w:rPr>
            <w:rFonts w:eastAsiaTheme="minorEastAsia"/>
            <w:noProof/>
          </w:rPr>
          <w:tab/>
        </w:r>
        <w:r w:rsidR="009E69D0" w:rsidRPr="00A10A21">
          <w:rPr>
            <w:rStyle w:val="Hyperlink"/>
            <w:noProof/>
            <w:u w:val="none"/>
            <w:lang w:val="mk-MK"/>
          </w:rPr>
          <w:t>Основа и методологија за подготовка на Патоказот за истражувачка инфраструктура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_Toc86916048 \h </w:instrText>
        </w:r>
        <w:r w:rsidR="00C50642" w:rsidRPr="00A10A21">
          <w:rPr>
            <w:noProof/>
            <w:webHidden/>
          </w:rPr>
        </w:r>
        <w:r w:rsidR="00C50642" w:rsidRPr="00A10A21">
          <w:rPr>
            <w:noProof/>
            <w:webHidden/>
          </w:rPr>
          <w:fldChar w:fldCharType="separate"/>
        </w:r>
        <w:r w:rsidR="00FD62CC" w:rsidRPr="00A10A21">
          <w:rPr>
            <w:noProof/>
            <w:webHidden/>
          </w:rPr>
          <w:t>13</w:t>
        </w:r>
        <w:r w:rsidR="00C50642" w:rsidRPr="00A10A21">
          <w:rPr>
            <w:noProof/>
            <w:webHidden/>
          </w:rPr>
          <w:fldChar w:fldCharType="end"/>
        </w:r>
      </w:hyperlink>
    </w:p>
    <w:p w14:paraId="085105A5" w14:textId="176F1331" w:rsidR="009E69D0" w:rsidRPr="00A10A21" w:rsidRDefault="001A55EE">
      <w:pPr>
        <w:pStyle w:val="TOC1"/>
        <w:tabs>
          <w:tab w:val="left" w:pos="440"/>
          <w:tab w:val="right" w:leader="dot" w:pos="9062"/>
        </w:tabs>
        <w:rPr>
          <w:rFonts w:eastAsiaTheme="minorEastAsia"/>
          <w:noProof/>
        </w:rPr>
      </w:pPr>
      <w:hyperlink w:anchor="_Toc86916049" w:history="1">
        <w:r w:rsidR="009E69D0" w:rsidRPr="00A10A21">
          <w:rPr>
            <w:rStyle w:val="Hyperlink"/>
            <w:noProof/>
            <w:u w:val="none"/>
            <w:lang w:val="mk-MK"/>
          </w:rPr>
          <w:t>2.</w:t>
        </w:r>
        <w:r w:rsidR="009E69D0" w:rsidRPr="00A10A21">
          <w:rPr>
            <w:rFonts w:eastAsiaTheme="minorEastAsia"/>
            <w:noProof/>
          </w:rPr>
          <w:tab/>
        </w:r>
        <w:r w:rsidR="009E69D0" w:rsidRPr="00A10A21">
          <w:rPr>
            <w:rStyle w:val="Hyperlink"/>
            <w:noProof/>
            <w:u w:val="none"/>
            <w:shd w:val="clear" w:color="auto" w:fill="FFFFFF"/>
            <w:lang w:val="mk-MK"/>
          </w:rPr>
          <w:t>Тековна правна и политичка рамка за развој на истражувачката инфраструктура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_Toc86916049 \h </w:instrText>
        </w:r>
        <w:r w:rsidR="00C50642" w:rsidRPr="00A10A21">
          <w:rPr>
            <w:noProof/>
            <w:webHidden/>
          </w:rPr>
        </w:r>
        <w:r w:rsidR="00C50642" w:rsidRPr="00A10A21">
          <w:rPr>
            <w:noProof/>
            <w:webHidden/>
          </w:rPr>
          <w:fldChar w:fldCharType="separate"/>
        </w:r>
        <w:r w:rsidR="00FD62CC" w:rsidRPr="00A10A21">
          <w:rPr>
            <w:noProof/>
            <w:webHidden/>
          </w:rPr>
          <w:t>14</w:t>
        </w:r>
        <w:r w:rsidR="00C50642" w:rsidRPr="00A10A21">
          <w:rPr>
            <w:noProof/>
            <w:webHidden/>
          </w:rPr>
          <w:fldChar w:fldCharType="end"/>
        </w:r>
      </w:hyperlink>
    </w:p>
    <w:p w14:paraId="27524CBB" w14:textId="77777777" w:rsidR="009E69D0" w:rsidRPr="00A10A21" w:rsidRDefault="001A55EE">
      <w:pPr>
        <w:pStyle w:val="TOC2"/>
        <w:rPr>
          <w:rFonts w:eastAsiaTheme="minorEastAsia"/>
          <w:noProof/>
        </w:rPr>
      </w:pPr>
      <w:hyperlink w:anchor="_Toc86916050" w:history="1">
        <w:r w:rsidR="009E69D0" w:rsidRPr="00A10A21">
          <w:rPr>
            <w:rStyle w:val="Hyperlink"/>
            <w:noProof/>
            <w:u w:val="none"/>
            <w:lang w:val="mk-MK"/>
          </w:rPr>
          <w:t>2.1.</w:t>
        </w:r>
        <w:r w:rsidR="009E69D0" w:rsidRPr="00A10A21">
          <w:rPr>
            <w:rFonts w:eastAsiaTheme="minorEastAsia"/>
            <w:noProof/>
          </w:rPr>
          <w:tab/>
        </w:r>
        <w:r w:rsidR="009E69D0" w:rsidRPr="00A10A21">
          <w:rPr>
            <w:rStyle w:val="Hyperlink"/>
            <w:noProof/>
            <w:u w:val="none"/>
            <w:shd w:val="clear" w:color="auto" w:fill="FFFFFF"/>
            <w:lang w:val="mk-MK"/>
          </w:rPr>
          <w:t>Финансирање на истражувачки активности и истражувачки инфраструктури</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_Toc86916050 \h </w:instrText>
        </w:r>
        <w:r w:rsidR="00C50642" w:rsidRPr="00A10A21">
          <w:rPr>
            <w:noProof/>
            <w:webHidden/>
          </w:rPr>
        </w:r>
        <w:r w:rsidR="00C50642" w:rsidRPr="00A10A21">
          <w:rPr>
            <w:noProof/>
            <w:webHidden/>
          </w:rPr>
          <w:fldChar w:fldCharType="separate"/>
        </w:r>
        <w:r w:rsidR="00FD62CC" w:rsidRPr="00A10A21">
          <w:rPr>
            <w:noProof/>
            <w:webHidden/>
          </w:rPr>
          <w:t>15</w:t>
        </w:r>
        <w:r w:rsidR="00C50642" w:rsidRPr="00A10A21">
          <w:rPr>
            <w:noProof/>
            <w:webHidden/>
          </w:rPr>
          <w:fldChar w:fldCharType="end"/>
        </w:r>
      </w:hyperlink>
    </w:p>
    <w:p w14:paraId="1B5667D8" w14:textId="77777777" w:rsidR="009E69D0" w:rsidRPr="00A10A21" w:rsidRDefault="001A55EE">
      <w:pPr>
        <w:pStyle w:val="TOC2"/>
        <w:rPr>
          <w:rFonts w:eastAsiaTheme="minorEastAsia"/>
          <w:noProof/>
        </w:rPr>
      </w:pPr>
      <w:hyperlink w:anchor="_Toc86916051" w:history="1">
        <w:r w:rsidR="009E69D0" w:rsidRPr="00A10A21">
          <w:rPr>
            <w:rStyle w:val="Hyperlink"/>
            <w:noProof/>
            <w:u w:val="none"/>
            <w:lang w:val="mk-MK"/>
          </w:rPr>
          <w:t>2.2.</w:t>
        </w:r>
        <w:r w:rsidR="009E69D0" w:rsidRPr="00A10A21">
          <w:rPr>
            <w:rFonts w:eastAsiaTheme="minorEastAsia"/>
            <w:noProof/>
          </w:rPr>
          <w:tab/>
        </w:r>
        <w:r w:rsidR="009E69D0" w:rsidRPr="00A10A21">
          <w:rPr>
            <w:rStyle w:val="Hyperlink"/>
            <w:noProof/>
            <w:u w:val="none"/>
            <w:lang w:val="mk-MK"/>
          </w:rPr>
          <w:t>Тековен статус на подготовката на Стратегијата за паметна специјализација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_Toc86916051 \h </w:instrText>
        </w:r>
        <w:r w:rsidR="00C50642" w:rsidRPr="00A10A21">
          <w:rPr>
            <w:noProof/>
            <w:webHidden/>
          </w:rPr>
        </w:r>
        <w:r w:rsidR="00C50642" w:rsidRPr="00A10A21">
          <w:rPr>
            <w:noProof/>
            <w:webHidden/>
          </w:rPr>
          <w:fldChar w:fldCharType="separate"/>
        </w:r>
        <w:r w:rsidR="00FD62CC" w:rsidRPr="00A10A21">
          <w:rPr>
            <w:noProof/>
            <w:webHidden/>
          </w:rPr>
          <w:t>16</w:t>
        </w:r>
        <w:r w:rsidR="00C50642" w:rsidRPr="00A10A21">
          <w:rPr>
            <w:noProof/>
            <w:webHidden/>
          </w:rPr>
          <w:fldChar w:fldCharType="end"/>
        </w:r>
      </w:hyperlink>
    </w:p>
    <w:p w14:paraId="5CDA8F00" w14:textId="2E6BB765" w:rsidR="009E69D0" w:rsidRPr="00A10A21" w:rsidRDefault="001A55EE">
      <w:pPr>
        <w:pStyle w:val="TOC1"/>
        <w:tabs>
          <w:tab w:val="left" w:pos="440"/>
          <w:tab w:val="right" w:leader="dot" w:pos="9062"/>
        </w:tabs>
        <w:rPr>
          <w:rFonts w:eastAsiaTheme="minorEastAsia"/>
          <w:noProof/>
        </w:rPr>
      </w:pPr>
      <w:hyperlink w:anchor="_Toc86916052" w:history="1">
        <w:r w:rsidR="009E69D0" w:rsidRPr="00A10A21">
          <w:rPr>
            <w:rStyle w:val="Hyperlink"/>
            <w:noProof/>
            <w:u w:val="none"/>
            <w:lang w:val="mk-MK"/>
          </w:rPr>
          <w:t>3.</w:t>
        </w:r>
        <w:r w:rsidR="009E69D0" w:rsidRPr="00A10A21">
          <w:rPr>
            <w:rFonts w:eastAsiaTheme="minorEastAsia"/>
            <w:noProof/>
          </w:rPr>
          <w:tab/>
        </w:r>
        <w:r w:rsidR="009E69D0" w:rsidRPr="00A10A21">
          <w:rPr>
            <w:rStyle w:val="Hyperlink"/>
            <w:noProof/>
            <w:u w:val="none"/>
            <w:shd w:val="clear" w:color="auto" w:fill="FFFFFF"/>
            <w:lang w:val="mk-MK"/>
          </w:rPr>
          <w:t xml:space="preserve">Учество на </w:t>
        </w:r>
        <w:r w:rsidR="00417197" w:rsidRPr="00A10A21">
          <w:rPr>
            <w:rStyle w:val="Hyperlink"/>
            <w:noProof/>
            <w:u w:val="none"/>
            <w:shd w:val="clear" w:color="auto" w:fill="FFFFFF"/>
            <w:lang w:val="mk-MK"/>
          </w:rPr>
          <w:t>Република Северна Македонија</w:t>
        </w:r>
        <w:r w:rsidR="009E69D0" w:rsidRPr="00A10A21">
          <w:rPr>
            <w:rStyle w:val="Hyperlink"/>
            <w:noProof/>
            <w:u w:val="none"/>
            <w:shd w:val="clear" w:color="auto" w:fill="FFFFFF"/>
            <w:lang w:val="mk-MK"/>
          </w:rPr>
          <w:t xml:space="preserve"> во истражувачките програми на ЕУ</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_Toc86916052 \h </w:instrText>
        </w:r>
        <w:r w:rsidR="00C50642" w:rsidRPr="00A10A21">
          <w:rPr>
            <w:noProof/>
            <w:webHidden/>
          </w:rPr>
        </w:r>
        <w:r w:rsidR="00C50642" w:rsidRPr="00A10A21">
          <w:rPr>
            <w:noProof/>
            <w:webHidden/>
          </w:rPr>
          <w:fldChar w:fldCharType="separate"/>
        </w:r>
        <w:r w:rsidR="00FD62CC" w:rsidRPr="00A10A21">
          <w:rPr>
            <w:noProof/>
            <w:webHidden/>
          </w:rPr>
          <w:t>18</w:t>
        </w:r>
        <w:r w:rsidR="00C50642" w:rsidRPr="00A10A21">
          <w:rPr>
            <w:noProof/>
            <w:webHidden/>
          </w:rPr>
          <w:fldChar w:fldCharType="end"/>
        </w:r>
      </w:hyperlink>
    </w:p>
    <w:p w14:paraId="47ACE26B" w14:textId="1DBD69F1" w:rsidR="009E69D0" w:rsidRPr="00A10A21" w:rsidRDefault="001A55EE">
      <w:pPr>
        <w:pStyle w:val="TOC1"/>
        <w:tabs>
          <w:tab w:val="left" w:pos="440"/>
          <w:tab w:val="right" w:leader="dot" w:pos="9062"/>
        </w:tabs>
        <w:rPr>
          <w:rFonts w:eastAsiaTheme="minorEastAsia"/>
          <w:noProof/>
        </w:rPr>
      </w:pPr>
      <w:hyperlink w:anchor="_Toc86916053" w:history="1">
        <w:r w:rsidR="009E69D0" w:rsidRPr="00A10A21">
          <w:rPr>
            <w:rStyle w:val="Hyperlink"/>
            <w:noProof/>
            <w:u w:val="none"/>
            <w:lang w:val="mk-MK"/>
          </w:rPr>
          <w:t>4.</w:t>
        </w:r>
        <w:r w:rsidR="009E69D0" w:rsidRPr="00A10A21">
          <w:rPr>
            <w:rFonts w:eastAsiaTheme="minorEastAsia"/>
            <w:noProof/>
          </w:rPr>
          <w:tab/>
        </w:r>
        <w:r w:rsidR="009E69D0" w:rsidRPr="00A10A21">
          <w:rPr>
            <w:rStyle w:val="Hyperlink"/>
            <w:noProof/>
            <w:u w:val="none"/>
            <w:shd w:val="clear" w:color="auto" w:fill="FFFFFF"/>
            <w:lang w:val="mk-MK"/>
          </w:rPr>
          <w:t xml:space="preserve">Анализа на постојните истражувачки инфраструктури во </w:t>
        </w:r>
        <w:r w:rsidR="00417197" w:rsidRPr="00A10A21">
          <w:rPr>
            <w:rStyle w:val="Hyperlink"/>
            <w:noProof/>
            <w:u w:val="none"/>
            <w:shd w:val="clear" w:color="auto" w:fill="FFFFFF"/>
            <w:lang w:val="mk-MK"/>
          </w:rPr>
          <w:t>Република Северна Македонија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_Toc86916053 \h </w:instrText>
        </w:r>
        <w:r w:rsidR="00C50642" w:rsidRPr="00A10A21">
          <w:rPr>
            <w:noProof/>
            <w:webHidden/>
          </w:rPr>
        </w:r>
        <w:r w:rsidR="00C50642" w:rsidRPr="00A10A21">
          <w:rPr>
            <w:noProof/>
            <w:webHidden/>
          </w:rPr>
          <w:fldChar w:fldCharType="separate"/>
        </w:r>
        <w:r w:rsidR="00FD62CC" w:rsidRPr="00A10A21">
          <w:rPr>
            <w:noProof/>
            <w:webHidden/>
          </w:rPr>
          <w:t>20</w:t>
        </w:r>
        <w:r w:rsidR="00C50642" w:rsidRPr="00A10A21">
          <w:rPr>
            <w:noProof/>
            <w:webHidden/>
          </w:rPr>
          <w:fldChar w:fldCharType="end"/>
        </w:r>
      </w:hyperlink>
    </w:p>
    <w:p w14:paraId="4E770088" w14:textId="77777777" w:rsidR="009E69D0" w:rsidRPr="00A10A21" w:rsidRDefault="001A55EE">
      <w:pPr>
        <w:pStyle w:val="TOC2"/>
        <w:rPr>
          <w:rFonts w:eastAsiaTheme="minorEastAsia"/>
          <w:noProof/>
        </w:rPr>
      </w:pPr>
      <w:hyperlink w:anchor="_Toc86916054" w:history="1">
        <w:r w:rsidR="009E69D0" w:rsidRPr="00A10A21">
          <w:rPr>
            <w:rStyle w:val="Hyperlink"/>
            <w:noProof/>
            <w:u w:val="none"/>
            <w:lang w:val="mk-MK"/>
          </w:rPr>
          <w:t>4.1.</w:t>
        </w:r>
        <w:r w:rsidR="009E69D0" w:rsidRPr="00A10A21">
          <w:rPr>
            <w:rFonts w:eastAsiaTheme="minorEastAsia"/>
            <w:noProof/>
          </w:rPr>
          <w:tab/>
        </w:r>
        <w:r w:rsidR="009E69D0" w:rsidRPr="00A10A21">
          <w:rPr>
            <w:rStyle w:val="Hyperlink"/>
            <w:noProof/>
            <w:u w:val="none"/>
            <w:shd w:val="clear" w:color="auto" w:fill="FFFFFF"/>
            <w:lang w:val="mk-MK"/>
          </w:rPr>
          <w:t>Преглед на истражувачките инфраструктури</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_Toc86916054 \h </w:instrText>
        </w:r>
        <w:r w:rsidR="00C50642" w:rsidRPr="00A10A21">
          <w:rPr>
            <w:noProof/>
            <w:webHidden/>
          </w:rPr>
        </w:r>
        <w:r w:rsidR="00C50642" w:rsidRPr="00A10A21">
          <w:rPr>
            <w:noProof/>
            <w:webHidden/>
          </w:rPr>
          <w:fldChar w:fldCharType="separate"/>
        </w:r>
        <w:r w:rsidR="00FD62CC" w:rsidRPr="00A10A21">
          <w:rPr>
            <w:noProof/>
            <w:webHidden/>
          </w:rPr>
          <w:t>20</w:t>
        </w:r>
        <w:r w:rsidR="00C50642" w:rsidRPr="00A10A21">
          <w:rPr>
            <w:noProof/>
            <w:webHidden/>
          </w:rPr>
          <w:fldChar w:fldCharType="end"/>
        </w:r>
      </w:hyperlink>
    </w:p>
    <w:p w14:paraId="465C3D31" w14:textId="77777777" w:rsidR="009E69D0" w:rsidRPr="00A10A21" w:rsidRDefault="001A55EE">
      <w:pPr>
        <w:pStyle w:val="TOC3"/>
        <w:rPr>
          <w:rFonts w:eastAsiaTheme="minorEastAsia"/>
          <w:noProof/>
        </w:rPr>
      </w:pPr>
      <w:hyperlink w:anchor="_Toc86916055" w:history="1">
        <w:r w:rsidR="009E69D0" w:rsidRPr="00A10A21">
          <w:rPr>
            <w:rStyle w:val="Hyperlink"/>
            <w:noProof/>
            <w:u w:val="none"/>
            <w:lang w:val="mk-MK"/>
          </w:rPr>
          <w:t>4.1.1.</w:t>
        </w:r>
        <w:r w:rsidR="009E69D0" w:rsidRPr="00A10A21">
          <w:rPr>
            <w:rFonts w:eastAsiaTheme="minorEastAsia"/>
            <w:noProof/>
          </w:rPr>
          <w:tab/>
        </w:r>
        <w:r w:rsidR="009E69D0" w:rsidRPr="00A10A21">
          <w:rPr>
            <w:rStyle w:val="Hyperlink"/>
            <w:noProof/>
            <w:u w:val="none"/>
            <w:lang w:val="mk-MK"/>
          </w:rPr>
          <w:t>Универзитет „Св. Кирил и Методиј“ - Скопје (УКИМ)</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_Toc86916055 \h </w:instrText>
        </w:r>
        <w:r w:rsidR="00C50642" w:rsidRPr="00A10A21">
          <w:rPr>
            <w:noProof/>
            <w:webHidden/>
          </w:rPr>
        </w:r>
        <w:r w:rsidR="00C50642" w:rsidRPr="00A10A21">
          <w:rPr>
            <w:noProof/>
            <w:webHidden/>
          </w:rPr>
          <w:fldChar w:fldCharType="separate"/>
        </w:r>
        <w:r w:rsidR="00FD62CC" w:rsidRPr="00A10A21">
          <w:rPr>
            <w:noProof/>
            <w:webHidden/>
          </w:rPr>
          <w:t>21</w:t>
        </w:r>
        <w:r w:rsidR="00C50642" w:rsidRPr="00A10A21">
          <w:rPr>
            <w:noProof/>
            <w:webHidden/>
          </w:rPr>
          <w:fldChar w:fldCharType="end"/>
        </w:r>
      </w:hyperlink>
    </w:p>
    <w:p w14:paraId="5BA46E32" w14:textId="77777777" w:rsidR="009E69D0" w:rsidRPr="00A10A21" w:rsidRDefault="001A55EE">
      <w:pPr>
        <w:pStyle w:val="TOC3"/>
        <w:rPr>
          <w:rFonts w:eastAsiaTheme="minorEastAsia"/>
          <w:noProof/>
        </w:rPr>
      </w:pPr>
      <w:hyperlink w:anchor="_Toc86916056" w:history="1">
        <w:r w:rsidR="009E69D0" w:rsidRPr="00A10A21">
          <w:rPr>
            <w:rStyle w:val="Hyperlink"/>
            <w:noProof/>
            <w:u w:val="none"/>
            <w:lang w:val="mk-MK"/>
          </w:rPr>
          <w:t>4.1.2.</w:t>
        </w:r>
        <w:r w:rsidR="009E69D0" w:rsidRPr="00A10A21">
          <w:rPr>
            <w:rFonts w:eastAsiaTheme="minorEastAsia"/>
            <w:noProof/>
          </w:rPr>
          <w:tab/>
        </w:r>
        <w:r w:rsidR="009E69D0" w:rsidRPr="00A10A21">
          <w:rPr>
            <w:rStyle w:val="Hyperlink"/>
            <w:noProof/>
            <w:u w:val="none"/>
            <w:lang w:val="mk-MK"/>
          </w:rPr>
          <w:t>Универзитет „Гоце Делчев“</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_Toc86916056 \h </w:instrText>
        </w:r>
        <w:r w:rsidR="00C50642" w:rsidRPr="00A10A21">
          <w:rPr>
            <w:noProof/>
            <w:webHidden/>
          </w:rPr>
        </w:r>
        <w:r w:rsidR="00C50642" w:rsidRPr="00A10A21">
          <w:rPr>
            <w:noProof/>
            <w:webHidden/>
          </w:rPr>
          <w:fldChar w:fldCharType="separate"/>
        </w:r>
        <w:r w:rsidR="00FD62CC" w:rsidRPr="00A10A21">
          <w:rPr>
            <w:noProof/>
            <w:webHidden/>
          </w:rPr>
          <w:t>42</w:t>
        </w:r>
        <w:r w:rsidR="00C50642" w:rsidRPr="00A10A21">
          <w:rPr>
            <w:noProof/>
            <w:webHidden/>
          </w:rPr>
          <w:fldChar w:fldCharType="end"/>
        </w:r>
      </w:hyperlink>
    </w:p>
    <w:p w14:paraId="4E24557F" w14:textId="77777777" w:rsidR="009E69D0" w:rsidRPr="00A10A21" w:rsidRDefault="001A55EE">
      <w:pPr>
        <w:pStyle w:val="TOC3"/>
        <w:rPr>
          <w:rFonts w:eastAsiaTheme="minorEastAsia"/>
          <w:noProof/>
        </w:rPr>
      </w:pPr>
      <w:hyperlink w:anchor="_Toc86916057" w:history="1">
        <w:r w:rsidR="009E69D0" w:rsidRPr="00A10A21">
          <w:rPr>
            <w:rStyle w:val="Hyperlink"/>
            <w:noProof/>
            <w:u w:val="none"/>
            <w:lang w:val="mk-MK"/>
          </w:rPr>
          <w:t>4.1.3.</w:t>
        </w:r>
        <w:r w:rsidR="009E69D0" w:rsidRPr="00A10A21">
          <w:rPr>
            <w:rFonts w:eastAsiaTheme="minorEastAsia"/>
            <w:noProof/>
          </w:rPr>
          <w:tab/>
        </w:r>
        <w:r w:rsidR="009E69D0" w:rsidRPr="00A10A21">
          <w:rPr>
            <w:rStyle w:val="Hyperlink"/>
            <w:noProof/>
            <w:u w:val="none"/>
            <w:lang w:val="mk-MK"/>
          </w:rPr>
          <w:t>Универзитет „Свети Климент Охридски“ – Битола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_Toc86916057 \h </w:instrText>
        </w:r>
        <w:r w:rsidR="00C50642" w:rsidRPr="00A10A21">
          <w:rPr>
            <w:noProof/>
            <w:webHidden/>
          </w:rPr>
        </w:r>
        <w:r w:rsidR="00C50642" w:rsidRPr="00A10A21">
          <w:rPr>
            <w:noProof/>
            <w:webHidden/>
          </w:rPr>
          <w:fldChar w:fldCharType="separate"/>
        </w:r>
        <w:r w:rsidR="00FD62CC" w:rsidRPr="00A10A21">
          <w:rPr>
            <w:noProof/>
            <w:webHidden/>
          </w:rPr>
          <w:t>44</w:t>
        </w:r>
        <w:r w:rsidR="00C50642" w:rsidRPr="00A10A21">
          <w:rPr>
            <w:noProof/>
            <w:webHidden/>
          </w:rPr>
          <w:fldChar w:fldCharType="end"/>
        </w:r>
      </w:hyperlink>
    </w:p>
    <w:p w14:paraId="62F0C11A" w14:textId="77777777" w:rsidR="009E69D0" w:rsidRPr="00A10A21" w:rsidRDefault="001A55EE">
      <w:pPr>
        <w:pStyle w:val="TOC3"/>
        <w:rPr>
          <w:rFonts w:eastAsiaTheme="minorEastAsia"/>
          <w:noProof/>
        </w:rPr>
      </w:pPr>
      <w:hyperlink w:anchor="_Toc86916058" w:history="1">
        <w:r w:rsidR="009E69D0" w:rsidRPr="00A10A21">
          <w:rPr>
            <w:rStyle w:val="Hyperlink"/>
            <w:noProof/>
            <w:u w:val="none"/>
            <w:lang w:val="mk-MK"/>
          </w:rPr>
          <w:t>4.1.4.</w:t>
        </w:r>
        <w:r w:rsidR="009E69D0" w:rsidRPr="00A10A21">
          <w:rPr>
            <w:rFonts w:eastAsiaTheme="minorEastAsia"/>
            <w:noProof/>
          </w:rPr>
          <w:tab/>
        </w:r>
        <w:r w:rsidR="009E69D0" w:rsidRPr="00A10A21">
          <w:rPr>
            <w:rStyle w:val="Hyperlink"/>
            <w:noProof/>
            <w:u w:val="none"/>
            <w:lang w:val="mk-MK"/>
          </w:rPr>
          <w:t>Универзитет „Мајка Тереза“ - Скопје</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_Toc86916058 \h </w:instrText>
        </w:r>
        <w:r w:rsidR="00C50642" w:rsidRPr="00A10A21">
          <w:rPr>
            <w:noProof/>
            <w:webHidden/>
          </w:rPr>
        </w:r>
        <w:r w:rsidR="00C50642" w:rsidRPr="00A10A21">
          <w:rPr>
            <w:noProof/>
            <w:webHidden/>
          </w:rPr>
          <w:fldChar w:fldCharType="separate"/>
        </w:r>
        <w:r w:rsidR="00FD62CC" w:rsidRPr="00A10A21">
          <w:rPr>
            <w:noProof/>
            <w:webHidden/>
          </w:rPr>
          <w:t>48</w:t>
        </w:r>
        <w:r w:rsidR="00C50642" w:rsidRPr="00A10A21">
          <w:rPr>
            <w:noProof/>
            <w:webHidden/>
          </w:rPr>
          <w:fldChar w:fldCharType="end"/>
        </w:r>
      </w:hyperlink>
    </w:p>
    <w:p w14:paraId="492CE5BA" w14:textId="77777777" w:rsidR="009E69D0" w:rsidRPr="00A10A21" w:rsidRDefault="001A55EE">
      <w:pPr>
        <w:pStyle w:val="TOC3"/>
        <w:rPr>
          <w:rFonts w:eastAsiaTheme="minorEastAsia"/>
          <w:noProof/>
        </w:rPr>
      </w:pPr>
      <w:hyperlink w:anchor="_Toc86916059" w:history="1">
        <w:r w:rsidR="009E69D0" w:rsidRPr="00A10A21">
          <w:rPr>
            <w:rStyle w:val="Hyperlink"/>
            <w:noProof/>
            <w:u w:val="none"/>
            <w:lang w:val="mk-MK"/>
          </w:rPr>
          <w:t>4.1.5.</w:t>
        </w:r>
        <w:r w:rsidR="009E69D0" w:rsidRPr="00A10A21">
          <w:rPr>
            <w:rFonts w:eastAsiaTheme="minorEastAsia"/>
            <w:noProof/>
          </w:rPr>
          <w:tab/>
        </w:r>
        <w:r w:rsidR="009E69D0" w:rsidRPr="00A10A21">
          <w:rPr>
            <w:rStyle w:val="Hyperlink"/>
            <w:noProof/>
            <w:u w:val="none"/>
            <w:lang w:val="mk-MK"/>
          </w:rPr>
          <w:t>Институт за современи композити и роботика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_Toc86916059 \h </w:instrText>
        </w:r>
        <w:r w:rsidR="00C50642" w:rsidRPr="00A10A21">
          <w:rPr>
            <w:noProof/>
            <w:webHidden/>
          </w:rPr>
        </w:r>
        <w:r w:rsidR="00C50642" w:rsidRPr="00A10A21">
          <w:rPr>
            <w:noProof/>
            <w:webHidden/>
          </w:rPr>
          <w:fldChar w:fldCharType="separate"/>
        </w:r>
        <w:r w:rsidR="00FD62CC" w:rsidRPr="00A10A21">
          <w:rPr>
            <w:noProof/>
            <w:webHidden/>
          </w:rPr>
          <w:t>49</w:t>
        </w:r>
        <w:r w:rsidR="00C50642" w:rsidRPr="00A10A21">
          <w:rPr>
            <w:noProof/>
            <w:webHidden/>
          </w:rPr>
          <w:fldChar w:fldCharType="end"/>
        </w:r>
      </w:hyperlink>
    </w:p>
    <w:p w14:paraId="5A75DDE5" w14:textId="77777777" w:rsidR="009E69D0" w:rsidRPr="00A10A21" w:rsidRDefault="001A55EE">
      <w:pPr>
        <w:pStyle w:val="TOC3"/>
        <w:rPr>
          <w:rFonts w:eastAsiaTheme="minorEastAsia"/>
          <w:noProof/>
        </w:rPr>
      </w:pPr>
      <w:hyperlink w:anchor="_Toc86916060" w:history="1">
        <w:r w:rsidR="009E69D0" w:rsidRPr="00A10A21">
          <w:rPr>
            <w:rStyle w:val="Hyperlink"/>
            <w:noProof/>
            <w:u w:val="none"/>
            <w:lang w:val="mk-MK"/>
          </w:rPr>
          <w:t>4.1.6.</w:t>
        </w:r>
        <w:r w:rsidR="009E69D0" w:rsidRPr="00A10A21">
          <w:rPr>
            <w:rFonts w:eastAsiaTheme="minorEastAsia"/>
            <w:noProof/>
          </w:rPr>
          <w:tab/>
        </w:r>
        <w:r w:rsidR="009E69D0" w:rsidRPr="00A10A21">
          <w:rPr>
            <w:rStyle w:val="Hyperlink"/>
            <w:noProof/>
            <w:u w:val="none"/>
            <w:lang w:val="mk-MK"/>
          </w:rPr>
          <w:t>Универзитет на Југоисточна Европа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_Toc86916060 \h </w:instrText>
        </w:r>
        <w:r w:rsidR="00C50642" w:rsidRPr="00A10A21">
          <w:rPr>
            <w:noProof/>
            <w:webHidden/>
          </w:rPr>
        </w:r>
        <w:r w:rsidR="00C50642" w:rsidRPr="00A10A21">
          <w:rPr>
            <w:noProof/>
            <w:webHidden/>
          </w:rPr>
          <w:fldChar w:fldCharType="separate"/>
        </w:r>
        <w:r w:rsidR="00FD62CC" w:rsidRPr="00A10A21">
          <w:rPr>
            <w:noProof/>
            <w:webHidden/>
          </w:rPr>
          <w:t>49</w:t>
        </w:r>
        <w:r w:rsidR="00C50642" w:rsidRPr="00A10A21">
          <w:rPr>
            <w:noProof/>
            <w:webHidden/>
          </w:rPr>
          <w:fldChar w:fldCharType="end"/>
        </w:r>
      </w:hyperlink>
    </w:p>
    <w:p w14:paraId="76CE8569" w14:textId="77777777" w:rsidR="009E69D0" w:rsidRPr="00A10A21" w:rsidRDefault="001A55EE">
      <w:pPr>
        <w:pStyle w:val="TOC2"/>
        <w:rPr>
          <w:rFonts w:eastAsiaTheme="minorEastAsia"/>
          <w:noProof/>
        </w:rPr>
      </w:pPr>
      <w:hyperlink w:anchor="_Toc86916061" w:history="1">
        <w:r w:rsidR="009E69D0" w:rsidRPr="00A10A21">
          <w:rPr>
            <w:rStyle w:val="Hyperlink"/>
            <w:noProof/>
            <w:u w:val="none"/>
            <w:shd w:val="clear" w:color="auto" w:fill="FFFFFF"/>
            <w:lang w:val="mk-MK"/>
          </w:rPr>
          <w:t>4.2. Политика за пристап</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_Toc86916061 \h </w:instrText>
        </w:r>
        <w:r w:rsidR="00C50642" w:rsidRPr="00A10A21">
          <w:rPr>
            <w:noProof/>
            <w:webHidden/>
          </w:rPr>
        </w:r>
        <w:r w:rsidR="00C50642" w:rsidRPr="00A10A21">
          <w:rPr>
            <w:noProof/>
            <w:webHidden/>
          </w:rPr>
          <w:fldChar w:fldCharType="separate"/>
        </w:r>
        <w:r w:rsidR="00FD62CC" w:rsidRPr="00A10A21">
          <w:rPr>
            <w:noProof/>
            <w:webHidden/>
          </w:rPr>
          <w:t>53</w:t>
        </w:r>
        <w:r w:rsidR="00C50642" w:rsidRPr="00A10A21">
          <w:rPr>
            <w:noProof/>
            <w:webHidden/>
          </w:rPr>
          <w:fldChar w:fldCharType="end"/>
        </w:r>
      </w:hyperlink>
    </w:p>
    <w:p w14:paraId="6BE10A92" w14:textId="77777777" w:rsidR="009E69D0" w:rsidRPr="00A10A21" w:rsidRDefault="001A55EE">
      <w:pPr>
        <w:pStyle w:val="TOC2"/>
        <w:rPr>
          <w:rFonts w:eastAsiaTheme="minorEastAsia"/>
          <w:noProof/>
        </w:rPr>
      </w:pPr>
      <w:hyperlink w:anchor="_Toc86916062" w:history="1">
        <w:r w:rsidR="009E69D0" w:rsidRPr="00A10A21">
          <w:rPr>
            <w:rStyle w:val="Hyperlink"/>
            <w:noProof/>
            <w:u w:val="none"/>
            <w:lang w:val="mk-MK"/>
          </w:rPr>
          <w:t>4.3.</w:t>
        </w:r>
        <w:r w:rsidR="009E69D0" w:rsidRPr="00A10A21">
          <w:rPr>
            <w:rFonts w:eastAsiaTheme="minorEastAsia"/>
            <w:noProof/>
          </w:rPr>
          <w:tab/>
        </w:r>
        <w:r w:rsidR="009E69D0" w:rsidRPr="00A10A21">
          <w:rPr>
            <w:rStyle w:val="Hyperlink"/>
            <w:noProof/>
            <w:u w:val="none"/>
            <w:lang w:val="mk-MK"/>
          </w:rPr>
          <w:t>Истражувачка инфраструктура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_Toc86916062 \h </w:instrText>
        </w:r>
        <w:r w:rsidR="00C50642" w:rsidRPr="00A10A21">
          <w:rPr>
            <w:noProof/>
            <w:webHidden/>
          </w:rPr>
        </w:r>
        <w:r w:rsidR="00C50642" w:rsidRPr="00A10A21">
          <w:rPr>
            <w:noProof/>
            <w:webHidden/>
          </w:rPr>
          <w:fldChar w:fldCharType="separate"/>
        </w:r>
        <w:r w:rsidR="00FD62CC" w:rsidRPr="00A10A21">
          <w:rPr>
            <w:noProof/>
            <w:webHidden/>
          </w:rPr>
          <w:t>56</w:t>
        </w:r>
        <w:r w:rsidR="00C50642" w:rsidRPr="00A10A21">
          <w:rPr>
            <w:noProof/>
            <w:webHidden/>
          </w:rPr>
          <w:fldChar w:fldCharType="end"/>
        </w:r>
      </w:hyperlink>
    </w:p>
    <w:p w14:paraId="335F85F1" w14:textId="77777777" w:rsidR="009E69D0" w:rsidRPr="00A10A21" w:rsidRDefault="001A55EE">
      <w:pPr>
        <w:pStyle w:val="TOC3"/>
        <w:rPr>
          <w:rFonts w:eastAsiaTheme="minorEastAsia"/>
          <w:noProof/>
        </w:rPr>
      </w:pPr>
      <w:hyperlink w:anchor="_Toc86916063" w:history="1">
        <w:r w:rsidR="009E69D0" w:rsidRPr="00A10A21">
          <w:rPr>
            <w:rStyle w:val="Hyperlink"/>
            <w:rFonts w:cstheme="minorHAnsi"/>
            <w:noProof/>
            <w:u w:val="none"/>
            <w:lang w:val="mk-MK"/>
          </w:rPr>
          <w:t>4.3.1.</w:t>
        </w:r>
        <w:r w:rsidR="009E69D0" w:rsidRPr="00A10A21">
          <w:rPr>
            <w:rFonts w:eastAsiaTheme="minorEastAsia"/>
            <w:noProof/>
          </w:rPr>
          <w:tab/>
        </w:r>
        <w:r w:rsidR="009E69D0" w:rsidRPr="00A10A21">
          <w:rPr>
            <w:rStyle w:val="Hyperlink"/>
            <w:rFonts w:cstheme="minorHAnsi"/>
            <w:noProof/>
            <w:u w:val="none"/>
            <w:lang w:val="mk-MK"/>
          </w:rPr>
          <w:t>Факултет за информатички науки и компјутерско инженерство, Универзитет „Св. Кирил и Методиј“ - Скопје</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_Toc86916063 \h </w:instrText>
        </w:r>
        <w:r w:rsidR="00C50642" w:rsidRPr="00A10A21">
          <w:rPr>
            <w:noProof/>
            <w:webHidden/>
          </w:rPr>
        </w:r>
        <w:r w:rsidR="00C50642" w:rsidRPr="00A10A21">
          <w:rPr>
            <w:noProof/>
            <w:webHidden/>
          </w:rPr>
          <w:fldChar w:fldCharType="separate"/>
        </w:r>
        <w:r w:rsidR="00FD62CC" w:rsidRPr="00A10A21">
          <w:rPr>
            <w:noProof/>
            <w:webHidden/>
          </w:rPr>
          <w:t>56</w:t>
        </w:r>
        <w:r w:rsidR="00C50642" w:rsidRPr="00A10A21">
          <w:rPr>
            <w:noProof/>
            <w:webHidden/>
          </w:rPr>
          <w:fldChar w:fldCharType="end"/>
        </w:r>
      </w:hyperlink>
    </w:p>
    <w:p w14:paraId="72A22E9D" w14:textId="453C977C" w:rsidR="009E69D0" w:rsidRPr="00A10A21" w:rsidRDefault="001A55EE">
      <w:pPr>
        <w:pStyle w:val="TOC3"/>
        <w:rPr>
          <w:rFonts w:eastAsiaTheme="minorEastAsia"/>
          <w:noProof/>
        </w:rPr>
      </w:pPr>
      <w:hyperlink w:anchor="_Toc86916064" w:history="1">
        <w:r w:rsidR="009E69D0" w:rsidRPr="00A10A21">
          <w:rPr>
            <w:rStyle w:val="Hyperlink"/>
            <w:noProof/>
            <w:u w:val="none"/>
            <w:lang w:val="mk-MK"/>
          </w:rPr>
          <w:t>4.3.2.</w:t>
        </w:r>
        <w:r w:rsidR="009E69D0" w:rsidRPr="00A10A21">
          <w:rPr>
            <w:rFonts w:eastAsiaTheme="minorEastAsia"/>
            <w:noProof/>
          </w:rPr>
          <w:tab/>
        </w:r>
        <w:r w:rsidR="009E69D0" w:rsidRPr="00A10A21">
          <w:rPr>
            <w:rStyle w:val="Hyperlink"/>
            <w:noProof/>
            <w:u w:val="none"/>
            <w:lang w:val="mk-MK"/>
          </w:rPr>
          <w:t xml:space="preserve">Национална академска истражувачка мрежа на </w:t>
        </w:r>
        <w:r w:rsidR="00417197" w:rsidRPr="00A10A21">
          <w:rPr>
            <w:rStyle w:val="Hyperlink"/>
            <w:noProof/>
            <w:u w:val="none"/>
            <w:lang w:val="mk-MK"/>
          </w:rPr>
          <w:t>Република Северна Македонија</w:t>
        </w:r>
        <w:r w:rsidR="009E69D0" w:rsidRPr="00A10A21">
          <w:rPr>
            <w:rStyle w:val="Hyperlink"/>
            <w:noProof/>
            <w:u w:val="none"/>
            <w:lang w:val="mk-MK"/>
          </w:rPr>
          <w:t xml:space="preserve"> – МАРНет</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_Toc86916064 \h </w:instrText>
        </w:r>
        <w:r w:rsidR="00C50642" w:rsidRPr="00A10A21">
          <w:rPr>
            <w:noProof/>
            <w:webHidden/>
          </w:rPr>
        </w:r>
        <w:r w:rsidR="00C50642" w:rsidRPr="00A10A21">
          <w:rPr>
            <w:noProof/>
            <w:webHidden/>
          </w:rPr>
          <w:fldChar w:fldCharType="separate"/>
        </w:r>
        <w:r w:rsidR="00FD62CC" w:rsidRPr="00A10A21">
          <w:rPr>
            <w:noProof/>
            <w:webHidden/>
          </w:rPr>
          <w:t>57</w:t>
        </w:r>
        <w:r w:rsidR="00C50642" w:rsidRPr="00A10A21">
          <w:rPr>
            <w:noProof/>
            <w:webHidden/>
          </w:rPr>
          <w:fldChar w:fldCharType="end"/>
        </w:r>
      </w:hyperlink>
    </w:p>
    <w:p w14:paraId="52E3227D" w14:textId="77777777" w:rsidR="009E69D0" w:rsidRPr="00A10A21" w:rsidRDefault="001A55EE">
      <w:pPr>
        <w:pStyle w:val="TOC3"/>
        <w:rPr>
          <w:rFonts w:eastAsiaTheme="minorEastAsia"/>
          <w:noProof/>
        </w:rPr>
      </w:pPr>
      <w:hyperlink w:anchor="_Toc86916065" w:history="1">
        <w:r w:rsidR="009E69D0" w:rsidRPr="00A10A21">
          <w:rPr>
            <w:rStyle w:val="Hyperlink"/>
            <w:noProof/>
            <w:u w:val="none"/>
            <w:lang w:val="mk-MK"/>
          </w:rPr>
          <w:t>4.3.3.</w:t>
        </w:r>
        <w:r w:rsidR="009E69D0" w:rsidRPr="00A10A21">
          <w:rPr>
            <w:rFonts w:eastAsiaTheme="minorEastAsia"/>
            <w:noProof/>
          </w:rPr>
          <w:tab/>
        </w:r>
        <w:r w:rsidR="009E69D0" w:rsidRPr="00A10A21">
          <w:rPr>
            <w:rStyle w:val="Hyperlink"/>
            <w:noProof/>
            <w:u w:val="none"/>
            <w:lang w:val="mk-MK"/>
          </w:rPr>
          <w:t>Мрежа COBISS.MK</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_Toc86916065 \h </w:instrText>
        </w:r>
        <w:r w:rsidR="00C50642" w:rsidRPr="00A10A21">
          <w:rPr>
            <w:noProof/>
            <w:webHidden/>
          </w:rPr>
        </w:r>
        <w:r w:rsidR="00C50642" w:rsidRPr="00A10A21">
          <w:rPr>
            <w:noProof/>
            <w:webHidden/>
          </w:rPr>
          <w:fldChar w:fldCharType="separate"/>
        </w:r>
        <w:r w:rsidR="00FD62CC" w:rsidRPr="00A10A21">
          <w:rPr>
            <w:noProof/>
            <w:webHidden/>
          </w:rPr>
          <w:t>57</w:t>
        </w:r>
        <w:r w:rsidR="00C50642" w:rsidRPr="00A10A21">
          <w:rPr>
            <w:noProof/>
            <w:webHidden/>
          </w:rPr>
          <w:fldChar w:fldCharType="end"/>
        </w:r>
      </w:hyperlink>
    </w:p>
    <w:p w14:paraId="6EAEED26" w14:textId="63BE7B52" w:rsidR="009E69D0" w:rsidRPr="00A10A21" w:rsidRDefault="001A55EE">
      <w:pPr>
        <w:pStyle w:val="TOC2"/>
        <w:rPr>
          <w:rFonts w:eastAsiaTheme="minorEastAsia"/>
          <w:noProof/>
        </w:rPr>
      </w:pPr>
      <w:hyperlink w:anchor="_Toc86916066" w:history="1">
        <w:r w:rsidR="009E69D0" w:rsidRPr="00A10A21">
          <w:rPr>
            <w:rStyle w:val="Hyperlink"/>
            <w:noProof/>
            <w:u w:val="none"/>
            <w:lang w:val="mk-MK"/>
          </w:rPr>
          <w:t>4.4.</w:t>
        </w:r>
        <w:r w:rsidR="009E69D0" w:rsidRPr="00A10A21">
          <w:rPr>
            <w:rFonts w:eastAsiaTheme="minorEastAsia"/>
            <w:noProof/>
          </w:rPr>
          <w:tab/>
        </w:r>
        <w:r w:rsidR="009E69D0" w:rsidRPr="00A10A21">
          <w:rPr>
            <w:rStyle w:val="Hyperlink"/>
            <w:noProof/>
            <w:u w:val="none"/>
            <w:lang w:val="mk-MK"/>
          </w:rPr>
          <w:t xml:space="preserve">Учество на институциите од </w:t>
        </w:r>
        <w:r w:rsidR="00417197" w:rsidRPr="00A10A21">
          <w:rPr>
            <w:rStyle w:val="Hyperlink"/>
            <w:noProof/>
            <w:u w:val="none"/>
            <w:lang w:val="mk-MK"/>
          </w:rPr>
          <w:t>Република Северна Македонија</w:t>
        </w:r>
        <w:r w:rsidR="009E69D0" w:rsidRPr="00A10A21">
          <w:rPr>
            <w:rStyle w:val="Hyperlink"/>
            <w:noProof/>
            <w:u w:val="none"/>
            <w:lang w:val="mk-MK"/>
          </w:rPr>
          <w:t xml:space="preserve"> во проекти за ИИ</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_Toc86916066 \h </w:instrText>
        </w:r>
        <w:r w:rsidR="00C50642" w:rsidRPr="00A10A21">
          <w:rPr>
            <w:noProof/>
            <w:webHidden/>
          </w:rPr>
        </w:r>
        <w:r w:rsidR="00C50642" w:rsidRPr="00A10A21">
          <w:rPr>
            <w:noProof/>
            <w:webHidden/>
          </w:rPr>
          <w:fldChar w:fldCharType="separate"/>
        </w:r>
        <w:r w:rsidR="00FD62CC" w:rsidRPr="00A10A21">
          <w:rPr>
            <w:noProof/>
            <w:webHidden/>
          </w:rPr>
          <w:t>59</w:t>
        </w:r>
        <w:r w:rsidR="00C50642" w:rsidRPr="00A10A21">
          <w:rPr>
            <w:noProof/>
            <w:webHidden/>
          </w:rPr>
          <w:fldChar w:fldCharType="end"/>
        </w:r>
      </w:hyperlink>
    </w:p>
    <w:p w14:paraId="47CCBF8B" w14:textId="77777777" w:rsidR="009E69D0" w:rsidRPr="00A10A21" w:rsidRDefault="001A55EE">
      <w:pPr>
        <w:pStyle w:val="TOC2"/>
        <w:rPr>
          <w:rFonts w:eastAsiaTheme="minorEastAsia"/>
          <w:noProof/>
        </w:rPr>
      </w:pPr>
      <w:hyperlink w:anchor="_Toc86916067" w:history="1">
        <w:r w:rsidR="009E69D0" w:rsidRPr="00A10A21">
          <w:rPr>
            <w:rStyle w:val="Hyperlink"/>
            <w:noProof/>
            <w:u w:val="none"/>
            <w:shd w:val="clear" w:color="auto" w:fill="FFFFFF"/>
            <w:lang w:val="mk-MK"/>
          </w:rPr>
          <w:t xml:space="preserve">4.5. Членство во Патоказот на </w:t>
        </w:r>
        <w:r w:rsidR="009E69D0" w:rsidRPr="00A10A21">
          <w:rPr>
            <w:rStyle w:val="Hyperlink"/>
            <w:noProof/>
            <w:u w:val="none"/>
            <w:shd w:val="clear" w:color="auto" w:fill="FFFFFF"/>
          </w:rPr>
          <w:t xml:space="preserve">ESFRI </w:t>
        </w:r>
        <w:r w:rsidR="009E69D0" w:rsidRPr="00A10A21">
          <w:rPr>
            <w:rStyle w:val="Hyperlink"/>
            <w:noProof/>
            <w:u w:val="none"/>
            <w:shd w:val="clear" w:color="auto" w:fill="FFFFFF"/>
            <w:lang w:val="mk-MK"/>
          </w:rPr>
          <w:t>и</w:t>
        </w:r>
        <w:r w:rsidR="00AC4281" w:rsidRPr="00A10A21">
          <w:rPr>
            <w:rStyle w:val="Hyperlink"/>
            <w:noProof/>
            <w:u w:val="none"/>
            <w:shd w:val="clear" w:color="auto" w:fill="FFFFFF"/>
            <w:lang w:val="mk-MK"/>
          </w:rPr>
          <w:t xml:space="preserve"> во</w:t>
        </w:r>
        <w:r w:rsidR="009E69D0" w:rsidRPr="00A10A21">
          <w:rPr>
            <w:rStyle w:val="Hyperlink"/>
            <w:noProof/>
            <w:u w:val="none"/>
            <w:shd w:val="clear" w:color="auto" w:fill="FFFFFF"/>
            <w:lang w:val="mk-MK"/>
          </w:rPr>
          <w:t xml:space="preserve"> други големи европски истражувачки инфраструктури</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_Toc86916067 \h </w:instrText>
        </w:r>
        <w:r w:rsidR="00C50642" w:rsidRPr="00A10A21">
          <w:rPr>
            <w:noProof/>
            <w:webHidden/>
          </w:rPr>
        </w:r>
        <w:r w:rsidR="00C50642" w:rsidRPr="00A10A21">
          <w:rPr>
            <w:noProof/>
            <w:webHidden/>
          </w:rPr>
          <w:fldChar w:fldCharType="separate"/>
        </w:r>
        <w:r w:rsidR="00FD62CC" w:rsidRPr="00A10A21">
          <w:rPr>
            <w:noProof/>
            <w:webHidden/>
          </w:rPr>
          <w:t>71</w:t>
        </w:r>
        <w:r w:rsidR="00C50642" w:rsidRPr="00A10A21">
          <w:rPr>
            <w:noProof/>
            <w:webHidden/>
          </w:rPr>
          <w:fldChar w:fldCharType="end"/>
        </w:r>
      </w:hyperlink>
    </w:p>
    <w:p w14:paraId="14DD1157" w14:textId="77777777" w:rsidR="009E69D0" w:rsidRPr="00A10A21" w:rsidRDefault="001A55EE">
      <w:pPr>
        <w:pStyle w:val="TOC3"/>
        <w:rPr>
          <w:rFonts w:eastAsiaTheme="minorEastAsia"/>
          <w:noProof/>
        </w:rPr>
      </w:pPr>
      <w:hyperlink w:anchor="_Toc86916068" w:history="1">
        <w:r w:rsidR="009E69D0" w:rsidRPr="00A10A21">
          <w:rPr>
            <w:rStyle w:val="Hyperlink"/>
            <w:noProof/>
            <w:u w:val="none"/>
            <w:lang w:val="mk-MK"/>
          </w:rPr>
          <w:t>METROFOOD-RI Инфраструктура за промовирање на метрологијата во</w:t>
        </w:r>
        <w:r w:rsidR="00C50642" w:rsidRPr="00A10A21">
          <w:rPr>
            <w:rStyle w:val="Hyperlink"/>
            <w:noProof/>
            <w:u w:val="none"/>
            <w:lang w:val="mk-MK"/>
          </w:rPr>
          <w:t xml:space="preserve"> областа на</w:t>
        </w:r>
        <w:r w:rsidR="009E69D0" w:rsidRPr="00A10A21">
          <w:rPr>
            <w:rStyle w:val="Hyperlink"/>
            <w:noProof/>
            <w:u w:val="none"/>
            <w:lang w:val="mk-MK"/>
          </w:rPr>
          <w:t xml:space="preserve"> храната и исхраната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_Toc86916068 \h </w:instrText>
        </w:r>
        <w:r w:rsidR="00C50642" w:rsidRPr="00A10A21">
          <w:rPr>
            <w:noProof/>
            <w:webHidden/>
          </w:rPr>
        </w:r>
        <w:r w:rsidR="00C50642" w:rsidRPr="00A10A21">
          <w:rPr>
            <w:noProof/>
            <w:webHidden/>
          </w:rPr>
          <w:fldChar w:fldCharType="separate"/>
        </w:r>
        <w:r w:rsidR="00FD62CC" w:rsidRPr="00A10A21">
          <w:rPr>
            <w:noProof/>
            <w:webHidden/>
          </w:rPr>
          <w:t>71</w:t>
        </w:r>
        <w:r w:rsidR="00C50642" w:rsidRPr="00A10A21">
          <w:rPr>
            <w:noProof/>
            <w:webHidden/>
          </w:rPr>
          <w:fldChar w:fldCharType="end"/>
        </w:r>
      </w:hyperlink>
    </w:p>
    <w:p w14:paraId="7FEEE1E9" w14:textId="77777777" w:rsidR="009E69D0" w:rsidRPr="00A10A21" w:rsidRDefault="001A55EE">
      <w:pPr>
        <w:pStyle w:val="TOC3"/>
        <w:rPr>
          <w:rFonts w:eastAsiaTheme="minorEastAsia"/>
          <w:noProof/>
        </w:rPr>
      </w:pPr>
      <w:hyperlink w:anchor="_Toc86916069" w:history="1">
        <w:r w:rsidR="009E69D0" w:rsidRPr="00A10A21">
          <w:rPr>
            <w:rStyle w:val="Hyperlink"/>
            <w:noProof/>
            <w:u w:val="none"/>
            <w:lang w:val="mk-MK"/>
          </w:rPr>
          <w:t>Паневропска мрежа GEANT</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_Toc86916069 \h </w:instrText>
        </w:r>
        <w:r w:rsidR="00C50642" w:rsidRPr="00A10A21">
          <w:rPr>
            <w:noProof/>
            <w:webHidden/>
          </w:rPr>
        </w:r>
        <w:r w:rsidR="00C50642" w:rsidRPr="00A10A21">
          <w:rPr>
            <w:noProof/>
            <w:webHidden/>
          </w:rPr>
          <w:fldChar w:fldCharType="separate"/>
        </w:r>
        <w:r w:rsidR="00FD62CC" w:rsidRPr="00A10A21">
          <w:rPr>
            <w:noProof/>
            <w:webHidden/>
          </w:rPr>
          <w:t>72</w:t>
        </w:r>
        <w:r w:rsidR="00C50642" w:rsidRPr="00A10A21">
          <w:rPr>
            <w:noProof/>
            <w:webHidden/>
          </w:rPr>
          <w:fldChar w:fldCharType="end"/>
        </w:r>
      </w:hyperlink>
    </w:p>
    <w:p w14:paraId="0A5DA767" w14:textId="77777777" w:rsidR="009E69D0" w:rsidRPr="00A10A21" w:rsidRDefault="001A55EE">
      <w:pPr>
        <w:pStyle w:val="TOC3"/>
        <w:rPr>
          <w:rFonts w:eastAsiaTheme="minorEastAsia"/>
          <w:noProof/>
        </w:rPr>
      </w:pPr>
      <w:hyperlink w:anchor="_Toc86916070" w:history="1">
        <w:r w:rsidR="009E69D0" w:rsidRPr="00A10A21">
          <w:rPr>
            <w:rStyle w:val="Hyperlink"/>
            <w:noProof/>
            <w:u w:val="none"/>
            <w:lang w:val="mk-MK"/>
          </w:rPr>
          <w:t>Асоцијација EOSC – Европски облак за отворена наука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_Toc86916070 \h </w:instrText>
        </w:r>
        <w:r w:rsidR="00C50642" w:rsidRPr="00A10A21">
          <w:rPr>
            <w:noProof/>
            <w:webHidden/>
          </w:rPr>
        </w:r>
        <w:r w:rsidR="00C50642" w:rsidRPr="00A10A21">
          <w:rPr>
            <w:noProof/>
            <w:webHidden/>
          </w:rPr>
          <w:fldChar w:fldCharType="separate"/>
        </w:r>
        <w:r w:rsidR="00FD62CC" w:rsidRPr="00A10A21">
          <w:rPr>
            <w:noProof/>
            <w:webHidden/>
          </w:rPr>
          <w:t>72</w:t>
        </w:r>
        <w:r w:rsidR="00C50642" w:rsidRPr="00A10A21">
          <w:rPr>
            <w:noProof/>
            <w:webHidden/>
          </w:rPr>
          <w:fldChar w:fldCharType="end"/>
        </w:r>
      </w:hyperlink>
    </w:p>
    <w:p w14:paraId="45EBC25B" w14:textId="7F4F532B" w:rsidR="009E69D0" w:rsidRPr="00A10A21" w:rsidRDefault="001A55EE">
      <w:pPr>
        <w:pStyle w:val="TOC3"/>
        <w:rPr>
          <w:rFonts w:eastAsiaTheme="minorEastAsia"/>
          <w:noProof/>
        </w:rPr>
      </w:pPr>
      <w:hyperlink w:anchor="_Toc86916071" w:history="1">
        <w:r w:rsidR="009E69D0" w:rsidRPr="00A10A21">
          <w:rPr>
            <w:rStyle w:val="Hyperlink"/>
            <w:noProof/>
            <w:u w:val="none"/>
            <w:lang w:val="mk-MK"/>
          </w:rPr>
          <w:t>CEESDA</w:t>
        </w:r>
        <w:r w:rsidR="009E69D0" w:rsidRPr="00A10A21">
          <w:rPr>
            <w:noProof/>
            <w:webHidden/>
          </w:rPr>
          <w:tab/>
        </w:r>
        <w:r w:rsidR="002A107F" w:rsidRPr="00A10A21">
          <w:rPr>
            <w:noProof/>
            <w:webHidden/>
          </w:rPr>
          <w:t>………………………………………………………………………………………………………………………………….</w:t>
        </w:r>
        <w:r w:rsidR="00C50642" w:rsidRPr="00A10A21">
          <w:rPr>
            <w:noProof/>
            <w:webHidden/>
          </w:rPr>
          <w:fldChar w:fldCharType="begin"/>
        </w:r>
        <w:r w:rsidR="009E69D0" w:rsidRPr="00A10A21">
          <w:rPr>
            <w:noProof/>
            <w:webHidden/>
          </w:rPr>
          <w:instrText xml:space="preserve"> PAGEREF _Toc86916071 \h </w:instrText>
        </w:r>
        <w:r w:rsidR="00C50642" w:rsidRPr="00A10A21">
          <w:rPr>
            <w:noProof/>
            <w:webHidden/>
          </w:rPr>
        </w:r>
        <w:r w:rsidR="00C50642" w:rsidRPr="00A10A21">
          <w:rPr>
            <w:noProof/>
            <w:webHidden/>
          </w:rPr>
          <w:fldChar w:fldCharType="separate"/>
        </w:r>
        <w:r w:rsidR="00FD62CC" w:rsidRPr="00A10A21">
          <w:rPr>
            <w:noProof/>
            <w:webHidden/>
          </w:rPr>
          <w:t>73</w:t>
        </w:r>
        <w:r w:rsidR="00C50642" w:rsidRPr="00A10A21">
          <w:rPr>
            <w:noProof/>
            <w:webHidden/>
          </w:rPr>
          <w:fldChar w:fldCharType="end"/>
        </w:r>
      </w:hyperlink>
    </w:p>
    <w:p w14:paraId="008BEFC9" w14:textId="77777777" w:rsidR="009E69D0" w:rsidRPr="00A10A21" w:rsidRDefault="001A55EE">
      <w:pPr>
        <w:pStyle w:val="TOC3"/>
        <w:rPr>
          <w:rFonts w:eastAsiaTheme="minorEastAsia"/>
          <w:noProof/>
        </w:rPr>
      </w:pPr>
      <w:hyperlink w:anchor="_Toc86916072" w:history="1">
        <w:r w:rsidR="009E69D0" w:rsidRPr="00A10A21">
          <w:rPr>
            <w:rStyle w:val="Hyperlink"/>
            <w:noProof/>
            <w:u w:val="none"/>
            <w:lang w:val="mk-MK"/>
          </w:rPr>
          <w:t>EGI: Напредно компјутерско пресметување за истражувања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_Toc86916072 \h </w:instrText>
        </w:r>
        <w:r w:rsidR="00C50642" w:rsidRPr="00A10A21">
          <w:rPr>
            <w:noProof/>
            <w:webHidden/>
          </w:rPr>
        </w:r>
        <w:r w:rsidR="00C50642" w:rsidRPr="00A10A21">
          <w:rPr>
            <w:noProof/>
            <w:webHidden/>
          </w:rPr>
          <w:fldChar w:fldCharType="separate"/>
        </w:r>
        <w:r w:rsidR="00FD62CC" w:rsidRPr="00A10A21">
          <w:rPr>
            <w:noProof/>
            <w:webHidden/>
          </w:rPr>
          <w:t>73</w:t>
        </w:r>
        <w:r w:rsidR="00C50642" w:rsidRPr="00A10A21">
          <w:rPr>
            <w:noProof/>
            <w:webHidden/>
          </w:rPr>
          <w:fldChar w:fldCharType="end"/>
        </w:r>
      </w:hyperlink>
    </w:p>
    <w:p w14:paraId="137A9384" w14:textId="77777777" w:rsidR="009E69D0" w:rsidRPr="00A10A21" w:rsidRDefault="001A55EE">
      <w:pPr>
        <w:pStyle w:val="TOC3"/>
        <w:rPr>
          <w:rFonts w:eastAsiaTheme="minorEastAsia"/>
          <w:noProof/>
        </w:rPr>
      </w:pPr>
      <w:hyperlink w:anchor="_Toc86916073" w:history="1">
        <w:r w:rsidR="009E69D0" w:rsidRPr="00A10A21">
          <w:rPr>
            <w:rStyle w:val="Hyperlink"/>
            <w:noProof/>
            <w:u w:val="none"/>
            <w:lang w:val="mk-MK"/>
          </w:rPr>
          <w:t>OpenAIRE</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_Toc86916073 \h </w:instrText>
        </w:r>
        <w:r w:rsidR="00C50642" w:rsidRPr="00A10A21">
          <w:rPr>
            <w:noProof/>
            <w:webHidden/>
          </w:rPr>
        </w:r>
        <w:r w:rsidR="00C50642" w:rsidRPr="00A10A21">
          <w:rPr>
            <w:noProof/>
            <w:webHidden/>
          </w:rPr>
          <w:fldChar w:fldCharType="separate"/>
        </w:r>
        <w:r w:rsidR="00FD62CC" w:rsidRPr="00A10A21">
          <w:rPr>
            <w:noProof/>
            <w:webHidden/>
          </w:rPr>
          <w:t>74</w:t>
        </w:r>
        <w:r w:rsidR="00C50642" w:rsidRPr="00A10A21">
          <w:rPr>
            <w:noProof/>
            <w:webHidden/>
          </w:rPr>
          <w:fldChar w:fldCharType="end"/>
        </w:r>
      </w:hyperlink>
    </w:p>
    <w:p w14:paraId="6079E9D9" w14:textId="77777777" w:rsidR="009E69D0" w:rsidRPr="00A10A21" w:rsidRDefault="001A55EE">
      <w:pPr>
        <w:pStyle w:val="TOC3"/>
        <w:rPr>
          <w:rFonts w:eastAsiaTheme="minorEastAsia"/>
          <w:noProof/>
        </w:rPr>
      </w:pPr>
      <w:hyperlink w:anchor="_Toc86916074" w:history="1">
        <w:r w:rsidR="009E69D0" w:rsidRPr="00A10A21">
          <w:rPr>
            <w:rStyle w:val="Hyperlink"/>
            <w:noProof/>
            <w:u w:val="none"/>
            <w:lang w:val="mk-MK"/>
          </w:rPr>
          <w:t>EuroHPC JU</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_Toc86916074 \h </w:instrText>
        </w:r>
        <w:r w:rsidR="00C50642" w:rsidRPr="00A10A21">
          <w:rPr>
            <w:noProof/>
            <w:webHidden/>
          </w:rPr>
        </w:r>
        <w:r w:rsidR="00C50642" w:rsidRPr="00A10A21">
          <w:rPr>
            <w:noProof/>
            <w:webHidden/>
          </w:rPr>
          <w:fldChar w:fldCharType="separate"/>
        </w:r>
        <w:r w:rsidR="00FD62CC" w:rsidRPr="00A10A21">
          <w:rPr>
            <w:noProof/>
            <w:webHidden/>
          </w:rPr>
          <w:t>74</w:t>
        </w:r>
        <w:r w:rsidR="00C50642" w:rsidRPr="00A10A21">
          <w:rPr>
            <w:noProof/>
            <w:webHidden/>
          </w:rPr>
          <w:fldChar w:fldCharType="end"/>
        </w:r>
      </w:hyperlink>
    </w:p>
    <w:p w14:paraId="400D0655" w14:textId="77777777" w:rsidR="009E69D0" w:rsidRPr="00A10A21" w:rsidRDefault="001A55EE">
      <w:pPr>
        <w:pStyle w:val="TOC3"/>
        <w:rPr>
          <w:rFonts w:eastAsiaTheme="minorEastAsia"/>
          <w:noProof/>
        </w:rPr>
      </w:pPr>
      <w:hyperlink w:anchor="_Toc86916075" w:history="1">
        <w:r w:rsidR="009E69D0" w:rsidRPr="00A10A21">
          <w:rPr>
            <w:rStyle w:val="Hyperlink"/>
            <w:noProof/>
            <w:u w:val="none"/>
            <w:lang w:val="mk-MK"/>
          </w:rPr>
          <w:t>ESS - Европско општествено истражување</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_Toc86916075 \h </w:instrText>
        </w:r>
        <w:r w:rsidR="00C50642" w:rsidRPr="00A10A21">
          <w:rPr>
            <w:noProof/>
            <w:webHidden/>
          </w:rPr>
        </w:r>
        <w:r w:rsidR="00C50642" w:rsidRPr="00A10A21">
          <w:rPr>
            <w:noProof/>
            <w:webHidden/>
          </w:rPr>
          <w:fldChar w:fldCharType="separate"/>
        </w:r>
        <w:r w:rsidR="00FD62CC" w:rsidRPr="00A10A21">
          <w:rPr>
            <w:noProof/>
            <w:webHidden/>
          </w:rPr>
          <w:t>75</w:t>
        </w:r>
        <w:r w:rsidR="00C50642" w:rsidRPr="00A10A21">
          <w:rPr>
            <w:noProof/>
            <w:webHidden/>
          </w:rPr>
          <w:fldChar w:fldCharType="end"/>
        </w:r>
      </w:hyperlink>
    </w:p>
    <w:p w14:paraId="4EB8BA9A" w14:textId="77777777" w:rsidR="009E69D0" w:rsidRPr="00A10A21" w:rsidRDefault="001A55EE">
      <w:pPr>
        <w:pStyle w:val="TOC3"/>
        <w:rPr>
          <w:rFonts w:eastAsiaTheme="minorEastAsia"/>
          <w:noProof/>
        </w:rPr>
      </w:pPr>
      <w:hyperlink w:anchor="_Toc86916076" w:history="1">
        <w:r w:rsidR="009E69D0" w:rsidRPr="00A10A21">
          <w:rPr>
            <w:rStyle w:val="Hyperlink"/>
            <w:rFonts w:eastAsia="Calibri" w:cstheme="minorHAnsi"/>
            <w:noProof/>
            <w:u w:val="none"/>
            <w:lang w:val="mk-MK"/>
          </w:rPr>
          <w:t>SEEIST- Меѓународен институт за одржливи технологии на Југоисточна Европа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_Toc86916076 \h </w:instrText>
        </w:r>
        <w:r w:rsidR="00C50642" w:rsidRPr="00A10A21">
          <w:rPr>
            <w:noProof/>
            <w:webHidden/>
          </w:rPr>
        </w:r>
        <w:r w:rsidR="00C50642" w:rsidRPr="00A10A21">
          <w:rPr>
            <w:noProof/>
            <w:webHidden/>
          </w:rPr>
          <w:fldChar w:fldCharType="separate"/>
        </w:r>
        <w:r w:rsidR="00FD62CC" w:rsidRPr="00A10A21">
          <w:rPr>
            <w:noProof/>
            <w:webHidden/>
          </w:rPr>
          <w:t>76</w:t>
        </w:r>
        <w:r w:rsidR="00C50642" w:rsidRPr="00A10A21">
          <w:rPr>
            <w:noProof/>
            <w:webHidden/>
          </w:rPr>
          <w:fldChar w:fldCharType="end"/>
        </w:r>
      </w:hyperlink>
    </w:p>
    <w:p w14:paraId="1FDB89FA" w14:textId="77777777" w:rsidR="009E69D0" w:rsidRPr="00A10A21" w:rsidRDefault="001A55EE">
      <w:pPr>
        <w:pStyle w:val="TOC1"/>
        <w:tabs>
          <w:tab w:val="left" w:pos="440"/>
          <w:tab w:val="right" w:leader="dot" w:pos="9062"/>
        </w:tabs>
        <w:rPr>
          <w:rFonts w:eastAsiaTheme="minorEastAsia"/>
          <w:noProof/>
        </w:rPr>
      </w:pPr>
      <w:hyperlink w:anchor="_Toc86916077" w:history="1">
        <w:r w:rsidR="009E69D0" w:rsidRPr="00A10A21">
          <w:rPr>
            <w:rStyle w:val="Hyperlink"/>
            <w:noProof/>
            <w:u w:val="none"/>
            <w:lang w:val="mk-MK"/>
          </w:rPr>
          <w:t>5.</w:t>
        </w:r>
        <w:r w:rsidR="009E69D0" w:rsidRPr="00A10A21">
          <w:rPr>
            <w:rFonts w:eastAsiaTheme="minorEastAsia"/>
            <w:noProof/>
          </w:rPr>
          <w:tab/>
        </w:r>
        <w:r w:rsidR="009E69D0" w:rsidRPr="00A10A21">
          <w:rPr>
            <w:rStyle w:val="Hyperlink"/>
            <w:noProof/>
            <w:u w:val="none"/>
            <w:shd w:val="clear" w:color="auto" w:fill="FFFFFF"/>
            <w:lang w:val="mk-MK"/>
          </w:rPr>
          <w:t>Заклучни напомени и препораки за политики</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_Toc86916077 \h </w:instrText>
        </w:r>
        <w:r w:rsidR="00C50642" w:rsidRPr="00A10A21">
          <w:rPr>
            <w:noProof/>
            <w:webHidden/>
          </w:rPr>
        </w:r>
        <w:r w:rsidR="00C50642" w:rsidRPr="00A10A21">
          <w:rPr>
            <w:noProof/>
            <w:webHidden/>
          </w:rPr>
          <w:fldChar w:fldCharType="separate"/>
        </w:r>
        <w:r w:rsidR="00FD62CC" w:rsidRPr="00A10A21">
          <w:rPr>
            <w:noProof/>
            <w:webHidden/>
          </w:rPr>
          <w:t>77</w:t>
        </w:r>
        <w:r w:rsidR="00C50642" w:rsidRPr="00A10A21">
          <w:rPr>
            <w:noProof/>
            <w:webHidden/>
          </w:rPr>
          <w:fldChar w:fldCharType="end"/>
        </w:r>
      </w:hyperlink>
    </w:p>
    <w:p w14:paraId="4449021A" w14:textId="77777777" w:rsidR="009E69D0" w:rsidRPr="00A10A21" w:rsidRDefault="001A55EE">
      <w:pPr>
        <w:pStyle w:val="TOC1"/>
        <w:tabs>
          <w:tab w:val="right" w:leader="dot" w:pos="9062"/>
        </w:tabs>
        <w:rPr>
          <w:rFonts w:eastAsiaTheme="minorEastAsia"/>
          <w:noProof/>
        </w:rPr>
      </w:pPr>
      <w:hyperlink w:anchor="_Toc86916078" w:history="1">
        <w:r w:rsidR="009E69D0" w:rsidRPr="00A10A21">
          <w:rPr>
            <w:rStyle w:val="Hyperlink"/>
            <w:rFonts w:cstheme="minorHAnsi"/>
            <w:noProof/>
            <w:u w:val="none"/>
            <w:lang w:val="mk-MK"/>
          </w:rPr>
          <w:t>ПРИЛОГ 1: Список на капитална опрема со набавна цена повисока од 50.000 евра</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_Toc86916078 \h </w:instrText>
        </w:r>
        <w:r w:rsidR="00C50642" w:rsidRPr="00A10A21">
          <w:rPr>
            <w:noProof/>
            <w:webHidden/>
          </w:rPr>
        </w:r>
        <w:r w:rsidR="00C50642" w:rsidRPr="00A10A21">
          <w:rPr>
            <w:noProof/>
            <w:webHidden/>
          </w:rPr>
          <w:fldChar w:fldCharType="separate"/>
        </w:r>
        <w:r w:rsidR="00FD62CC" w:rsidRPr="00A10A21">
          <w:rPr>
            <w:noProof/>
            <w:webHidden/>
          </w:rPr>
          <w:t>81</w:t>
        </w:r>
        <w:r w:rsidR="00C50642" w:rsidRPr="00A10A21">
          <w:rPr>
            <w:noProof/>
            <w:webHidden/>
          </w:rPr>
          <w:fldChar w:fldCharType="end"/>
        </w:r>
      </w:hyperlink>
    </w:p>
    <w:p w14:paraId="3FE287D2" w14:textId="77777777" w:rsidR="009E69D0" w:rsidRPr="00A10A21" w:rsidRDefault="001A55EE">
      <w:pPr>
        <w:pStyle w:val="TOC1"/>
        <w:tabs>
          <w:tab w:val="right" w:leader="dot" w:pos="9062"/>
        </w:tabs>
        <w:rPr>
          <w:rFonts w:eastAsiaTheme="minorEastAsia"/>
          <w:noProof/>
        </w:rPr>
      </w:pPr>
      <w:hyperlink w:anchor="_Toc86916079" w:history="1">
        <w:r w:rsidR="009E69D0" w:rsidRPr="00A10A21">
          <w:rPr>
            <w:rStyle w:val="Hyperlink"/>
            <w:rFonts w:cstheme="minorHAnsi"/>
            <w:noProof/>
            <w:u w:val="none"/>
            <w:lang w:val="mk-MK"/>
          </w:rPr>
          <w:t>ПРИЛОГ 2: Анкетен прашалник</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_Toc86916079 \h </w:instrText>
        </w:r>
        <w:r w:rsidR="00C50642" w:rsidRPr="00A10A21">
          <w:rPr>
            <w:noProof/>
            <w:webHidden/>
          </w:rPr>
        </w:r>
        <w:r w:rsidR="00C50642" w:rsidRPr="00A10A21">
          <w:rPr>
            <w:noProof/>
            <w:webHidden/>
          </w:rPr>
          <w:fldChar w:fldCharType="separate"/>
        </w:r>
        <w:r w:rsidR="00FD62CC" w:rsidRPr="00A10A21">
          <w:rPr>
            <w:noProof/>
            <w:webHidden/>
          </w:rPr>
          <w:t>89</w:t>
        </w:r>
        <w:r w:rsidR="00C50642" w:rsidRPr="00A10A21">
          <w:rPr>
            <w:noProof/>
            <w:webHidden/>
          </w:rPr>
          <w:fldChar w:fldCharType="end"/>
        </w:r>
      </w:hyperlink>
    </w:p>
    <w:p w14:paraId="70815E19" w14:textId="77777777" w:rsidR="009E69D0" w:rsidRPr="00A10A21" w:rsidRDefault="001A55EE">
      <w:pPr>
        <w:pStyle w:val="TOC1"/>
        <w:tabs>
          <w:tab w:val="right" w:leader="dot" w:pos="9062"/>
        </w:tabs>
        <w:rPr>
          <w:rFonts w:eastAsiaTheme="minorEastAsia"/>
          <w:noProof/>
        </w:rPr>
      </w:pPr>
      <w:hyperlink w:anchor="_Toc86916080" w:history="1">
        <w:r w:rsidR="009E69D0" w:rsidRPr="00A10A21">
          <w:rPr>
            <w:rStyle w:val="Hyperlink"/>
            <w:rFonts w:cstheme="minorHAnsi"/>
            <w:noProof/>
            <w:u w:val="none"/>
            <w:lang w:val="mk-MK"/>
          </w:rPr>
          <w:t>ПРИЛОГ 3: Детални упатства за пополнување на прашалникот</w:t>
        </w:r>
        <w:r w:rsidR="009E69D0" w:rsidRPr="00A10A21">
          <w:rPr>
            <w:noProof/>
            <w:webHidden/>
          </w:rPr>
          <w:tab/>
        </w:r>
        <w:r w:rsidR="00C50642" w:rsidRPr="00A10A21">
          <w:rPr>
            <w:noProof/>
            <w:webHidden/>
          </w:rPr>
          <w:fldChar w:fldCharType="begin"/>
        </w:r>
        <w:r w:rsidR="009E69D0" w:rsidRPr="00A10A21">
          <w:rPr>
            <w:noProof/>
            <w:webHidden/>
          </w:rPr>
          <w:instrText xml:space="preserve"> PAGEREF _Toc86916080 \h </w:instrText>
        </w:r>
        <w:r w:rsidR="00C50642" w:rsidRPr="00A10A21">
          <w:rPr>
            <w:noProof/>
            <w:webHidden/>
          </w:rPr>
        </w:r>
        <w:r w:rsidR="00C50642" w:rsidRPr="00A10A21">
          <w:rPr>
            <w:noProof/>
            <w:webHidden/>
          </w:rPr>
          <w:fldChar w:fldCharType="separate"/>
        </w:r>
        <w:r w:rsidR="00FD62CC" w:rsidRPr="00A10A21">
          <w:rPr>
            <w:noProof/>
            <w:webHidden/>
          </w:rPr>
          <w:t>93</w:t>
        </w:r>
        <w:r w:rsidR="00C50642" w:rsidRPr="00A10A21">
          <w:rPr>
            <w:noProof/>
            <w:webHidden/>
          </w:rPr>
          <w:fldChar w:fldCharType="end"/>
        </w:r>
      </w:hyperlink>
    </w:p>
    <w:p w14:paraId="2E03EAFB" w14:textId="77777777" w:rsidR="007947BF" w:rsidRPr="008662BF" w:rsidRDefault="00C50642" w:rsidP="007947BF">
      <w:pPr>
        <w:spacing w:after="0"/>
        <w:rPr>
          <w:sz w:val="2"/>
          <w:lang w:val="mk-MK"/>
        </w:rPr>
      </w:pPr>
      <w:r w:rsidRPr="00A10A21">
        <w:rPr>
          <w:lang w:val="mk-MK"/>
        </w:rPr>
        <w:fldChar w:fldCharType="end"/>
      </w:r>
    </w:p>
    <w:p w14:paraId="675A696F" w14:textId="77777777" w:rsidR="007947BF" w:rsidRPr="008662BF" w:rsidRDefault="007947BF" w:rsidP="007947BF">
      <w:pPr>
        <w:rPr>
          <w:shd w:val="clear" w:color="auto" w:fill="FFFFFF"/>
          <w:lang w:val="mk-MK"/>
        </w:rPr>
      </w:pPr>
      <w:bookmarkStart w:id="2" w:name="_Toc61096321"/>
    </w:p>
    <w:p w14:paraId="128BC7C1" w14:textId="77777777" w:rsidR="007947BF" w:rsidRPr="008662BF" w:rsidRDefault="007947BF" w:rsidP="007947BF">
      <w:pPr>
        <w:rPr>
          <w:shd w:val="clear" w:color="auto" w:fill="FFFFFF"/>
          <w:lang w:val="mk-MK"/>
        </w:rPr>
      </w:pPr>
    </w:p>
    <w:p w14:paraId="177AF754" w14:textId="77777777" w:rsidR="007947BF" w:rsidRPr="008662BF" w:rsidRDefault="007947BF" w:rsidP="007947BF">
      <w:pPr>
        <w:rPr>
          <w:shd w:val="clear" w:color="auto" w:fill="FFFFFF"/>
          <w:lang w:val="mk-MK"/>
        </w:rPr>
      </w:pPr>
    </w:p>
    <w:p w14:paraId="636F1E8A" w14:textId="77777777" w:rsidR="007947BF" w:rsidRPr="008662BF" w:rsidRDefault="007947BF" w:rsidP="007947BF">
      <w:pPr>
        <w:rPr>
          <w:shd w:val="clear" w:color="auto" w:fill="FFFFFF"/>
          <w:lang w:val="mk-MK"/>
        </w:rPr>
      </w:pPr>
    </w:p>
    <w:p w14:paraId="38F389D9" w14:textId="77777777" w:rsidR="007947BF" w:rsidRPr="008662BF" w:rsidRDefault="007947BF" w:rsidP="007947BF">
      <w:pPr>
        <w:rPr>
          <w:shd w:val="clear" w:color="auto" w:fill="FFFFFF"/>
          <w:lang w:val="mk-MK"/>
        </w:rPr>
      </w:pPr>
    </w:p>
    <w:p w14:paraId="71FC0B04" w14:textId="77777777" w:rsidR="007947BF" w:rsidRPr="008662BF" w:rsidRDefault="007947BF" w:rsidP="007947BF">
      <w:pPr>
        <w:rPr>
          <w:shd w:val="clear" w:color="auto" w:fill="FFFFFF"/>
          <w:lang w:val="mk-MK"/>
        </w:rPr>
      </w:pPr>
    </w:p>
    <w:p w14:paraId="6D3F99B4" w14:textId="77777777" w:rsidR="007947BF" w:rsidRPr="008662BF" w:rsidRDefault="007947BF" w:rsidP="007947BF">
      <w:pPr>
        <w:rPr>
          <w:shd w:val="clear" w:color="auto" w:fill="FFFFFF"/>
          <w:lang w:val="mk-MK"/>
        </w:rPr>
      </w:pPr>
    </w:p>
    <w:p w14:paraId="3BF874F8" w14:textId="77777777" w:rsidR="007947BF" w:rsidRPr="008662BF" w:rsidRDefault="007947BF" w:rsidP="007947BF">
      <w:pPr>
        <w:rPr>
          <w:shd w:val="clear" w:color="auto" w:fill="FFFFFF"/>
          <w:lang w:val="mk-MK"/>
        </w:rPr>
      </w:pPr>
    </w:p>
    <w:p w14:paraId="45AC1B32" w14:textId="77777777" w:rsidR="007947BF" w:rsidRPr="008662BF" w:rsidRDefault="007947BF" w:rsidP="007947BF">
      <w:pPr>
        <w:rPr>
          <w:shd w:val="clear" w:color="auto" w:fill="FFFFFF"/>
          <w:lang w:val="mk-MK"/>
        </w:rPr>
      </w:pPr>
    </w:p>
    <w:p w14:paraId="769C237A" w14:textId="77777777" w:rsidR="007947BF" w:rsidRPr="008662BF" w:rsidRDefault="007947BF" w:rsidP="007947BF">
      <w:pPr>
        <w:rPr>
          <w:shd w:val="clear" w:color="auto" w:fill="FFFFFF"/>
          <w:lang w:val="mk-MK"/>
        </w:rPr>
      </w:pPr>
    </w:p>
    <w:p w14:paraId="5F0A091D" w14:textId="77777777" w:rsidR="007947BF" w:rsidRPr="008662BF" w:rsidRDefault="007947BF" w:rsidP="007947BF">
      <w:pPr>
        <w:rPr>
          <w:shd w:val="clear" w:color="auto" w:fill="FFFFFF"/>
          <w:lang w:val="mk-MK"/>
        </w:rPr>
      </w:pPr>
    </w:p>
    <w:p w14:paraId="1F0C78E0" w14:textId="77777777" w:rsidR="007947BF" w:rsidRPr="008662BF" w:rsidRDefault="007947BF" w:rsidP="007947BF">
      <w:pPr>
        <w:rPr>
          <w:shd w:val="clear" w:color="auto" w:fill="FFFFFF"/>
          <w:lang w:val="mk-MK"/>
        </w:rPr>
      </w:pPr>
    </w:p>
    <w:p w14:paraId="3C85ECF6" w14:textId="77777777" w:rsidR="007947BF" w:rsidRPr="008662BF" w:rsidRDefault="007947BF" w:rsidP="007947BF">
      <w:pPr>
        <w:rPr>
          <w:shd w:val="clear" w:color="auto" w:fill="FFFFFF"/>
          <w:lang w:val="mk-MK"/>
        </w:rPr>
      </w:pPr>
    </w:p>
    <w:p w14:paraId="78E06D0F" w14:textId="77777777" w:rsidR="007947BF" w:rsidRPr="008662BF" w:rsidRDefault="007947BF" w:rsidP="007947BF">
      <w:pPr>
        <w:rPr>
          <w:shd w:val="clear" w:color="auto" w:fill="FFFFFF"/>
          <w:lang w:val="mk-MK"/>
        </w:rPr>
      </w:pPr>
    </w:p>
    <w:p w14:paraId="54C4D488" w14:textId="77777777" w:rsidR="007947BF" w:rsidRPr="008662BF" w:rsidRDefault="007947BF" w:rsidP="007947BF">
      <w:pPr>
        <w:rPr>
          <w:shd w:val="clear" w:color="auto" w:fill="FFFFFF"/>
          <w:lang w:val="mk-MK"/>
        </w:rPr>
      </w:pPr>
    </w:p>
    <w:p w14:paraId="1E1A3775" w14:textId="77777777" w:rsidR="007947BF" w:rsidRPr="008662BF" w:rsidRDefault="007947BF" w:rsidP="007947BF">
      <w:pPr>
        <w:rPr>
          <w:shd w:val="clear" w:color="auto" w:fill="FFFFFF"/>
          <w:lang w:val="mk-MK"/>
        </w:rPr>
      </w:pPr>
    </w:p>
    <w:p w14:paraId="6ECE3302" w14:textId="77777777" w:rsidR="007947BF" w:rsidRPr="008662BF" w:rsidRDefault="007947BF" w:rsidP="007947BF">
      <w:pPr>
        <w:rPr>
          <w:shd w:val="clear" w:color="auto" w:fill="FFFFFF"/>
          <w:lang w:val="mk-MK"/>
        </w:rPr>
      </w:pPr>
    </w:p>
    <w:p w14:paraId="7787B3B5" w14:textId="77777777" w:rsidR="007947BF" w:rsidRPr="008662BF" w:rsidRDefault="007947BF" w:rsidP="007947BF">
      <w:pPr>
        <w:rPr>
          <w:shd w:val="clear" w:color="auto" w:fill="FFFFFF"/>
          <w:lang w:val="mk-MK"/>
        </w:rPr>
      </w:pPr>
    </w:p>
    <w:p w14:paraId="2C061AD2" w14:textId="77777777" w:rsidR="007947BF" w:rsidRPr="008662BF" w:rsidRDefault="007947BF" w:rsidP="007947BF">
      <w:pPr>
        <w:rPr>
          <w:shd w:val="clear" w:color="auto" w:fill="FFFFFF"/>
          <w:lang w:val="mk-MK"/>
        </w:rPr>
      </w:pPr>
    </w:p>
    <w:p w14:paraId="013FABB5" w14:textId="77777777" w:rsidR="007947BF" w:rsidRPr="008662BF" w:rsidRDefault="007947BF" w:rsidP="007947BF">
      <w:pPr>
        <w:rPr>
          <w:rFonts w:eastAsiaTheme="majorEastAsia" w:cstheme="majorBidi"/>
          <w:b/>
          <w:bCs/>
          <w:color w:val="365F91" w:themeColor="accent1" w:themeShade="BF"/>
          <w:sz w:val="28"/>
          <w:szCs w:val="28"/>
          <w:shd w:val="clear" w:color="auto" w:fill="FFFFFF"/>
          <w:lang w:val="mk-MK"/>
        </w:rPr>
      </w:pPr>
      <w:r w:rsidRPr="008662BF">
        <w:rPr>
          <w:shd w:val="clear" w:color="auto" w:fill="FFFFFF"/>
          <w:lang w:val="mk-MK"/>
        </w:rPr>
        <w:br w:type="page"/>
      </w:r>
    </w:p>
    <w:p w14:paraId="02AAE1D3" w14:textId="77777777" w:rsidR="007947BF" w:rsidRPr="008662BF" w:rsidRDefault="00BB06AC" w:rsidP="007947BF">
      <w:pPr>
        <w:pStyle w:val="Heading1"/>
        <w:spacing w:after="240"/>
        <w:rPr>
          <w:rFonts w:asciiTheme="minorHAnsi" w:hAnsiTheme="minorHAnsi"/>
          <w:shd w:val="clear" w:color="auto" w:fill="FFFFFF"/>
          <w:lang w:val="mk-MK"/>
        </w:rPr>
      </w:pPr>
      <w:bookmarkStart w:id="3" w:name="_Toc86916043"/>
      <w:r>
        <w:rPr>
          <w:rFonts w:asciiTheme="minorHAnsi" w:hAnsiTheme="minorHAnsi"/>
          <w:shd w:val="clear" w:color="auto" w:fill="FFFFFF"/>
          <w:lang w:val="mk-MK"/>
        </w:rPr>
        <w:lastRenderedPageBreak/>
        <w:t>Скратеници</w:t>
      </w:r>
      <w:bookmarkEnd w:id="3"/>
    </w:p>
    <w:p w14:paraId="70A60F6D" w14:textId="77C04AE2" w:rsidR="004B2677" w:rsidRPr="00BB06AC" w:rsidRDefault="004B2677" w:rsidP="004B2677">
      <w:pPr>
        <w:spacing w:after="0"/>
        <w:rPr>
          <w:shd w:val="clear" w:color="auto" w:fill="FFFFFF"/>
          <w:lang w:val="mk-MK"/>
        </w:rPr>
      </w:pPr>
      <w:r w:rsidRPr="00BB06AC">
        <w:rPr>
          <w:shd w:val="clear" w:color="auto" w:fill="FFFFFF"/>
          <w:lang w:val="mk-MK"/>
        </w:rPr>
        <w:t>CESAER - Конференција на европски училишта за напредно инженерско образование и истражување</w:t>
      </w:r>
    </w:p>
    <w:p w14:paraId="2DAAC1A5" w14:textId="140FB171" w:rsidR="004B2677" w:rsidRPr="00BB06AC" w:rsidRDefault="004B2677" w:rsidP="004B2677">
      <w:pPr>
        <w:spacing w:after="0"/>
        <w:rPr>
          <w:shd w:val="clear" w:color="auto" w:fill="FFFFFF"/>
          <w:lang w:val="mk-MK"/>
        </w:rPr>
      </w:pPr>
      <w:r w:rsidRPr="00BB06AC">
        <w:rPr>
          <w:shd w:val="clear" w:color="auto" w:fill="FFFFFF"/>
          <w:lang w:val="mk-MK"/>
        </w:rPr>
        <w:t>CESSDA - Конзорциум на европски архиви на податоци од општествените науки</w:t>
      </w:r>
    </w:p>
    <w:p w14:paraId="0AD3979C" w14:textId="6C92E89A" w:rsidR="004B2677" w:rsidRPr="00EB6210" w:rsidRDefault="004B2677" w:rsidP="004B2677">
      <w:pPr>
        <w:spacing w:after="0"/>
        <w:rPr>
          <w:shd w:val="clear" w:color="auto" w:fill="FFFFFF"/>
          <w:lang w:val="mk-MK"/>
        </w:rPr>
      </w:pPr>
      <w:r w:rsidRPr="00BB06AC">
        <w:rPr>
          <w:shd w:val="clear" w:color="auto" w:fill="FFFFFF"/>
          <w:lang w:val="mk-MK"/>
        </w:rPr>
        <w:t>CSIC - Шпански национален совет за истражување</w:t>
      </w:r>
    </w:p>
    <w:p w14:paraId="726BE5C7" w14:textId="70F2C597" w:rsidR="004B2677" w:rsidRPr="00BB06AC" w:rsidRDefault="004B2677" w:rsidP="004B2677">
      <w:pPr>
        <w:spacing w:after="0"/>
        <w:rPr>
          <w:shd w:val="clear" w:color="auto" w:fill="FFFFFF"/>
          <w:lang w:val="mk-MK"/>
        </w:rPr>
      </w:pPr>
      <w:r w:rsidRPr="00BB06AC">
        <w:rPr>
          <w:shd w:val="clear" w:color="auto" w:fill="FFFFFF"/>
          <w:lang w:val="mk-MK"/>
        </w:rPr>
        <w:t>E-CRIS - Информациски системи за истражувачката дејност</w:t>
      </w:r>
    </w:p>
    <w:p w14:paraId="305B06A5" w14:textId="6E0276BC" w:rsidR="004B2677" w:rsidRPr="00BB06AC" w:rsidRDefault="00AD38D0" w:rsidP="004B2677">
      <w:pPr>
        <w:spacing w:after="0"/>
        <w:rPr>
          <w:shd w:val="clear" w:color="auto" w:fill="FFFFFF"/>
          <w:lang w:val="mk-MK"/>
        </w:rPr>
      </w:pPr>
      <w:r w:rsidRPr="00BB06AC">
        <w:rPr>
          <w:shd w:val="clear" w:color="auto" w:fill="FFFFFF"/>
          <w:lang w:val="mk-MK"/>
        </w:rPr>
        <w:t xml:space="preserve">EOSC </w:t>
      </w:r>
      <w:r w:rsidR="004B2677" w:rsidRPr="00BB06AC">
        <w:rPr>
          <w:shd w:val="clear" w:color="auto" w:fill="FFFFFF"/>
          <w:lang w:val="mk-MK"/>
        </w:rPr>
        <w:t>- Европски о</w:t>
      </w:r>
      <w:r w:rsidRPr="00BB06AC">
        <w:rPr>
          <w:shd w:val="clear" w:color="auto" w:fill="FFFFFF"/>
          <w:lang w:val="mk-MK"/>
        </w:rPr>
        <w:t xml:space="preserve">блак за отворена наука </w:t>
      </w:r>
    </w:p>
    <w:p w14:paraId="2F1AAB74" w14:textId="254B3F4D" w:rsidR="004B2677" w:rsidRPr="00BB06AC" w:rsidRDefault="004B2677" w:rsidP="004B2677">
      <w:pPr>
        <w:spacing w:after="0"/>
        <w:rPr>
          <w:shd w:val="clear" w:color="auto" w:fill="FFFFFF"/>
          <w:lang w:val="mk-MK"/>
        </w:rPr>
      </w:pPr>
      <w:r w:rsidRPr="00BB06AC">
        <w:rPr>
          <w:shd w:val="clear" w:color="auto" w:fill="FFFFFF"/>
          <w:lang w:val="mk-MK"/>
        </w:rPr>
        <w:t>Е</w:t>
      </w:r>
      <w:r w:rsidR="00F12829" w:rsidRPr="00BB06AC">
        <w:rPr>
          <w:shd w:val="clear" w:color="auto" w:fill="FFFFFF"/>
          <w:lang w:val="mk-MK"/>
        </w:rPr>
        <w:t xml:space="preserve">RA </w:t>
      </w:r>
      <w:r w:rsidRPr="00BB06AC">
        <w:rPr>
          <w:shd w:val="clear" w:color="auto" w:fill="FFFFFF"/>
          <w:lang w:val="mk-MK"/>
        </w:rPr>
        <w:t>- Европска истражува</w:t>
      </w:r>
      <w:r w:rsidR="00171C0C" w:rsidRPr="00BB06AC">
        <w:rPr>
          <w:shd w:val="clear" w:color="auto" w:fill="FFFFFF"/>
          <w:lang w:val="mk-MK"/>
        </w:rPr>
        <w:t>чка област</w:t>
      </w:r>
    </w:p>
    <w:p w14:paraId="2D304DDE" w14:textId="54231BDA" w:rsidR="004B2677" w:rsidRPr="00BB06AC" w:rsidRDefault="004B2677" w:rsidP="004B2677">
      <w:pPr>
        <w:spacing w:after="0"/>
        <w:rPr>
          <w:shd w:val="clear" w:color="auto" w:fill="FFFFFF"/>
          <w:lang w:val="mk-MK"/>
        </w:rPr>
      </w:pPr>
      <w:r w:rsidRPr="00BB06AC">
        <w:rPr>
          <w:shd w:val="clear" w:color="auto" w:fill="FFFFFF"/>
          <w:lang w:val="mk-MK"/>
        </w:rPr>
        <w:t>ERIC - Европски конзорциум за истражувачка инфраструктура</w:t>
      </w:r>
    </w:p>
    <w:p w14:paraId="3128177D" w14:textId="2AF34638" w:rsidR="004B2677" w:rsidRPr="00BB06AC" w:rsidRDefault="004B2677" w:rsidP="004B2677">
      <w:pPr>
        <w:spacing w:after="0"/>
        <w:rPr>
          <w:shd w:val="clear" w:color="auto" w:fill="FFFFFF"/>
          <w:lang w:val="mk-MK"/>
        </w:rPr>
      </w:pPr>
      <w:r w:rsidRPr="00BB06AC">
        <w:rPr>
          <w:shd w:val="clear" w:color="auto" w:fill="FFFFFF"/>
          <w:lang w:val="mk-MK"/>
        </w:rPr>
        <w:t>ESFRI - Европски стратешки форум за истражувачки инфраструктури</w:t>
      </w:r>
    </w:p>
    <w:p w14:paraId="6A19E814" w14:textId="14F0DA07" w:rsidR="00BA5ED4" w:rsidRPr="000B7B03" w:rsidRDefault="00BB06AC" w:rsidP="00BA5ED4">
      <w:pPr>
        <w:spacing w:after="0"/>
        <w:rPr>
          <w:shd w:val="clear" w:color="auto" w:fill="FFFFFF"/>
          <w:lang w:val="mk-MK"/>
        </w:rPr>
      </w:pPr>
      <w:r w:rsidRPr="00BB06AC">
        <w:rPr>
          <w:shd w:val="clear" w:color="auto" w:fill="FFFFFF"/>
        </w:rPr>
        <w:t xml:space="preserve">ESS </w:t>
      </w:r>
      <w:r w:rsidR="00BA5ED4" w:rsidRPr="00BB06AC">
        <w:rPr>
          <w:shd w:val="clear" w:color="auto" w:fill="FFFFFF"/>
          <w:lang w:val="mk-MK"/>
        </w:rPr>
        <w:t>- Европско општествено истражување</w:t>
      </w:r>
    </w:p>
    <w:p w14:paraId="7EE94704" w14:textId="12C6782F" w:rsidR="00BA5ED4" w:rsidRPr="00BB06AC" w:rsidRDefault="00BA5ED4" w:rsidP="00BA5ED4">
      <w:pPr>
        <w:spacing w:after="0"/>
        <w:rPr>
          <w:shd w:val="clear" w:color="auto" w:fill="FFFFFF"/>
          <w:lang w:val="mk-MK"/>
        </w:rPr>
      </w:pPr>
      <w:r w:rsidRPr="00BB06AC">
        <w:rPr>
          <w:shd w:val="clear" w:color="auto" w:fill="FFFFFF"/>
          <w:lang w:val="mk-MK"/>
        </w:rPr>
        <w:t xml:space="preserve">EuroHPC JU </w:t>
      </w:r>
      <w:r w:rsidR="00BB06AC" w:rsidRPr="00BB06AC">
        <w:rPr>
          <w:shd w:val="clear" w:color="auto" w:fill="FFFFFF"/>
          <w:lang w:val="mk-MK"/>
        </w:rPr>
        <w:t>–Европско з</w:t>
      </w:r>
      <w:r w:rsidRPr="00BB06AC">
        <w:rPr>
          <w:shd w:val="clear" w:color="auto" w:fill="FFFFFF"/>
          <w:lang w:val="mk-MK"/>
        </w:rPr>
        <w:t>аедничко претпријатие за пр</w:t>
      </w:r>
      <w:r w:rsidR="00BB06AC" w:rsidRPr="00BB06AC">
        <w:rPr>
          <w:shd w:val="clear" w:color="auto" w:fill="FFFFFF"/>
          <w:lang w:val="mk-MK"/>
        </w:rPr>
        <w:t xml:space="preserve">есметување </w:t>
      </w:r>
      <w:r w:rsidRPr="00BB06AC">
        <w:rPr>
          <w:shd w:val="clear" w:color="auto" w:fill="FFFFFF"/>
          <w:lang w:val="mk-MK"/>
        </w:rPr>
        <w:t>со високи перформанси</w:t>
      </w:r>
    </w:p>
    <w:p w14:paraId="5656590A" w14:textId="77777777" w:rsidR="00BA5ED4" w:rsidRPr="00BB06AC" w:rsidRDefault="00BA5ED4" w:rsidP="00BA5ED4">
      <w:pPr>
        <w:spacing w:after="0"/>
        <w:rPr>
          <w:shd w:val="clear" w:color="auto" w:fill="FFFFFF"/>
          <w:lang w:val="mk-MK"/>
        </w:rPr>
      </w:pPr>
      <w:r w:rsidRPr="00BB06AC">
        <w:rPr>
          <w:shd w:val="clear" w:color="auto" w:fill="FFFFFF"/>
          <w:lang w:val="mk-MK"/>
        </w:rPr>
        <w:t>ФЗНХ - Факултет за земјоделски науки и храна</w:t>
      </w:r>
    </w:p>
    <w:p w14:paraId="49A2C6C0" w14:textId="77777777" w:rsidR="00BA5ED4" w:rsidRPr="00BB06AC" w:rsidRDefault="00BA5ED4" w:rsidP="00BA5ED4">
      <w:pPr>
        <w:spacing w:after="0"/>
        <w:rPr>
          <w:shd w:val="clear" w:color="auto" w:fill="FFFFFF"/>
          <w:lang w:val="mk-MK"/>
        </w:rPr>
      </w:pPr>
      <w:r w:rsidRPr="00BB06AC">
        <w:rPr>
          <w:shd w:val="clear" w:color="auto" w:fill="FFFFFF"/>
          <w:lang w:val="mk-MK"/>
        </w:rPr>
        <w:t>ФИНКИ - Факултет за информатички науки и компјутерско инженерство</w:t>
      </w:r>
    </w:p>
    <w:p w14:paraId="04AF7FBB" w14:textId="77777777" w:rsidR="00BA5ED4" w:rsidRPr="00BB06AC" w:rsidRDefault="00BA5ED4" w:rsidP="00BA5ED4">
      <w:pPr>
        <w:spacing w:after="0"/>
        <w:rPr>
          <w:shd w:val="clear" w:color="auto" w:fill="FFFFFF"/>
          <w:lang w:val="mk-MK"/>
        </w:rPr>
      </w:pPr>
      <w:r w:rsidRPr="00BB06AC">
        <w:rPr>
          <w:shd w:val="clear" w:color="auto" w:fill="FFFFFF"/>
          <w:lang w:val="mk-MK"/>
        </w:rPr>
        <w:t>ФЕИТ - Факултет за електротехника и информациски технологии</w:t>
      </w:r>
    </w:p>
    <w:p w14:paraId="5BC3E374" w14:textId="7D0592A6" w:rsidR="00BA5ED4" w:rsidRPr="00BB06AC" w:rsidRDefault="00AD38D0" w:rsidP="00BA5ED4">
      <w:pPr>
        <w:spacing w:after="0"/>
        <w:rPr>
          <w:shd w:val="clear" w:color="auto" w:fill="FFFFFF"/>
          <w:lang w:val="mk-MK"/>
        </w:rPr>
      </w:pPr>
      <w:r w:rsidRPr="00BB06AC">
        <w:rPr>
          <w:shd w:val="clear" w:color="auto" w:fill="FFFFFF"/>
          <w:lang w:val="mk-MK"/>
        </w:rPr>
        <w:t>FP</w:t>
      </w:r>
      <w:r w:rsidR="00BA5ED4" w:rsidRPr="00BB06AC">
        <w:rPr>
          <w:shd w:val="clear" w:color="auto" w:fill="FFFFFF"/>
          <w:lang w:val="mk-MK"/>
        </w:rPr>
        <w:t>7 - Седма рамковна програма</w:t>
      </w:r>
    </w:p>
    <w:p w14:paraId="04F9ADAA" w14:textId="70BAB609" w:rsidR="00BA5ED4" w:rsidRPr="000B7B03" w:rsidRDefault="006B0BC7" w:rsidP="00BA5ED4">
      <w:pPr>
        <w:spacing w:after="0"/>
        <w:rPr>
          <w:shd w:val="clear" w:color="auto" w:fill="FFFFFF"/>
          <w:lang w:val="mk-MK"/>
        </w:rPr>
      </w:pPr>
      <w:r w:rsidRPr="00BB06AC">
        <w:rPr>
          <w:shd w:val="clear" w:color="auto" w:fill="FFFFFF"/>
        </w:rPr>
        <w:t xml:space="preserve">GARR </w:t>
      </w:r>
      <w:r w:rsidR="00BA5ED4" w:rsidRPr="00BB06AC">
        <w:rPr>
          <w:shd w:val="clear" w:color="auto" w:fill="FFFFFF"/>
          <w:lang w:val="mk-MK"/>
        </w:rPr>
        <w:t>- Италијанска национална компјутерска мрежа за универзитети и истражувања</w:t>
      </w:r>
    </w:p>
    <w:p w14:paraId="79880209" w14:textId="77777777" w:rsidR="00BA5ED4" w:rsidRPr="00BB06AC" w:rsidRDefault="00BB06AC" w:rsidP="00BA5ED4">
      <w:pPr>
        <w:spacing w:after="0"/>
        <w:rPr>
          <w:shd w:val="clear" w:color="auto" w:fill="FFFFFF"/>
          <w:lang w:val="mk-MK"/>
        </w:rPr>
      </w:pPr>
      <w:r w:rsidRPr="00BB06AC">
        <w:rPr>
          <w:shd w:val="clear" w:color="auto" w:fill="FFFFFF"/>
          <w:lang w:val="mk-MK"/>
        </w:rPr>
        <w:t>БДП - б</w:t>
      </w:r>
      <w:r w:rsidR="00BA5ED4" w:rsidRPr="00BB06AC">
        <w:rPr>
          <w:shd w:val="clear" w:color="auto" w:fill="FFFFFF"/>
          <w:lang w:val="mk-MK"/>
        </w:rPr>
        <w:t>руто домашен производ</w:t>
      </w:r>
    </w:p>
    <w:p w14:paraId="71C304B5" w14:textId="77777777" w:rsidR="00BA5ED4" w:rsidRPr="00BB06AC" w:rsidRDefault="00BB06AC" w:rsidP="00BA5ED4">
      <w:pPr>
        <w:spacing w:after="0"/>
        <w:rPr>
          <w:shd w:val="clear" w:color="auto" w:fill="FFFFFF"/>
          <w:lang w:val="mk-MK"/>
        </w:rPr>
      </w:pPr>
      <w:r w:rsidRPr="00BB06AC">
        <w:rPr>
          <w:shd w:val="clear" w:color="auto" w:fill="FFFFFF"/>
          <w:lang w:val="mk-MK"/>
        </w:rPr>
        <w:t>БДРИР - б</w:t>
      </w:r>
      <w:r w:rsidR="00BA5ED4" w:rsidRPr="00BB06AC">
        <w:rPr>
          <w:shd w:val="clear" w:color="auto" w:fill="FFFFFF"/>
          <w:lang w:val="mk-MK"/>
        </w:rPr>
        <w:t>руто домашни расходи за истражување и развој</w:t>
      </w:r>
    </w:p>
    <w:p w14:paraId="61989441" w14:textId="7A516371" w:rsidR="00BA5ED4" w:rsidRPr="00BB06AC" w:rsidRDefault="00AD38D0" w:rsidP="00BA5ED4">
      <w:pPr>
        <w:spacing w:after="0"/>
        <w:rPr>
          <w:shd w:val="clear" w:color="auto" w:fill="FFFFFF"/>
          <w:lang w:val="mk-MK"/>
        </w:rPr>
      </w:pPr>
      <w:r w:rsidRPr="00BB06AC">
        <w:rPr>
          <w:shd w:val="clear" w:color="auto" w:fill="FFFFFF"/>
          <w:lang w:val="mk-MK"/>
        </w:rPr>
        <w:t>H</w:t>
      </w:r>
      <w:r w:rsidR="00BA5ED4" w:rsidRPr="00BB06AC">
        <w:rPr>
          <w:shd w:val="clear" w:color="auto" w:fill="FFFFFF"/>
          <w:lang w:val="mk-MK"/>
        </w:rPr>
        <w:t>2020 - Хоризонт 2020 година</w:t>
      </w:r>
    </w:p>
    <w:p w14:paraId="357C6F3C" w14:textId="0DA94298" w:rsidR="00BA5ED4" w:rsidRPr="000B7B03" w:rsidRDefault="00BB06AC" w:rsidP="00BA5ED4">
      <w:pPr>
        <w:spacing w:after="0"/>
        <w:rPr>
          <w:shd w:val="clear" w:color="auto" w:fill="FFFFFF"/>
          <w:lang w:val="mk-MK"/>
        </w:rPr>
      </w:pPr>
      <w:r w:rsidRPr="00BB06AC">
        <w:rPr>
          <w:shd w:val="clear" w:color="auto" w:fill="FFFFFF"/>
        </w:rPr>
        <w:t xml:space="preserve">HPC </w:t>
      </w:r>
      <w:r w:rsidRPr="00BB06AC">
        <w:rPr>
          <w:shd w:val="clear" w:color="auto" w:fill="FFFFFF"/>
          <w:lang w:val="mk-MK"/>
        </w:rPr>
        <w:t>- п</w:t>
      </w:r>
      <w:r w:rsidR="00BA5ED4" w:rsidRPr="00BB06AC">
        <w:rPr>
          <w:shd w:val="clear" w:color="auto" w:fill="FFFFFF"/>
          <w:lang w:val="mk-MK"/>
        </w:rPr>
        <w:t>роцесирање со високи перформанси</w:t>
      </w:r>
    </w:p>
    <w:p w14:paraId="01C420AD" w14:textId="1EC22EC6" w:rsidR="00BA5ED4" w:rsidRPr="000B7B03" w:rsidRDefault="00BB06AC" w:rsidP="00BA5ED4">
      <w:pPr>
        <w:spacing w:after="0"/>
        <w:rPr>
          <w:shd w:val="clear" w:color="auto" w:fill="FFFFFF"/>
          <w:lang w:val="mk-MK"/>
        </w:rPr>
      </w:pPr>
      <w:r w:rsidRPr="00BB06AC">
        <w:rPr>
          <w:shd w:val="clear" w:color="auto" w:fill="FFFFFF"/>
        </w:rPr>
        <w:t xml:space="preserve">HPDA </w:t>
      </w:r>
      <w:r w:rsidRPr="00BB06AC">
        <w:rPr>
          <w:shd w:val="clear" w:color="auto" w:fill="FFFFFF"/>
          <w:lang w:val="mk-MK"/>
        </w:rPr>
        <w:t>- а</w:t>
      </w:r>
      <w:r w:rsidR="00BA5ED4" w:rsidRPr="00BB06AC">
        <w:rPr>
          <w:shd w:val="clear" w:color="auto" w:fill="FFFFFF"/>
          <w:lang w:val="mk-MK"/>
        </w:rPr>
        <w:t>налитика на податоци со високи перформанси</w:t>
      </w:r>
    </w:p>
    <w:p w14:paraId="5C263216" w14:textId="764C6F45" w:rsidR="00BA5ED4" w:rsidRPr="00ED3C0C" w:rsidRDefault="00BB06AC" w:rsidP="00BA5ED4">
      <w:pPr>
        <w:spacing w:after="0"/>
        <w:rPr>
          <w:shd w:val="clear" w:color="auto" w:fill="FFFFFF"/>
          <w:lang w:val="mk-MK"/>
        </w:rPr>
      </w:pPr>
      <w:r w:rsidRPr="00BB06AC">
        <w:rPr>
          <w:shd w:val="clear" w:color="auto" w:fill="FFFFFF"/>
        </w:rPr>
        <w:t xml:space="preserve">INCF </w:t>
      </w:r>
      <w:r w:rsidR="00BA5ED4" w:rsidRPr="00BB06AC">
        <w:rPr>
          <w:shd w:val="clear" w:color="auto" w:fill="FFFFFF"/>
          <w:lang w:val="mk-MK"/>
        </w:rPr>
        <w:t>- Меѓународен координативен центар за невроинформатика</w:t>
      </w:r>
    </w:p>
    <w:p w14:paraId="405C5A66" w14:textId="2503BDE6" w:rsidR="007947BF" w:rsidRPr="00BB06AC" w:rsidRDefault="00E97ABE" w:rsidP="007947BF">
      <w:pPr>
        <w:spacing w:after="0"/>
        <w:rPr>
          <w:shd w:val="clear" w:color="auto" w:fill="FFFFFF"/>
          <w:lang w:val="mk-MK"/>
        </w:rPr>
      </w:pPr>
      <w:r w:rsidRPr="00BB06AC">
        <w:rPr>
          <w:shd w:val="clear" w:color="auto" w:fill="FFFFFF"/>
          <w:lang w:val="mk-MK"/>
        </w:rPr>
        <w:t>ИЗУМ</w:t>
      </w:r>
      <w:r w:rsidR="00D70527">
        <w:rPr>
          <w:shd w:val="clear" w:color="auto" w:fill="FFFFFF"/>
          <w:lang w:val="mk-MK"/>
        </w:rPr>
        <w:t xml:space="preserve"> -</w:t>
      </w:r>
      <w:r w:rsidR="007947BF" w:rsidRPr="00BB06AC">
        <w:rPr>
          <w:shd w:val="clear" w:color="auto" w:fill="FFFFFF"/>
          <w:lang w:val="mk-MK"/>
        </w:rPr>
        <w:t xml:space="preserve"> </w:t>
      </w:r>
      <w:r w:rsidRPr="00BB06AC">
        <w:rPr>
          <w:shd w:val="clear" w:color="auto" w:fill="FFFFFF"/>
          <w:lang w:val="mk-MK"/>
        </w:rPr>
        <w:t xml:space="preserve">Институт за информатички науки во Марибор </w:t>
      </w:r>
    </w:p>
    <w:p w14:paraId="3204D4D2" w14:textId="22F5B766" w:rsidR="00E97ABE" w:rsidRPr="00BB06AC" w:rsidRDefault="004251F2" w:rsidP="00E97ABE">
      <w:pPr>
        <w:spacing w:after="0"/>
        <w:rPr>
          <w:shd w:val="clear" w:color="auto" w:fill="FFFFFF"/>
          <w:lang w:val="mk-MK"/>
        </w:rPr>
      </w:pPr>
      <w:r w:rsidRPr="00BB06AC">
        <w:rPr>
          <w:shd w:val="clear" w:color="auto" w:fill="FFFFFF"/>
          <w:lang w:val="mk-MK"/>
        </w:rPr>
        <w:t xml:space="preserve">JRC </w:t>
      </w:r>
      <w:r w:rsidR="00E97ABE" w:rsidRPr="00BB06AC">
        <w:rPr>
          <w:shd w:val="clear" w:color="auto" w:fill="FFFFFF"/>
          <w:lang w:val="mk-MK"/>
        </w:rPr>
        <w:t>- Заеднички истражувачки центар</w:t>
      </w:r>
    </w:p>
    <w:p w14:paraId="7E6546FD" w14:textId="77777777" w:rsidR="00E97ABE" w:rsidRPr="00BB06AC" w:rsidRDefault="00E97ABE" w:rsidP="00E97ABE">
      <w:pPr>
        <w:spacing w:after="0"/>
        <w:rPr>
          <w:shd w:val="clear" w:color="auto" w:fill="FFFFFF"/>
          <w:lang w:val="mk-MK"/>
        </w:rPr>
      </w:pPr>
      <w:r w:rsidRPr="00BB06AC">
        <w:rPr>
          <w:shd w:val="clear" w:color="auto" w:fill="FFFFFF"/>
          <w:lang w:val="mk-MK"/>
        </w:rPr>
        <w:t>МАРНет - Македонска академска истражувачка мрежа</w:t>
      </w:r>
    </w:p>
    <w:p w14:paraId="0E615BCA" w14:textId="77777777" w:rsidR="00E97ABE" w:rsidRPr="00BB06AC" w:rsidRDefault="00E97ABE" w:rsidP="00E97ABE">
      <w:pPr>
        <w:spacing w:after="0"/>
        <w:rPr>
          <w:shd w:val="clear" w:color="auto" w:fill="FFFFFF"/>
          <w:lang w:val="mk-MK"/>
        </w:rPr>
      </w:pPr>
      <w:r w:rsidRPr="00BB06AC">
        <w:rPr>
          <w:shd w:val="clear" w:color="auto" w:fill="FFFFFF"/>
          <w:lang w:val="mk-MK"/>
        </w:rPr>
        <w:t>МАНУ - Македонска академија на науките и уметностите</w:t>
      </w:r>
    </w:p>
    <w:p w14:paraId="480AFBDF" w14:textId="77777777" w:rsidR="00E97ABE" w:rsidRPr="00BB06AC" w:rsidRDefault="00F12829" w:rsidP="00E97ABE">
      <w:pPr>
        <w:spacing w:after="0"/>
        <w:rPr>
          <w:shd w:val="clear" w:color="auto" w:fill="FFFFFF"/>
          <w:lang w:val="mk-MK"/>
        </w:rPr>
      </w:pPr>
      <w:r w:rsidRPr="00BB06AC">
        <w:rPr>
          <w:shd w:val="clear" w:color="auto" w:fill="FFFFFF"/>
          <w:lang w:val="mk-MK"/>
        </w:rPr>
        <w:t>И</w:t>
      </w:r>
      <w:r w:rsidR="00E97ABE" w:rsidRPr="00BB06AC">
        <w:rPr>
          <w:shd w:val="clear" w:color="auto" w:fill="FFFFFF"/>
          <w:lang w:val="mk-MK"/>
        </w:rPr>
        <w:t>МВД</w:t>
      </w:r>
      <w:r w:rsidRPr="00BB06AC">
        <w:rPr>
          <w:shd w:val="clear" w:color="auto" w:fill="FFFFFF"/>
          <w:lang w:val="mk-MK"/>
        </w:rPr>
        <w:t xml:space="preserve">Ш </w:t>
      </w:r>
      <w:r w:rsidR="00E97ABE" w:rsidRPr="00BB06AC">
        <w:rPr>
          <w:shd w:val="clear" w:color="auto" w:fill="FFFFFF"/>
          <w:lang w:val="mk-MK"/>
        </w:rPr>
        <w:t>- Институт Макс ван дер Штул</w:t>
      </w:r>
    </w:p>
    <w:p w14:paraId="686D6949" w14:textId="709E1A2C" w:rsidR="00E97ABE" w:rsidRPr="00BB06AC" w:rsidRDefault="00F12829" w:rsidP="00E97ABE">
      <w:pPr>
        <w:spacing w:after="0"/>
        <w:rPr>
          <w:shd w:val="clear" w:color="auto" w:fill="FFFFFF"/>
          <w:lang w:val="mk-MK"/>
        </w:rPr>
      </w:pPr>
      <w:r w:rsidRPr="00BB06AC">
        <w:rPr>
          <w:shd w:val="clear" w:color="auto" w:fill="FFFFFF"/>
          <w:lang w:val="mk-MK"/>
        </w:rPr>
        <w:t xml:space="preserve">NOSCI </w:t>
      </w:r>
      <w:r w:rsidR="00E97ABE" w:rsidRPr="00BB06AC">
        <w:rPr>
          <w:shd w:val="clear" w:color="auto" w:fill="FFFFFF"/>
          <w:lang w:val="mk-MK"/>
        </w:rPr>
        <w:t>- Национална иницијатива за отворена наука во облак</w:t>
      </w:r>
    </w:p>
    <w:p w14:paraId="486CF61A" w14:textId="196F8818" w:rsidR="00E97ABE" w:rsidRPr="00BB06AC" w:rsidRDefault="00E97ABE" w:rsidP="00E97ABE">
      <w:pPr>
        <w:spacing w:after="0"/>
        <w:rPr>
          <w:shd w:val="clear" w:color="auto" w:fill="FFFFFF"/>
          <w:lang w:val="mk-MK"/>
        </w:rPr>
      </w:pPr>
      <w:r w:rsidRPr="00BB06AC">
        <w:rPr>
          <w:shd w:val="clear" w:color="auto" w:fill="FFFFFF"/>
          <w:lang w:val="mk-MK"/>
        </w:rPr>
        <w:t>NRENs - Национални мрежи за истражување и образование</w:t>
      </w:r>
    </w:p>
    <w:p w14:paraId="172A2275" w14:textId="26D0EAD7" w:rsidR="00E97ABE" w:rsidRPr="00854D5E" w:rsidRDefault="00BB06AC" w:rsidP="00E97ABE">
      <w:pPr>
        <w:spacing w:after="0"/>
        <w:rPr>
          <w:shd w:val="clear" w:color="auto" w:fill="FFFFFF"/>
          <w:lang w:val="mk-MK"/>
        </w:rPr>
      </w:pPr>
      <w:r w:rsidRPr="00BB06AC">
        <w:rPr>
          <w:shd w:val="clear" w:color="auto" w:fill="FFFFFF"/>
          <w:lang w:val="mk-MK"/>
        </w:rPr>
        <w:t>ИиР - и</w:t>
      </w:r>
      <w:r w:rsidR="00E97ABE" w:rsidRPr="00BB06AC">
        <w:rPr>
          <w:shd w:val="clear" w:color="auto" w:fill="FFFFFF"/>
          <w:lang w:val="mk-MK"/>
        </w:rPr>
        <w:t>стражување и развој</w:t>
      </w:r>
    </w:p>
    <w:p w14:paraId="4678A245" w14:textId="661D3217" w:rsidR="00E97ABE" w:rsidRPr="00854D5E" w:rsidRDefault="00E97ABE" w:rsidP="00E97ABE">
      <w:pPr>
        <w:spacing w:after="0"/>
        <w:rPr>
          <w:shd w:val="clear" w:color="auto" w:fill="FFFFFF"/>
          <w:lang w:val="mk-MK"/>
        </w:rPr>
      </w:pPr>
      <w:r w:rsidRPr="00BB06AC">
        <w:rPr>
          <w:shd w:val="clear" w:color="auto" w:fill="FFFFFF"/>
          <w:lang w:val="mk-MK"/>
        </w:rPr>
        <w:t xml:space="preserve">РЦЦ </w:t>
      </w:r>
      <w:r w:rsidR="00D70527">
        <w:rPr>
          <w:shd w:val="clear" w:color="auto" w:fill="FFFFFF"/>
          <w:lang w:val="mk-MK"/>
        </w:rPr>
        <w:t>-</w:t>
      </w:r>
      <w:r w:rsidRPr="00BB06AC">
        <w:rPr>
          <w:shd w:val="clear" w:color="auto" w:fill="FFFFFF"/>
          <w:lang w:val="mk-MK"/>
        </w:rPr>
        <w:t xml:space="preserve"> Совет за регионална соработка</w:t>
      </w:r>
    </w:p>
    <w:p w14:paraId="1CF5FAA6" w14:textId="09178423" w:rsidR="00E97ABE" w:rsidRPr="00854D5E" w:rsidRDefault="00BB06AC" w:rsidP="00E97ABE">
      <w:pPr>
        <w:spacing w:after="0"/>
        <w:rPr>
          <w:shd w:val="clear" w:color="auto" w:fill="FFFFFF"/>
          <w:lang w:val="mk-MK"/>
        </w:rPr>
      </w:pPr>
      <w:r w:rsidRPr="00BB06AC">
        <w:rPr>
          <w:shd w:val="clear" w:color="auto" w:fill="FFFFFF"/>
          <w:lang w:val="mk-MK"/>
        </w:rPr>
        <w:t>ИИ - и</w:t>
      </w:r>
      <w:r w:rsidR="00E97ABE" w:rsidRPr="00BB06AC">
        <w:rPr>
          <w:shd w:val="clear" w:color="auto" w:fill="FFFFFF"/>
          <w:lang w:val="mk-MK"/>
        </w:rPr>
        <w:t>стражувачка инфраструктура</w:t>
      </w:r>
    </w:p>
    <w:p w14:paraId="239D7405" w14:textId="6634D5C7" w:rsidR="00E97ABE" w:rsidRPr="00854D5E" w:rsidRDefault="00BB06AC" w:rsidP="00E97ABE">
      <w:pPr>
        <w:spacing w:after="0"/>
        <w:rPr>
          <w:shd w:val="clear" w:color="auto" w:fill="FFFFFF"/>
          <w:lang w:val="mk-MK"/>
        </w:rPr>
      </w:pPr>
      <w:r w:rsidRPr="00BB06AC">
        <w:rPr>
          <w:shd w:val="clear" w:color="auto" w:fill="FFFFFF"/>
          <w:lang w:val="mk-MK"/>
        </w:rPr>
        <w:t>ИиИ - и</w:t>
      </w:r>
      <w:r w:rsidR="00E97ABE" w:rsidRPr="00BB06AC">
        <w:rPr>
          <w:shd w:val="clear" w:color="auto" w:fill="FFFFFF"/>
          <w:lang w:val="mk-MK"/>
        </w:rPr>
        <w:t>стражување и иновации</w:t>
      </w:r>
    </w:p>
    <w:p w14:paraId="6A78A2C1" w14:textId="6EA2DEEC" w:rsidR="00E97ABE" w:rsidRPr="00854D5E" w:rsidRDefault="00BC3F70" w:rsidP="00E97ABE">
      <w:pPr>
        <w:spacing w:after="0"/>
        <w:rPr>
          <w:shd w:val="clear" w:color="auto" w:fill="FFFFFF"/>
          <w:lang w:val="mk-MK"/>
        </w:rPr>
      </w:pPr>
      <w:r w:rsidRPr="00213E99">
        <w:rPr>
          <w:shd w:val="clear" w:color="auto" w:fill="FFFFFF"/>
          <w:lang w:val="mk-MK"/>
        </w:rPr>
        <w:t>С</w:t>
      </w:r>
      <w:r w:rsidR="00C50642" w:rsidRPr="00213E99">
        <w:rPr>
          <w:shd w:val="clear" w:color="auto" w:fill="FFFFFF"/>
          <w:lang w:val="mk-MK"/>
        </w:rPr>
        <w:t>3</w:t>
      </w:r>
      <w:r w:rsidR="00E97ABE" w:rsidRPr="00BB06AC">
        <w:rPr>
          <w:shd w:val="clear" w:color="auto" w:fill="FFFFFF"/>
          <w:lang w:val="mk-MK"/>
        </w:rPr>
        <w:t xml:space="preserve"> - Стратегија за паметна специјализација</w:t>
      </w:r>
    </w:p>
    <w:p w14:paraId="3108B622" w14:textId="77777777" w:rsidR="00E97ABE" w:rsidRPr="00BB06AC" w:rsidRDefault="00E97ABE" w:rsidP="00E97ABE">
      <w:pPr>
        <w:spacing w:after="0"/>
        <w:rPr>
          <w:shd w:val="clear" w:color="auto" w:fill="FFFFFF"/>
          <w:lang w:val="mk-MK"/>
        </w:rPr>
      </w:pPr>
      <w:r w:rsidRPr="00BB06AC">
        <w:rPr>
          <w:shd w:val="clear" w:color="auto" w:fill="FFFFFF"/>
          <w:lang w:val="mk-MK"/>
        </w:rPr>
        <w:t>ЈИЕ - Југоисточна Европа</w:t>
      </w:r>
    </w:p>
    <w:p w14:paraId="363FFF08" w14:textId="77777777" w:rsidR="00E97ABE" w:rsidRPr="00BB06AC" w:rsidRDefault="00E97ABE" w:rsidP="00E97ABE">
      <w:pPr>
        <w:spacing w:after="0"/>
        <w:rPr>
          <w:shd w:val="clear" w:color="auto" w:fill="FFFFFF"/>
          <w:lang w:val="mk-MK"/>
        </w:rPr>
      </w:pPr>
      <w:r w:rsidRPr="00BB06AC">
        <w:rPr>
          <w:shd w:val="clear" w:color="auto" w:fill="FFFFFF"/>
          <w:lang w:val="mk-MK"/>
        </w:rPr>
        <w:t>ЈЕИМ - Југоисточна Европа и Источен Медитеран</w:t>
      </w:r>
    </w:p>
    <w:p w14:paraId="5027B716" w14:textId="382895E3" w:rsidR="00E97ABE" w:rsidRPr="00854D5E" w:rsidRDefault="00BB06AC" w:rsidP="00E97ABE">
      <w:pPr>
        <w:spacing w:after="0"/>
        <w:rPr>
          <w:shd w:val="clear" w:color="auto" w:fill="FFFFFF"/>
          <w:lang w:val="mk-MK"/>
        </w:rPr>
      </w:pPr>
      <w:r w:rsidRPr="00BB06AC">
        <w:rPr>
          <w:shd w:val="clear" w:color="auto" w:fill="FFFFFF"/>
        </w:rPr>
        <w:t>VRE</w:t>
      </w:r>
      <w:r w:rsidRPr="00BB06AC">
        <w:rPr>
          <w:shd w:val="clear" w:color="auto" w:fill="FFFFFF"/>
          <w:lang w:val="mk-MK"/>
        </w:rPr>
        <w:t>- в</w:t>
      </w:r>
      <w:r w:rsidR="00E97ABE" w:rsidRPr="00BB06AC">
        <w:rPr>
          <w:shd w:val="clear" w:color="auto" w:fill="FFFFFF"/>
          <w:lang w:val="mk-MK"/>
        </w:rPr>
        <w:t xml:space="preserve">иртуелна </w:t>
      </w:r>
      <w:r w:rsidRPr="00BB06AC">
        <w:rPr>
          <w:shd w:val="clear" w:color="auto" w:fill="FFFFFF"/>
          <w:lang w:val="mk-MK"/>
        </w:rPr>
        <w:t>истражувачка средина</w:t>
      </w:r>
    </w:p>
    <w:p w14:paraId="1EA7B763" w14:textId="77777777" w:rsidR="007947BF" w:rsidRPr="008662BF" w:rsidRDefault="007947BF" w:rsidP="007947BF">
      <w:pPr>
        <w:rPr>
          <w:shd w:val="clear" w:color="auto" w:fill="FFFFFF"/>
          <w:lang w:val="mk-MK"/>
        </w:rPr>
      </w:pPr>
      <w:r w:rsidRPr="008662BF">
        <w:rPr>
          <w:shd w:val="clear" w:color="auto" w:fill="FFFFFF"/>
          <w:lang w:val="mk-MK"/>
        </w:rPr>
        <w:br w:type="page"/>
      </w:r>
    </w:p>
    <w:p w14:paraId="23331620" w14:textId="77777777" w:rsidR="007947BF" w:rsidRPr="00BB06AC" w:rsidRDefault="00726202" w:rsidP="007947BF">
      <w:pPr>
        <w:pStyle w:val="Heading1"/>
        <w:spacing w:after="240"/>
        <w:rPr>
          <w:rFonts w:ascii="Calibri" w:hAnsi="Calibri" w:cs="Calibri"/>
          <w:shd w:val="clear" w:color="auto" w:fill="FFFFFF"/>
          <w:lang w:val="mk-MK"/>
        </w:rPr>
      </w:pPr>
      <w:bookmarkStart w:id="4" w:name="_Toc70583638"/>
      <w:bookmarkStart w:id="5" w:name="_Toc86916044"/>
      <w:r w:rsidRPr="00BB06AC">
        <w:rPr>
          <w:rFonts w:ascii="Calibri" w:hAnsi="Calibri" w:cs="Calibri"/>
          <w:shd w:val="clear" w:color="auto" w:fill="FFFFFF"/>
          <w:lang w:val="mk-MK"/>
        </w:rPr>
        <w:lastRenderedPageBreak/>
        <w:t>КРАТОК ПРЕГЛЕД</w:t>
      </w:r>
      <w:bookmarkEnd w:id="4"/>
      <w:bookmarkEnd w:id="5"/>
    </w:p>
    <w:p w14:paraId="79E49633" w14:textId="5DCF751C" w:rsidR="004B2AB0" w:rsidRPr="008662BF" w:rsidRDefault="004B2AB0" w:rsidP="007947BF">
      <w:pPr>
        <w:jc w:val="both"/>
        <w:rPr>
          <w:lang w:val="mk-MK"/>
        </w:rPr>
      </w:pPr>
      <w:r w:rsidRPr="008662BF">
        <w:rPr>
          <w:lang w:val="mk-MK"/>
        </w:rPr>
        <w:t>Во Патоказот за истражувачка</w:t>
      </w:r>
      <w:r w:rsidR="00726202" w:rsidRPr="008662BF">
        <w:rPr>
          <w:lang w:val="mk-MK"/>
        </w:rPr>
        <w:t>та</w:t>
      </w:r>
      <w:r w:rsidRPr="008662BF">
        <w:rPr>
          <w:lang w:val="mk-MK"/>
        </w:rPr>
        <w:t xml:space="preserve"> инфраструктура на </w:t>
      </w:r>
      <w:r w:rsidR="00417197">
        <w:rPr>
          <w:lang w:val="mk-MK"/>
        </w:rPr>
        <w:t>Република Северна Македонија</w:t>
      </w:r>
      <w:r w:rsidRPr="008662BF">
        <w:rPr>
          <w:lang w:val="mk-MK"/>
        </w:rPr>
        <w:t xml:space="preserve"> е претставен постојниот истражувачки потенцијал на </w:t>
      </w:r>
      <w:r w:rsidR="00417197">
        <w:rPr>
          <w:lang w:val="mk-MK"/>
        </w:rPr>
        <w:t>Република Северна Македонија</w:t>
      </w:r>
      <w:r w:rsidRPr="008662BF">
        <w:rPr>
          <w:lang w:val="mk-MK"/>
        </w:rPr>
        <w:t xml:space="preserve"> </w:t>
      </w:r>
      <w:r w:rsidR="00D43049">
        <w:rPr>
          <w:lang w:val="mk-MK"/>
        </w:rPr>
        <w:t>за</w:t>
      </w:r>
      <w:r w:rsidR="00D70527">
        <w:rPr>
          <w:lang w:val="mk-MK"/>
        </w:rPr>
        <w:t>ради</w:t>
      </w:r>
      <w:r w:rsidRPr="008662BF">
        <w:rPr>
          <w:lang w:val="mk-MK"/>
        </w:rPr>
        <w:t xml:space="preserve"> постав</w:t>
      </w:r>
      <w:r w:rsidR="00D70527">
        <w:rPr>
          <w:lang w:val="mk-MK"/>
        </w:rPr>
        <w:t>ување на</w:t>
      </w:r>
      <w:r w:rsidRPr="008662BF">
        <w:rPr>
          <w:lang w:val="mk-MK"/>
        </w:rPr>
        <w:t xml:space="preserve"> принципи</w:t>
      </w:r>
      <w:r w:rsidR="00726202" w:rsidRPr="008662BF">
        <w:rPr>
          <w:lang w:val="mk-MK"/>
        </w:rPr>
        <w:t>те</w:t>
      </w:r>
      <w:r w:rsidRPr="008662BF">
        <w:rPr>
          <w:lang w:val="mk-MK"/>
        </w:rPr>
        <w:t xml:space="preserve"> за идниот развој на истражувачката инфраструктура и</w:t>
      </w:r>
      <w:r w:rsidR="00D70527">
        <w:rPr>
          <w:lang w:val="mk-MK"/>
        </w:rPr>
        <w:t xml:space="preserve"> за</w:t>
      </w:r>
      <w:r w:rsidRPr="008662BF">
        <w:rPr>
          <w:lang w:val="mk-MK"/>
        </w:rPr>
        <w:t xml:space="preserve"> да се предложат препораки </w:t>
      </w:r>
      <w:r w:rsidR="00726202" w:rsidRPr="008662BF">
        <w:rPr>
          <w:lang w:val="mk-MK"/>
        </w:rPr>
        <w:t xml:space="preserve">за </w:t>
      </w:r>
      <w:r w:rsidRPr="008662BF">
        <w:rPr>
          <w:lang w:val="mk-MK"/>
        </w:rPr>
        <w:t xml:space="preserve">зајакнување на истражувачкиот сектор и </w:t>
      </w:r>
      <w:r w:rsidR="00D43049">
        <w:rPr>
          <w:lang w:val="mk-MK"/>
        </w:rPr>
        <w:t xml:space="preserve">на </w:t>
      </w:r>
      <w:r w:rsidRPr="008662BF">
        <w:rPr>
          <w:lang w:val="mk-MK"/>
        </w:rPr>
        <w:t>општествениот развој во цел</w:t>
      </w:r>
      <w:r w:rsidR="00726202" w:rsidRPr="008662BF">
        <w:rPr>
          <w:lang w:val="mk-MK"/>
        </w:rPr>
        <w:t>ост</w:t>
      </w:r>
      <w:r w:rsidRPr="008662BF">
        <w:rPr>
          <w:lang w:val="mk-MK"/>
        </w:rPr>
        <w:t xml:space="preserve">. Со оглед на малиот број меѓународно релевантни големи истражувачки инфраструктури во кои членува </w:t>
      </w:r>
      <w:r w:rsidR="00417197">
        <w:rPr>
          <w:lang w:val="mk-MK"/>
        </w:rPr>
        <w:t>Република Северна Македонија</w:t>
      </w:r>
      <w:r w:rsidRPr="008662BF">
        <w:rPr>
          <w:lang w:val="mk-MK"/>
        </w:rPr>
        <w:t xml:space="preserve">, истражувачката инфраструктура во овој документ се однесува на истражувачките </w:t>
      </w:r>
      <w:r w:rsidR="00171C0C" w:rsidRPr="008662BF">
        <w:rPr>
          <w:lang w:val="mk-MK"/>
        </w:rPr>
        <w:t xml:space="preserve">објекти </w:t>
      </w:r>
      <w:r w:rsidRPr="008662BF">
        <w:rPr>
          <w:lang w:val="mk-MK"/>
        </w:rPr>
        <w:t xml:space="preserve">и </w:t>
      </w:r>
      <w:r w:rsidR="00D70527">
        <w:rPr>
          <w:lang w:val="mk-MK"/>
        </w:rPr>
        <w:t xml:space="preserve">на </w:t>
      </w:r>
      <w:r w:rsidRPr="008662BF">
        <w:rPr>
          <w:lang w:val="mk-MK"/>
        </w:rPr>
        <w:t>опрема</w:t>
      </w:r>
      <w:r w:rsidR="00D70527">
        <w:rPr>
          <w:lang w:val="mk-MK"/>
        </w:rPr>
        <w:t>та</w:t>
      </w:r>
      <w:r w:rsidRPr="008662BF">
        <w:rPr>
          <w:lang w:val="mk-MK"/>
        </w:rPr>
        <w:t xml:space="preserve"> во рамките на истражувачките институции (универзитети и истражувачки институти) чија намена е да обезбедат основни услови за истражувачки</w:t>
      </w:r>
      <w:r w:rsidR="00874705">
        <w:rPr>
          <w:lang w:val="mk-MK"/>
        </w:rPr>
        <w:t>те</w:t>
      </w:r>
      <w:r w:rsidRPr="008662BF">
        <w:rPr>
          <w:lang w:val="mk-MK"/>
        </w:rPr>
        <w:t xml:space="preserve"> активности.</w:t>
      </w:r>
    </w:p>
    <w:p w14:paraId="516314CB" w14:textId="15B4C479" w:rsidR="00B75671" w:rsidRPr="008662BF" w:rsidRDefault="00B75671" w:rsidP="00B75671">
      <w:pPr>
        <w:jc w:val="both"/>
        <w:rPr>
          <w:lang w:val="mk-MK"/>
        </w:rPr>
      </w:pPr>
      <w:r w:rsidRPr="008662BF">
        <w:rPr>
          <w:lang w:val="mk-MK"/>
        </w:rPr>
        <w:t xml:space="preserve">Министерството за образование и наука е одговорно за развојот на научните истражувања, </w:t>
      </w:r>
      <w:r w:rsidR="00D40AA0">
        <w:rPr>
          <w:lang w:val="mk-MK"/>
        </w:rPr>
        <w:t xml:space="preserve">на </w:t>
      </w:r>
      <w:r w:rsidRPr="008662BF">
        <w:rPr>
          <w:lang w:val="mk-MK"/>
        </w:rPr>
        <w:t>високообразовниот систем и технолошкиот развој. Законската рамка за истражувачк</w:t>
      </w:r>
      <w:r w:rsidR="00171C0C" w:rsidRPr="008662BF">
        <w:rPr>
          <w:lang w:val="mk-MK"/>
        </w:rPr>
        <w:t xml:space="preserve">ата дејност </w:t>
      </w:r>
      <w:r w:rsidRPr="008662BF">
        <w:rPr>
          <w:lang w:val="mk-MK"/>
        </w:rPr>
        <w:t xml:space="preserve">во </w:t>
      </w:r>
      <w:r w:rsidR="00417197">
        <w:rPr>
          <w:lang w:val="mk-MK"/>
        </w:rPr>
        <w:t>Република Северна Македонија</w:t>
      </w:r>
      <w:r w:rsidRPr="008662BF">
        <w:rPr>
          <w:lang w:val="mk-MK"/>
        </w:rPr>
        <w:t xml:space="preserve"> е дефинирана со Законот за научно-истражувачката дејност. </w:t>
      </w:r>
      <w:r w:rsidR="00171C0C" w:rsidRPr="008662BF">
        <w:rPr>
          <w:lang w:val="mk-MK"/>
        </w:rPr>
        <w:t xml:space="preserve">Меѓутоа, </w:t>
      </w:r>
      <w:r w:rsidRPr="008662BF">
        <w:rPr>
          <w:lang w:val="mk-MK"/>
        </w:rPr>
        <w:t xml:space="preserve">последните неколку години се </w:t>
      </w:r>
      <w:r w:rsidR="00171C0C" w:rsidRPr="008662BF">
        <w:rPr>
          <w:lang w:val="mk-MK"/>
        </w:rPr>
        <w:t xml:space="preserve">обележани </w:t>
      </w:r>
      <w:r w:rsidRPr="008662BF">
        <w:rPr>
          <w:lang w:val="mk-MK"/>
        </w:rPr>
        <w:t xml:space="preserve">со недоволно внимание </w:t>
      </w:r>
      <w:r w:rsidR="00874705">
        <w:rPr>
          <w:lang w:val="mk-MK"/>
        </w:rPr>
        <w:t>кон</w:t>
      </w:r>
      <w:r w:rsidR="00D574E8">
        <w:rPr>
          <w:lang w:val="mk-MK"/>
        </w:rPr>
        <w:t xml:space="preserve"> </w:t>
      </w:r>
      <w:r w:rsidR="00171C0C" w:rsidRPr="008662BF">
        <w:rPr>
          <w:lang w:val="mk-MK"/>
        </w:rPr>
        <w:t xml:space="preserve">подготовката </w:t>
      </w:r>
      <w:r w:rsidRPr="008662BF">
        <w:rPr>
          <w:lang w:val="mk-MK"/>
        </w:rPr>
        <w:t>и спроведувањето на политики</w:t>
      </w:r>
      <w:r w:rsidR="00874705">
        <w:rPr>
          <w:lang w:val="mk-MK"/>
        </w:rPr>
        <w:t>те</w:t>
      </w:r>
      <w:r w:rsidRPr="008662BF">
        <w:rPr>
          <w:lang w:val="mk-MK"/>
        </w:rPr>
        <w:t xml:space="preserve"> за наука</w:t>
      </w:r>
      <w:r w:rsidR="00171C0C" w:rsidRPr="008662BF">
        <w:rPr>
          <w:lang w:val="mk-MK"/>
        </w:rPr>
        <w:t>та</w:t>
      </w:r>
      <w:r w:rsidRPr="008662BF">
        <w:rPr>
          <w:lang w:val="mk-MK"/>
        </w:rPr>
        <w:t xml:space="preserve"> и технологија</w:t>
      </w:r>
      <w:r w:rsidR="00171C0C" w:rsidRPr="008662BF">
        <w:rPr>
          <w:lang w:val="mk-MK"/>
        </w:rPr>
        <w:t>та</w:t>
      </w:r>
      <w:r w:rsidRPr="008662BF">
        <w:rPr>
          <w:lang w:val="mk-MK"/>
        </w:rPr>
        <w:t>. Не постои тековен стратешки развоен национален документ во областа на истражувањ</w:t>
      </w:r>
      <w:r w:rsidR="00171C0C" w:rsidRPr="008662BF">
        <w:rPr>
          <w:lang w:val="mk-MK"/>
        </w:rPr>
        <w:t xml:space="preserve">ата </w:t>
      </w:r>
      <w:r w:rsidRPr="008662BF">
        <w:rPr>
          <w:lang w:val="mk-MK"/>
        </w:rPr>
        <w:t>и науката, а последната верзија на Националната програма престана да важи пред неколку години.</w:t>
      </w:r>
    </w:p>
    <w:p w14:paraId="612189BC" w14:textId="79BE22B4" w:rsidR="00B75671" w:rsidRPr="008662BF" w:rsidRDefault="00B75671" w:rsidP="00B75671">
      <w:pPr>
        <w:jc w:val="both"/>
        <w:rPr>
          <w:lang w:val="mk-MK"/>
        </w:rPr>
      </w:pPr>
      <w:r w:rsidRPr="008662BF">
        <w:rPr>
          <w:lang w:val="mk-MK"/>
        </w:rPr>
        <w:t>Вкупните инвестиции во истражувањ</w:t>
      </w:r>
      <w:r w:rsidR="00171C0C" w:rsidRPr="008662BF">
        <w:rPr>
          <w:lang w:val="mk-MK"/>
        </w:rPr>
        <w:t>а</w:t>
      </w:r>
      <w:r w:rsidRPr="008662BF">
        <w:rPr>
          <w:lang w:val="mk-MK"/>
        </w:rPr>
        <w:t xml:space="preserve"> и иновации (И</w:t>
      </w:r>
      <w:r w:rsidR="00171C0C" w:rsidRPr="008662BF">
        <w:rPr>
          <w:lang w:val="mk-MK"/>
        </w:rPr>
        <w:t>иИ</w:t>
      </w:r>
      <w:r w:rsidRPr="008662BF">
        <w:rPr>
          <w:lang w:val="mk-MK"/>
        </w:rPr>
        <w:t xml:space="preserve">) во 2020 година беа прилично ниски (0,37% од БДП). Меѓутоа, во 2010 година, Министерството за образование и наука го спроведе проектот „Опремување лаборатории за научно-истражувачка и апликативна дејност“ чија цел беше </w:t>
      </w:r>
      <w:r w:rsidR="00D70527">
        <w:rPr>
          <w:lang w:val="mk-MK"/>
        </w:rPr>
        <w:t xml:space="preserve">да се </w:t>
      </w:r>
      <w:r w:rsidR="00D70527" w:rsidRPr="008662BF">
        <w:rPr>
          <w:lang w:val="mk-MK"/>
        </w:rPr>
        <w:t>подобр</w:t>
      </w:r>
      <w:r w:rsidR="00D70527">
        <w:rPr>
          <w:lang w:val="mk-MK"/>
        </w:rPr>
        <w:t>ат</w:t>
      </w:r>
      <w:r w:rsidRPr="008662BF">
        <w:rPr>
          <w:lang w:val="mk-MK"/>
        </w:rPr>
        <w:t xml:space="preserve"> капацитетите за истражувачка инфраструктура на јавните високообразовни институции и</w:t>
      </w:r>
      <w:r w:rsidR="00D70527">
        <w:rPr>
          <w:lang w:val="mk-MK"/>
        </w:rPr>
        <w:t xml:space="preserve"> на</w:t>
      </w:r>
      <w:r w:rsidRPr="008662BF">
        <w:rPr>
          <w:lang w:val="mk-MK"/>
        </w:rPr>
        <w:t xml:space="preserve"> истражувачки институти. Како резултат на овој проект, вкупно 80 истражувачки лаборатории се опремени со опрема за истражување со вкупна вредност од приближно 23 милиони евра.</w:t>
      </w:r>
    </w:p>
    <w:p w14:paraId="5EADD0E7" w14:textId="45D2AA83" w:rsidR="007947BF" w:rsidRPr="008662BF" w:rsidRDefault="00BE5B7B" w:rsidP="00BE5B7B">
      <w:pPr>
        <w:jc w:val="both"/>
        <w:rPr>
          <w:lang w:val="mk-MK"/>
        </w:rPr>
      </w:pPr>
      <w:r w:rsidRPr="008662BF">
        <w:rPr>
          <w:lang w:val="mk-MK"/>
        </w:rPr>
        <w:t xml:space="preserve">И покрај фактот што универзитетите во </w:t>
      </w:r>
      <w:r w:rsidR="00417197">
        <w:rPr>
          <w:lang w:val="mk-MK"/>
        </w:rPr>
        <w:t>Република Северна Македонија</w:t>
      </w:r>
      <w:r w:rsidRPr="008662BF">
        <w:rPr>
          <w:lang w:val="mk-MK"/>
        </w:rPr>
        <w:t xml:space="preserve"> претежно </w:t>
      </w:r>
      <w:r w:rsidR="00D70527" w:rsidRPr="008662BF">
        <w:rPr>
          <w:lang w:val="mk-MK"/>
        </w:rPr>
        <w:t xml:space="preserve">се </w:t>
      </w:r>
      <w:r w:rsidRPr="008662BF">
        <w:rPr>
          <w:lang w:val="mk-MK"/>
        </w:rPr>
        <w:t xml:space="preserve">фокусирани на образованието, постојат докази дека универзитетите се занимаваат и со истражувачка дејност, во која главно учествуваат јавните универзитети. Од вкупно 62 истражувачки лаборатории/институти што одговорија на прашалникот, 20 поседуваат единечна капитална истражувачка опрема во вредност од над 50.000 евра. Што се однесува до јавните универзитети, капиталната истражувачка опрема главно се наоѓа во Универзитетот „Св. Кирил и Методиј“ во Скопје. Институтот за современи композити и роботика во Прилеп е единствената приватна истражувачка институција </w:t>
      </w:r>
      <w:r w:rsidR="004366DC">
        <w:rPr>
          <w:lang w:val="mk-MK"/>
        </w:rPr>
        <w:t>што</w:t>
      </w:r>
      <w:r w:rsidR="00D574E8">
        <w:rPr>
          <w:lang w:val="mk-MK"/>
        </w:rPr>
        <w:t xml:space="preserve"> </w:t>
      </w:r>
      <w:r w:rsidRPr="008662BF">
        <w:rPr>
          <w:lang w:val="mk-MK"/>
        </w:rPr>
        <w:t>поседува капитална истражувачка опрема.</w:t>
      </w:r>
    </w:p>
    <w:p w14:paraId="4D34256E" w14:textId="6806648E" w:rsidR="00B33D0A" w:rsidRPr="008662BF" w:rsidRDefault="00B33D0A" w:rsidP="007947BF">
      <w:pPr>
        <w:jc w:val="both"/>
        <w:rPr>
          <w:lang w:val="mk-MK"/>
        </w:rPr>
      </w:pPr>
      <w:r w:rsidRPr="008662BF">
        <w:rPr>
          <w:lang w:val="mk-MK"/>
        </w:rPr>
        <w:t>Мнозинството истражувачки институции/лаборатории немаат официјална политика за пристап; меѓутоа, тие имаат јасно дефинирани внатрешни процедури за пристап до опремата/</w:t>
      </w:r>
      <w:r w:rsidR="00171C0C" w:rsidRPr="008662BF">
        <w:rPr>
          <w:lang w:val="mk-MK"/>
        </w:rPr>
        <w:t xml:space="preserve">објектите </w:t>
      </w:r>
      <w:r w:rsidRPr="008662BF">
        <w:rPr>
          <w:lang w:val="mk-MK"/>
        </w:rPr>
        <w:t>за истражување. Повеќето институции имаат отворен пристап за персонал</w:t>
      </w:r>
      <w:r w:rsidR="00171C0C" w:rsidRPr="008662BF">
        <w:rPr>
          <w:lang w:val="mk-MK"/>
        </w:rPr>
        <w:t>от што се занимава со истражувања</w:t>
      </w:r>
      <w:r w:rsidRPr="008662BF">
        <w:rPr>
          <w:lang w:val="mk-MK"/>
        </w:rPr>
        <w:t xml:space="preserve">, додека за надворешните корисници се бара посебна дозвола, </w:t>
      </w:r>
      <w:r w:rsidR="00D70527">
        <w:rPr>
          <w:lang w:val="mk-MK"/>
        </w:rPr>
        <w:t>што</w:t>
      </w:r>
      <w:r w:rsidRPr="008662BF">
        <w:rPr>
          <w:lang w:val="mk-MK"/>
        </w:rPr>
        <w:t xml:space="preserve"> подразбира: официјално поднесување на барање за пристап до истражувачката инфраструктура и официјално одобрување од раководството. Како резултат на Програмата за поддршка на отворениот пристап до истражувачката инфраструктура во Западен Балкан, спроведена од РЦЦ во 2020 година, </w:t>
      </w:r>
      <w:r w:rsidR="00C50642" w:rsidRPr="00417197">
        <w:rPr>
          <w:i/>
          <w:iCs/>
          <w:lang w:val="mk-MK"/>
        </w:rPr>
        <w:t>Политики за пристап до истражувачката инфраструктура</w:t>
      </w:r>
      <w:r w:rsidR="004366DC" w:rsidRPr="008662BF">
        <w:rPr>
          <w:lang w:val="mk-MK"/>
        </w:rPr>
        <w:t xml:space="preserve"> подготвија </w:t>
      </w:r>
      <w:r w:rsidRPr="008662BF">
        <w:rPr>
          <w:lang w:val="mk-MK"/>
        </w:rPr>
        <w:t>следни</w:t>
      </w:r>
      <w:r w:rsidR="004366DC">
        <w:rPr>
          <w:lang w:val="mk-MK"/>
        </w:rPr>
        <w:t>в</w:t>
      </w:r>
      <w:r w:rsidRPr="008662BF">
        <w:rPr>
          <w:lang w:val="mk-MK"/>
        </w:rPr>
        <w:t xml:space="preserve">е истражувачки институции: Институт за социјални, политички и правни истражувања, </w:t>
      </w:r>
      <w:r w:rsidRPr="008662BF">
        <w:rPr>
          <w:lang w:val="mk-MK"/>
        </w:rPr>
        <w:lastRenderedPageBreak/>
        <w:t>Универзитет „Св. Кирил и Методиј “во Скопје; Економски институт, Универзитет „Св. Кирил и Методиј“</w:t>
      </w:r>
      <w:r w:rsidR="00D574E8">
        <w:rPr>
          <w:lang w:val="mk-MK"/>
        </w:rPr>
        <w:t xml:space="preserve"> </w:t>
      </w:r>
      <w:r w:rsidRPr="008662BF">
        <w:rPr>
          <w:lang w:val="mk-MK"/>
        </w:rPr>
        <w:t>во Скопје; Факултет за информатички науки и компјутерско инженерство, Универзитет „Св. Кирил и Методиј“</w:t>
      </w:r>
      <w:r w:rsidR="00D574E8">
        <w:rPr>
          <w:lang w:val="mk-MK"/>
        </w:rPr>
        <w:t xml:space="preserve"> </w:t>
      </w:r>
      <w:r w:rsidRPr="008662BF">
        <w:rPr>
          <w:lang w:val="mk-MK"/>
        </w:rPr>
        <w:t>во Скопје и Ректоратот на Универзитетот „Св. Кирил и Методиј“ во Скопје.</w:t>
      </w:r>
    </w:p>
    <w:p w14:paraId="648CBBEF" w14:textId="5CBB7A5C" w:rsidR="007F7FB3" w:rsidRPr="008662BF" w:rsidRDefault="00417197" w:rsidP="007F7FB3">
      <w:pPr>
        <w:jc w:val="both"/>
        <w:rPr>
          <w:lang w:val="mk-MK"/>
        </w:rPr>
      </w:pPr>
      <w:r>
        <w:rPr>
          <w:lang w:val="mk-MK"/>
        </w:rPr>
        <w:t>Република Северна Македонија</w:t>
      </w:r>
      <w:r w:rsidR="007F7FB3" w:rsidRPr="008662BF">
        <w:rPr>
          <w:lang w:val="mk-MK"/>
        </w:rPr>
        <w:t xml:space="preserve"> придонесува за развојот на европската е-инфраструктура со учество во меѓународни проекти, </w:t>
      </w:r>
      <w:r w:rsidR="00D574E8">
        <w:rPr>
          <w:lang w:val="mk-MK"/>
        </w:rPr>
        <w:t xml:space="preserve">и во </w:t>
      </w:r>
      <w:r w:rsidR="007F7FB3" w:rsidRPr="008662BF">
        <w:rPr>
          <w:lang w:val="mk-MK"/>
        </w:rPr>
        <w:t xml:space="preserve">меѓународни асоцијации и институции, а со тоа придонесува за поголема интеграција на </w:t>
      </w:r>
      <w:r>
        <w:rPr>
          <w:lang w:val="mk-MK"/>
        </w:rPr>
        <w:t>Република Северна Македонија</w:t>
      </w:r>
      <w:r w:rsidR="007F7FB3" w:rsidRPr="008662BF">
        <w:rPr>
          <w:lang w:val="mk-MK"/>
        </w:rPr>
        <w:t xml:space="preserve"> во </w:t>
      </w:r>
      <w:r w:rsidR="00171C0C" w:rsidRPr="008662BF">
        <w:rPr>
          <w:lang w:val="mk-MK"/>
        </w:rPr>
        <w:t>Европската истражувачка област (ERA)</w:t>
      </w:r>
      <w:r w:rsidR="007F7FB3" w:rsidRPr="008662BF">
        <w:rPr>
          <w:lang w:val="mk-MK"/>
        </w:rPr>
        <w:t>. Факултет</w:t>
      </w:r>
      <w:r w:rsidR="00294F0B" w:rsidRPr="008662BF">
        <w:rPr>
          <w:lang w:val="mk-MK"/>
        </w:rPr>
        <w:t>от</w:t>
      </w:r>
      <w:r w:rsidR="007F7FB3" w:rsidRPr="008662BF">
        <w:rPr>
          <w:lang w:val="mk-MK"/>
        </w:rPr>
        <w:t xml:space="preserve"> за информатички на</w:t>
      </w:r>
      <w:r w:rsidR="00294F0B" w:rsidRPr="008662BF">
        <w:rPr>
          <w:lang w:val="mk-MK"/>
        </w:rPr>
        <w:t xml:space="preserve">уки и компјутерско инженерство при </w:t>
      </w:r>
      <w:r w:rsidR="007F7FB3" w:rsidRPr="008662BF">
        <w:rPr>
          <w:lang w:val="mk-MK"/>
        </w:rPr>
        <w:t>Универзитет</w:t>
      </w:r>
      <w:r w:rsidR="00294F0B" w:rsidRPr="008662BF">
        <w:rPr>
          <w:lang w:val="mk-MK"/>
        </w:rPr>
        <w:t>от</w:t>
      </w:r>
      <w:r w:rsidR="007F7FB3" w:rsidRPr="008662BF">
        <w:rPr>
          <w:lang w:val="mk-MK"/>
        </w:rPr>
        <w:t xml:space="preserve"> „Св. Кирил и Методиј“ во Скопје е најважната институција во земјата во поглед на е-инфраструктурата</w:t>
      </w:r>
      <w:r w:rsidR="003565C9">
        <w:rPr>
          <w:lang w:val="mk-MK"/>
        </w:rPr>
        <w:t xml:space="preserve"> што</w:t>
      </w:r>
      <w:r w:rsidR="00D574E8">
        <w:rPr>
          <w:lang w:val="mk-MK"/>
        </w:rPr>
        <w:t xml:space="preserve"> </w:t>
      </w:r>
      <w:r w:rsidR="003565C9">
        <w:rPr>
          <w:lang w:val="mk-MK"/>
        </w:rPr>
        <w:t>о</w:t>
      </w:r>
      <w:r w:rsidR="007F7FB3" w:rsidRPr="008662BF">
        <w:rPr>
          <w:lang w:val="mk-MK"/>
        </w:rPr>
        <w:t xml:space="preserve">безбедува е-инфраструктурна поддршка за академските и истражувачките заедници, </w:t>
      </w:r>
      <w:r w:rsidR="003565C9">
        <w:rPr>
          <w:lang w:val="mk-MK"/>
        </w:rPr>
        <w:t xml:space="preserve">за </w:t>
      </w:r>
      <w:r w:rsidR="007F7FB3" w:rsidRPr="008662BF">
        <w:rPr>
          <w:lang w:val="mk-MK"/>
        </w:rPr>
        <w:t xml:space="preserve">министерствата, јавниот сектор и </w:t>
      </w:r>
      <w:r w:rsidR="003565C9">
        <w:rPr>
          <w:lang w:val="mk-MK"/>
        </w:rPr>
        <w:t xml:space="preserve">за </w:t>
      </w:r>
      <w:r w:rsidR="007F7FB3" w:rsidRPr="008662BF">
        <w:rPr>
          <w:lang w:val="mk-MK"/>
        </w:rPr>
        <w:t xml:space="preserve">индустријата. Македонската истражувачка и академска мрежа (МАРНет) е членка на </w:t>
      </w:r>
      <w:r w:rsidR="00294F0B" w:rsidRPr="008662BF">
        <w:rPr>
          <w:lang w:val="mk-MK"/>
        </w:rPr>
        <w:t xml:space="preserve">е </w:t>
      </w:r>
      <w:r w:rsidR="003565C9">
        <w:rPr>
          <w:i/>
          <w:iCs/>
          <w:lang w:val="mk-MK"/>
        </w:rPr>
        <w:t>П</w:t>
      </w:r>
      <w:r w:rsidR="00C50642" w:rsidRPr="00417197">
        <w:rPr>
          <w:i/>
          <w:iCs/>
          <w:lang w:val="mk-MK"/>
        </w:rPr>
        <w:t>аневропската мрежа за истражување и образование</w:t>
      </w:r>
      <w:r w:rsidR="00D574E8">
        <w:rPr>
          <w:i/>
          <w:iCs/>
          <w:lang w:val="mk-MK"/>
        </w:rPr>
        <w:t xml:space="preserve"> </w:t>
      </w:r>
      <w:r w:rsidR="00294F0B" w:rsidRPr="008662BF">
        <w:rPr>
          <w:lang w:val="mk-MK"/>
        </w:rPr>
        <w:t>(</w:t>
      </w:r>
      <w:r w:rsidR="007F7FB3" w:rsidRPr="008662BF">
        <w:rPr>
          <w:lang w:val="mk-MK"/>
        </w:rPr>
        <w:t>GÉANT</w:t>
      </w:r>
      <w:r w:rsidR="00294F0B" w:rsidRPr="008662BF">
        <w:rPr>
          <w:lang w:val="mk-MK"/>
        </w:rPr>
        <w:t>)</w:t>
      </w:r>
      <w:r w:rsidR="007F7FB3" w:rsidRPr="008662BF">
        <w:rPr>
          <w:lang w:val="mk-MK"/>
        </w:rPr>
        <w:t>.</w:t>
      </w:r>
    </w:p>
    <w:p w14:paraId="0612AAE7" w14:textId="2B0925A9" w:rsidR="007F7FB3" w:rsidRPr="008662BF" w:rsidRDefault="007F7FB3" w:rsidP="007F7FB3">
      <w:pPr>
        <w:jc w:val="both"/>
        <w:rPr>
          <w:lang w:val="mk-MK"/>
        </w:rPr>
      </w:pPr>
      <w:r w:rsidRPr="008662BF">
        <w:rPr>
          <w:lang w:val="mk-MK"/>
        </w:rPr>
        <w:t xml:space="preserve">Институциите од </w:t>
      </w:r>
      <w:r w:rsidR="00417197">
        <w:rPr>
          <w:lang w:val="mk-MK"/>
        </w:rPr>
        <w:t>Република Северна Македонија</w:t>
      </w:r>
      <w:r w:rsidRPr="008662BF">
        <w:rPr>
          <w:lang w:val="mk-MK"/>
        </w:rPr>
        <w:t xml:space="preserve"> учествуваа во 18 меѓународни проекти (11 проекти во рамките на </w:t>
      </w:r>
      <w:r w:rsidR="00294F0B" w:rsidRPr="008662BF">
        <w:rPr>
          <w:lang w:val="mk-MK"/>
        </w:rPr>
        <w:t>програмата Хоризонт 2020 (</w:t>
      </w:r>
      <w:r w:rsidRPr="008662BF">
        <w:rPr>
          <w:lang w:val="mk-MK"/>
        </w:rPr>
        <w:t>H2020</w:t>
      </w:r>
      <w:r w:rsidR="00294F0B" w:rsidRPr="008662BF">
        <w:rPr>
          <w:lang w:val="mk-MK"/>
        </w:rPr>
        <w:t>)</w:t>
      </w:r>
      <w:r w:rsidRPr="008662BF">
        <w:rPr>
          <w:lang w:val="mk-MK"/>
        </w:rPr>
        <w:t xml:space="preserve"> и 7 проекти во рамките на FP7) </w:t>
      </w:r>
      <w:r w:rsidR="003565C9">
        <w:rPr>
          <w:lang w:val="mk-MK"/>
        </w:rPr>
        <w:t xml:space="preserve">што се </w:t>
      </w:r>
      <w:r w:rsidRPr="008662BF">
        <w:rPr>
          <w:lang w:val="mk-MK"/>
        </w:rPr>
        <w:t>поврзани со развојот на истражувачката инфраструктура. Реализирани се 13 проекти, а 4 се во тек.</w:t>
      </w:r>
    </w:p>
    <w:p w14:paraId="153302B0" w14:textId="110E13FE" w:rsidR="007947BF" w:rsidRPr="008662BF" w:rsidRDefault="00417197" w:rsidP="007947BF">
      <w:pPr>
        <w:jc w:val="both"/>
        <w:rPr>
          <w:lang w:val="mk-MK"/>
        </w:rPr>
      </w:pPr>
      <w:r>
        <w:rPr>
          <w:lang w:val="mk-MK"/>
        </w:rPr>
        <w:t>Република Северна Македонија</w:t>
      </w:r>
      <w:r w:rsidR="00565D00" w:rsidRPr="008662BF">
        <w:rPr>
          <w:lang w:val="mk-MK"/>
        </w:rPr>
        <w:t xml:space="preserve"> е членка на </w:t>
      </w:r>
      <w:r w:rsidR="00294F0B" w:rsidRPr="008662BF">
        <w:rPr>
          <w:lang w:val="mk-MK"/>
        </w:rPr>
        <w:t>ESFRI</w:t>
      </w:r>
      <w:r w:rsidR="00565D00" w:rsidRPr="008662BF">
        <w:rPr>
          <w:lang w:val="mk-MK"/>
        </w:rPr>
        <w:t xml:space="preserve">. Во моментов, </w:t>
      </w:r>
      <w:r>
        <w:rPr>
          <w:lang w:val="mk-MK"/>
        </w:rPr>
        <w:t>Република Северна Македонија</w:t>
      </w:r>
      <w:r w:rsidR="00565D00" w:rsidRPr="008662BF">
        <w:rPr>
          <w:lang w:val="mk-MK"/>
        </w:rPr>
        <w:t xml:space="preserve"> учествува во еден проект за развој на истражувачката инфраструктура на </w:t>
      </w:r>
      <w:r w:rsidR="00C50642" w:rsidRPr="00417197">
        <w:rPr>
          <w:lang w:val="mk-MK"/>
        </w:rPr>
        <w:t>ESFRI</w:t>
      </w:r>
      <w:r w:rsidR="00294F0B" w:rsidRPr="008662BF">
        <w:rPr>
          <w:lang w:val="mk-MK"/>
        </w:rPr>
        <w:t xml:space="preserve"> – METROFOOD – RI - </w:t>
      </w:r>
      <w:r w:rsidR="00C50642" w:rsidRPr="00417197">
        <w:rPr>
          <w:i/>
          <w:lang w:val="mk-MK"/>
        </w:rPr>
        <w:t>Инфраструктура за промовирање на метрологијата во областа на храната и исхраната</w:t>
      </w:r>
      <w:r w:rsidR="00565D00" w:rsidRPr="008662BF">
        <w:rPr>
          <w:lang w:val="mk-MK"/>
        </w:rPr>
        <w:t xml:space="preserve">. </w:t>
      </w:r>
      <w:r>
        <w:rPr>
          <w:lang w:val="mk-MK"/>
        </w:rPr>
        <w:t>Република Северна Македонија</w:t>
      </w:r>
      <w:r w:rsidR="00565D00" w:rsidRPr="008662BF">
        <w:rPr>
          <w:lang w:val="mk-MK"/>
        </w:rPr>
        <w:t xml:space="preserve"> исто така учествува и во работењето на неколку големи европски </w:t>
      </w:r>
      <w:r w:rsidR="00294F0B" w:rsidRPr="008662BF">
        <w:rPr>
          <w:lang w:val="mk-MK"/>
        </w:rPr>
        <w:t xml:space="preserve">истражувачки инфраструктури </w:t>
      </w:r>
      <w:r w:rsidR="00B461A4">
        <w:rPr>
          <w:lang w:val="mk-MK"/>
        </w:rPr>
        <w:t>што</w:t>
      </w:r>
      <w:r w:rsidR="00D574E8">
        <w:rPr>
          <w:lang w:val="mk-MK"/>
        </w:rPr>
        <w:t xml:space="preserve"> </w:t>
      </w:r>
      <w:r w:rsidR="00565D00" w:rsidRPr="008662BF">
        <w:rPr>
          <w:lang w:val="mk-MK"/>
        </w:rPr>
        <w:t xml:space="preserve">не се вклучени во Патоказот на </w:t>
      </w:r>
      <w:r w:rsidR="00294F0B" w:rsidRPr="008662BF">
        <w:rPr>
          <w:lang w:val="mk-MK"/>
        </w:rPr>
        <w:t>ESFRI</w:t>
      </w:r>
      <w:r w:rsidR="00565D00" w:rsidRPr="008662BF">
        <w:rPr>
          <w:lang w:val="mk-MK"/>
        </w:rPr>
        <w:t xml:space="preserve">, но се важни за развојот на европската и регионалната истражувачка инфраструктура: </w:t>
      </w:r>
      <w:r w:rsidR="00294F0B" w:rsidRPr="008662BF">
        <w:rPr>
          <w:lang w:val="mk-MK"/>
        </w:rPr>
        <w:t>GEANT - Пан</w:t>
      </w:r>
      <w:r w:rsidR="00565D00" w:rsidRPr="008662BF">
        <w:rPr>
          <w:lang w:val="mk-MK"/>
        </w:rPr>
        <w:t>европска мрежа; Европски облак за отворена наука (</w:t>
      </w:r>
      <w:r w:rsidR="00294F0B" w:rsidRPr="008662BF">
        <w:rPr>
          <w:lang w:val="mk-MK"/>
        </w:rPr>
        <w:t>EOSC</w:t>
      </w:r>
      <w:r w:rsidR="00565D00" w:rsidRPr="008662BF">
        <w:rPr>
          <w:lang w:val="mk-MK"/>
        </w:rPr>
        <w:t xml:space="preserve">); </w:t>
      </w:r>
      <w:r w:rsidR="00294F0B" w:rsidRPr="008662BF">
        <w:rPr>
          <w:lang w:val="mk-MK"/>
        </w:rPr>
        <w:t>CEESDA; EGI</w:t>
      </w:r>
      <w:r w:rsidR="00B461A4">
        <w:rPr>
          <w:lang w:val="mk-MK"/>
        </w:rPr>
        <w:t xml:space="preserve"> -</w:t>
      </w:r>
      <w:r w:rsidR="00565D00" w:rsidRPr="008662BF">
        <w:rPr>
          <w:lang w:val="mk-MK"/>
        </w:rPr>
        <w:t xml:space="preserve"> Напредн</w:t>
      </w:r>
      <w:r w:rsidR="00A9001D">
        <w:rPr>
          <w:lang w:val="mk-MK"/>
        </w:rPr>
        <w:t xml:space="preserve">о компјутерско </w:t>
      </w:r>
      <w:r w:rsidR="00565D00" w:rsidRPr="008662BF">
        <w:rPr>
          <w:lang w:val="mk-MK"/>
        </w:rPr>
        <w:t>пресметување за истражувањ</w:t>
      </w:r>
      <w:r w:rsidR="00D61E89">
        <w:rPr>
          <w:lang w:val="mk-MK"/>
        </w:rPr>
        <w:t>а</w:t>
      </w:r>
      <w:r w:rsidR="00565D00" w:rsidRPr="008662BF">
        <w:rPr>
          <w:lang w:val="mk-MK"/>
        </w:rPr>
        <w:t xml:space="preserve">; OpenAIRE AMKE; EuroHPC JU; Европско </w:t>
      </w:r>
      <w:r w:rsidR="00294F0B" w:rsidRPr="008662BF">
        <w:rPr>
          <w:lang w:val="mk-MK"/>
        </w:rPr>
        <w:t xml:space="preserve">општествено </w:t>
      </w:r>
      <w:r w:rsidR="00565D00" w:rsidRPr="008662BF">
        <w:rPr>
          <w:lang w:val="mk-MK"/>
        </w:rPr>
        <w:t>истражување (ESS) и SEEIST.</w:t>
      </w:r>
    </w:p>
    <w:p w14:paraId="60FAD834" w14:textId="7D5DB9DD" w:rsidR="009D4807" w:rsidRPr="008662BF" w:rsidRDefault="00D574E8" w:rsidP="009D4807">
      <w:pPr>
        <w:jc w:val="both"/>
        <w:rPr>
          <w:lang w:val="mk-MK"/>
        </w:rPr>
      </w:pPr>
      <w:r>
        <w:rPr>
          <w:lang w:val="mk-MK"/>
        </w:rPr>
        <w:t>З</w:t>
      </w:r>
      <w:r w:rsidR="009D4807" w:rsidRPr="008662BF">
        <w:rPr>
          <w:lang w:val="mk-MK"/>
        </w:rPr>
        <w:t xml:space="preserve">а да се интегрира </w:t>
      </w:r>
      <w:r w:rsidRPr="008662BF">
        <w:rPr>
          <w:lang w:val="mk-MK"/>
        </w:rPr>
        <w:t xml:space="preserve">успешно </w:t>
      </w:r>
      <w:r w:rsidR="009D4807" w:rsidRPr="008662BF">
        <w:rPr>
          <w:lang w:val="mk-MK"/>
        </w:rPr>
        <w:t xml:space="preserve">во </w:t>
      </w:r>
      <w:r w:rsidR="00294F0B" w:rsidRPr="008662BF">
        <w:rPr>
          <w:lang w:val="mk-MK"/>
        </w:rPr>
        <w:t>Европската истражувачка област</w:t>
      </w:r>
      <w:r w:rsidR="009D4807" w:rsidRPr="008662BF">
        <w:rPr>
          <w:lang w:val="mk-MK"/>
        </w:rPr>
        <w:t xml:space="preserve">, </w:t>
      </w:r>
      <w:r w:rsidR="00417197">
        <w:rPr>
          <w:lang w:val="mk-MK"/>
        </w:rPr>
        <w:t>Република Северна Македонија</w:t>
      </w:r>
      <w:r w:rsidRPr="008662BF" w:rsidDel="00A1636A">
        <w:rPr>
          <w:lang w:val="mk-MK"/>
        </w:rPr>
        <w:t xml:space="preserve"> </w:t>
      </w:r>
      <w:r w:rsidR="009D4807" w:rsidRPr="008662BF">
        <w:rPr>
          <w:lang w:val="mk-MK"/>
        </w:rPr>
        <w:t xml:space="preserve">треба да </w:t>
      </w:r>
      <w:r w:rsidR="00294F0B" w:rsidRPr="008662BF">
        <w:rPr>
          <w:lang w:val="mk-MK"/>
        </w:rPr>
        <w:t xml:space="preserve">ја признае стратешката важност на </w:t>
      </w:r>
      <w:r w:rsidR="009D4807" w:rsidRPr="008662BF">
        <w:rPr>
          <w:lang w:val="mk-MK"/>
        </w:rPr>
        <w:t xml:space="preserve">истражувачките инфраструктури за економскиот развој. Видливоста и квалитетот на ИИ во поширокиот европски истражувачки опсег </w:t>
      </w:r>
      <w:r w:rsidR="00C50642" w:rsidRPr="00417197">
        <w:rPr>
          <w:lang w:val="mk-MK"/>
        </w:rPr>
        <w:t>треба</w:t>
      </w:r>
      <w:r>
        <w:rPr>
          <w:lang w:val="mk-MK"/>
        </w:rPr>
        <w:t xml:space="preserve"> </w:t>
      </w:r>
      <w:r w:rsidR="00A1636A">
        <w:rPr>
          <w:lang w:val="mk-MK"/>
        </w:rPr>
        <w:t xml:space="preserve">и </w:t>
      </w:r>
      <w:r w:rsidR="009D4807" w:rsidRPr="008662BF">
        <w:rPr>
          <w:lang w:val="mk-MK"/>
        </w:rPr>
        <w:t xml:space="preserve">понатаму да се подобруваат, </w:t>
      </w:r>
      <w:r>
        <w:rPr>
          <w:lang w:val="mk-MK"/>
        </w:rPr>
        <w:t>како и</w:t>
      </w:r>
      <w:r w:rsidR="009D4807" w:rsidRPr="008662BF">
        <w:rPr>
          <w:lang w:val="mk-MK"/>
        </w:rPr>
        <w:t xml:space="preserve"> поврзаноста со општеството на знаење. Координацијата на политиките е најважна на овој пат, додека цврстата поврзаност со приоритетите за истражување и развој </w:t>
      </w:r>
      <w:r w:rsidR="00294F0B" w:rsidRPr="008662BF">
        <w:rPr>
          <w:lang w:val="mk-MK"/>
        </w:rPr>
        <w:t xml:space="preserve">претставува </w:t>
      </w:r>
      <w:r w:rsidR="009D4807" w:rsidRPr="008662BF">
        <w:rPr>
          <w:lang w:val="mk-MK"/>
        </w:rPr>
        <w:t>неопход</w:t>
      </w:r>
      <w:r w:rsidR="00294F0B" w:rsidRPr="008662BF">
        <w:rPr>
          <w:lang w:val="mk-MK"/>
        </w:rPr>
        <w:t xml:space="preserve">ен </w:t>
      </w:r>
      <w:r w:rsidR="009D4807" w:rsidRPr="008662BF">
        <w:rPr>
          <w:lang w:val="mk-MK"/>
        </w:rPr>
        <w:t xml:space="preserve">услов, за </w:t>
      </w:r>
      <w:r w:rsidR="00A1636A" w:rsidRPr="008662BF">
        <w:rPr>
          <w:lang w:val="mk-MK"/>
        </w:rPr>
        <w:t>да мож</w:t>
      </w:r>
      <w:r w:rsidR="00A1636A">
        <w:rPr>
          <w:lang w:val="mk-MK"/>
        </w:rPr>
        <w:t>ат</w:t>
      </w:r>
      <w:r w:rsidR="001A6E3D">
        <w:t xml:space="preserve"> </w:t>
      </w:r>
      <w:r w:rsidR="009D4807" w:rsidRPr="008662BF">
        <w:rPr>
          <w:lang w:val="mk-MK"/>
        </w:rPr>
        <w:t>финанси</w:t>
      </w:r>
      <w:r w:rsidR="00294F0B" w:rsidRPr="008662BF">
        <w:rPr>
          <w:lang w:val="mk-MK"/>
        </w:rPr>
        <w:t xml:space="preserve">ите </w:t>
      </w:r>
      <w:r w:rsidR="009D4807" w:rsidRPr="008662BF">
        <w:rPr>
          <w:lang w:val="mk-MK"/>
        </w:rPr>
        <w:t>да се насоч</w:t>
      </w:r>
      <w:r w:rsidR="00294F0B" w:rsidRPr="008662BF">
        <w:rPr>
          <w:lang w:val="mk-MK"/>
        </w:rPr>
        <w:t xml:space="preserve">ат </w:t>
      </w:r>
      <w:r w:rsidR="009D4807" w:rsidRPr="008662BF">
        <w:rPr>
          <w:lang w:val="mk-MK"/>
        </w:rPr>
        <w:t xml:space="preserve">кон истражувачките капацитети </w:t>
      </w:r>
      <w:r w:rsidR="00A1636A">
        <w:rPr>
          <w:lang w:val="mk-MK"/>
        </w:rPr>
        <w:t>што</w:t>
      </w:r>
      <w:r w:rsidR="001A6E3D">
        <w:t xml:space="preserve"> </w:t>
      </w:r>
      <w:r w:rsidR="009D4807" w:rsidRPr="008662BF">
        <w:rPr>
          <w:lang w:val="mk-MK"/>
        </w:rPr>
        <w:t xml:space="preserve">вршат најдобри истражувања и </w:t>
      </w:r>
      <w:r w:rsidR="00A1636A">
        <w:rPr>
          <w:lang w:val="mk-MK"/>
        </w:rPr>
        <w:t xml:space="preserve">што </w:t>
      </w:r>
      <w:r w:rsidR="009D4807" w:rsidRPr="008662BF">
        <w:rPr>
          <w:lang w:val="mk-MK"/>
        </w:rPr>
        <w:t>обезбедуваат најистакнати социоекономски придобивки.</w:t>
      </w:r>
    </w:p>
    <w:p w14:paraId="12451A8F" w14:textId="793802E6" w:rsidR="009D4807" w:rsidRPr="008662BF" w:rsidRDefault="00A1636A" w:rsidP="009D4807">
      <w:pPr>
        <w:jc w:val="both"/>
        <w:rPr>
          <w:lang w:val="mk-MK"/>
        </w:rPr>
      </w:pPr>
      <w:r>
        <w:rPr>
          <w:lang w:val="mk-MK"/>
        </w:rPr>
        <w:t>Од</w:t>
      </w:r>
      <w:r w:rsidR="001A6E3D">
        <w:rPr>
          <w:lang w:val="mk-MK"/>
        </w:rPr>
        <w:t xml:space="preserve"> </w:t>
      </w:r>
      <w:r w:rsidR="009D4807" w:rsidRPr="008662BF">
        <w:rPr>
          <w:lang w:val="mk-MK"/>
        </w:rPr>
        <w:t>анализата на моменталната состојба на истражувачката инфраструктура во земјата, произлегоа следни</w:t>
      </w:r>
      <w:r>
        <w:rPr>
          <w:lang w:val="mk-MK"/>
        </w:rPr>
        <w:t>в</w:t>
      </w:r>
      <w:r w:rsidR="009D4807" w:rsidRPr="008662BF">
        <w:rPr>
          <w:lang w:val="mk-MK"/>
        </w:rPr>
        <w:t xml:space="preserve">е препораки за политики, </w:t>
      </w:r>
      <w:r w:rsidR="001D54F2">
        <w:rPr>
          <w:lang w:val="mk-MK"/>
        </w:rPr>
        <w:t>со</w:t>
      </w:r>
      <w:r w:rsidR="009D4807" w:rsidRPr="008662BF">
        <w:rPr>
          <w:lang w:val="mk-MK"/>
        </w:rPr>
        <w:t xml:space="preserve"> цел да се подобри квалитетот на постојната истражувачка инфраструктура во </w:t>
      </w:r>
      <w:r w:rsidR="00417197">
        <w:rPr>
          <w:lang w:val="mk-MK"/>
        </w:rPr>
        <w:t>Република Северна Македонија</w:t>
      </w:r>
      <w:r w:rsidR="009D4807" w:rsidRPr="008662BF">
        <w:rPr>
          <w:lang w:val="mk-MK"/>
        </w:rPr>
        <w:t>:</w:t>
      </w:r>
    </w:p>
    <w:p w14:paraId="0018A75C" w14:textId="77777777" w:rsidR="009D4807" w:rsidRPr="008662BF" w:rsidRDefault="009D4807" w:rsidP="009D4807">
      <w:pPr>
        <w:pStyle w:val="ListParagraph"/>
        <w:numPr>
          <w:ilvl w:val="0"/>
          <w:numId w:val="50"/>
        </w:numPr>
        <w:spacing w:after="0"/>
        <w:jc w:val="both"/>
        <w:rPr>
          <w:lang w:val="mk-MK"/>
        </w:rPr>
      </w:pPr>
      <w:r w:rsidRPr="008662BF">
        <w:rPr>
          <w:b/>
          <w:lang w:val="mk-MK"/>
        </w:rPr>
        <w:t>Подготовка на Акциски план за развој на истражувачки</w:t>
      </w:r>
      <w:r w:rsidR="00294F0B" w:rsidRPr="008662BF">
        <w:rPr>
          <w:b/>
          <w:lang w:val="mk-MK"/>
        </w:rPr>
        <w:t>те</w:t>
      </w:r>
      <w:r w:rsidRPr="008662BF">
        <w:rPr>
          <w:b/>
          <w:lang w:val="mk-MK"/>
        </w:rPr>
        <w:t xml:space="preserve"> инфраструктури</w:t>
      </w:r>
    </w:p>
    <w:p w14:paraId="4CD92BDE" w14:textId="082A37D2" w:rsidR="009D4807" w:rsidRPr="001A6E3D" w:rsidRDefault="009D4807" w:rsidP="007947BF">
      <w:pPr>
        <w:pStyle w:val="ListParagraph"/>
        <w:ind w:left="360"/>
        <w:jc w:val="both"/>
        <w:rPr>
          <w:lang w:val="mk-MK"/>
        </w:rPr>
      </w:pPr>
      <w:r w:rsidRPr="001A6E3D">
        <w:rPr>
          <w:lang w:val="mk-MK"/>
        </w:rPr>
        <w:t xml:space="preserve">По мапирањето на постојните истражувачки инфраструктури и проекти за </w:t>
      </w:r>
      <w:r w:rsidR="00294F0B" w:rsidRPr="001A6E3D">
        <w:rPr>
          <w:lang w:val="mk-MK"/>
        </w:rPr>
        <w:t xml:space="preserve">истражувачки инфраструктури </w:t>
      </w:r>
      <w:r w:rsidRPr="001A6E3D">
        <w:rPr>
          <w:lang w:val="mk-MK"/>
        </w:rPr>
        <w:t>во овој документ, неопходно е да се подготви Акциски план за спроведување мерки и активности за да се обезбеди натамош</w:t>
      </w:r>
      <w:r w:rsidR="00294F0B" w:rsidRPr="001A6E3D">
        <w:rPr>
          <w:lang w:val="mk-MK"/>
        </w:rPr>
        <w:t xml:space="preserve">ниот </w:t>
      </w:r>
      <w:r w:rsidRPr="001A6E3D">
        <w:rPr>
          <w:lang w:val="mk-MK"/>
        </w:rPr>
        <w:t xml:space="preserve">развој на </w:t>
      </w:r>
      <w:r w:rsidR="00294F0B" w:rsidRPr="001A6E3D">
        <w:rPr>
          <w:lang w:val="mk-MK"/>
        </w:rPr>
        <w:t>истражувачките инфраструктури</w:t>
      </w:r>
      <w:r w:rsidRPr="001A6E3D">
        <w:rPr>
          <w:lang w:val="mk-MK"/>
        </w:rPr>
        <w:t xml:space="preserve">. Главната цел на Акцискиот план е да се прикажат финансиските </w:t>
      </w:r>
      <w:r w:rsidRPr="001A6E3D">
        <w:rPr>
          <w:lang w:val="mk-MK"/>
        </w:rPr>
        <w:lastRenderedPageBreak/>
        <w:t xml:space="preserve">импликации и да се резимираат клучните чекори што треба да се преземат за да се спроведат активностите и да се постигнат целите на Патоказот. </w:t>
      </w:r>
      <w:r w:rsidR="00C50642" w:rsidRPr="00417197">
        <w:rPr>
          <w:lang w:val="mk-MK"/>
        </w:rPr>
        <w:t>Спроведувањето на Патоказот</w:t>
      </w:r>
      <w:r w:rsidR="001A6E3D">
        <w:rPr>
          <w:lang w:val="mk-MK"/>
        </w:rPr>
        <w:t xml:space="preserve"> </w:t>
      </w:r>
      <w:r w:rsidR="00C50642" w:rsidRPr="00417197">
        <w:rPr>
          <w:lang w:val="mk-MK"/>
        </w:rPr>
        <w:t xml:space="preserve"> за ИИ има клучно значење за </w:t>
      </w:r>
      <w:r w:rsidR="00417197">
        <w:rPr>
          <w:lang w:val="mk-MK"/>
        </w:rPr>
        <w:t>Република Северна Македонија</w:t>
      </w:r>
      <w:r w:rsidR="00C50642" w:rsidRPr="00417197">
        <w:rPr>
          <w:lang w:val="mk-MK"/>
        </w:rPr>
        <w:t>, за да се приближи до првите редови на науката и технологијата и да стане поконкурентна во регионалната економија.</w:t>
      </w:r>
    </w:p>
    <w:p w14:paraId="4274CD60" w14:textId="554352B3" w:rsidR="00AC7C06" w:rsidRPr="008662BF" w:rsidRDefault="00AC7C06" w:rsidP="007947BF">
      <w:pPr>
        <w:pStyle w:val="ListParagraph"/>
        <w:ind w:left="360"/>
        <w:jc w:val="both"/>
        <w:rPr>
          <w:lang w:val="mk-MK"/>
        </w:rPr>
      </w:pPr>
      <w:r w:rsidRPr="001A6E3D">
        <w:rPr>
          <w:lang w:val="mk-MK"/>
        </w:rPr>
        <w:t>Меѓутоа, воспоставувањето на ИИ има значително влијание врз националниот буџет за наука (кој е доста низок), па оттука се поставува прашањето за нивната долгорочна одржливост. Ова налага општа дебата за истраж</w:t>
      </w:r>
      <w:r w:rsidR="001A6E3D">
        <w:rPr>
          <w:lang w:val="mk-MK"/>
        </w:rPr>
        <w:t>ување</w:t>
      </w:r>
      <w:r w:rsidR="002A4246">
        <w:rPr>
          <w:lang w:val="mk-MK"/>
        </w:rPr>
        <w:t xml:space="preserve"> на</w:t>
      </w:r>
      <w:r w:rsidRPr="001A6E3D">
        <w:rPr>
          <w:lang w:val="mk-MK"/>
        </w:rPr>
        <w:t xml:space="preserve"> начините за поефикасно комбинирање на средствата од различни извори и во крајна линија,</w:t>
      </w:r>
      <w:r w:rsidR="008A67A8" w:rsidRPr="001A6E3D">
        <w:rPr>
          <w:lang w:val="mk-MK"/>
        </w:rPr>
        <w:t xml:space="preserve"> за</w:t>
      </w:r>
      <w:r w:rsidRPr="001A6E3D">
        <w:rPr>
          <w:lang w:val="mk-MK"/>
        </w:rPr>
        <w:t xml:space="preserve"> дефинирање </w:t>
      </w:r>
      <w:r w:rsidR="00973AC3" w:rsidRPr="001A6E3D">
        <w:rPr>
          <w:lang w:val="mk-MK"/>
        </w:rPr>
        <w:t xml:space="preserve">на </w:t>
      </w:r>
      <w:r w:rsidRPr="001A6E3D">
        <w:rPr>
          <w:lang w:val="mk-MK"/>
        </w:rPr>
        <w:t>цели</w:t>
      </w:r>
      <w:r w:rsidR="00973AC3" w:rsidRPr="001A6E3D">
        <w:rPr>
          <w:lang w:val="mk-MK"/>
        </w:rPr>
        <w:t>те</w:t>
      </w:r>
      <w:r w:rsidRPr="001A6E3D">
        <w:rPr>
          <w:lang w:val="mk-MK"/>
        </w:rPr>
        <w:t xml:space="preserve"> за истражувачките инфраструктури.</w:t>
      </w:r>
    </w:p>
    <w:p w14:paraId="15F7A84E" w14:textId="77777777" w:rsidR="007947BF" w:rsidRPr="008662BF" w:rsidRDefault="00EF4362" w:rsidP="00EF4362">
      <w:pPr>
        <w:pStyle w:val="ListParagraph"/>
        <w:numPr>
          <w:ilvl w:val="0"/>
          <w:numId w:val="50"/>
        </w:numPr>
        <w:spacing w:after="0"/>
        <w:jc w:val="both"/>
        <w:rPr>
          <w:b/>
          <w:lang w:val="mk-MK"/>
        </w:rPr>
      </w:pPr>
      <w:r w:rsidRPr="008662BF">
        <w:rPr>
          <w:b/>
          <w:lang w:val="mk-MK"/>
        </w:rPr>
        <w:t>Поврзување на потенцијалот за истражување</w:t>
      </w:r>
      <w:r w:rsidR="008A67A8">
        <w:rPr>
          <w:b/>
          <w:lang w:val="mk-MK"/>
        </w:rPr>
        <w:t xml:space="preserve"> што е</w:t>
      </w:r>
      <w:r w:rsidR="002A4246">
        <w:rPr>
          <w:b/>
          <w:lang w:val="mk-MK"/>
        </w:rPr>
        <w:t xml:space="preserve"> </w:t>
      </w:r>
      <w:r w:rsidR="00973AC3" w:rsidRPr="008662BF">
        <w:rPr>
          <w:b/>
          <w:lang w:val="mk-MK"/>
        </w:rPr>
        <w:t xml:space="preserve">утврден </w:t>
      </w:r>
      <w:r w:rsidRPr="008662BF">
        <w:rPr>
          <w:b/>
          <w:lang w:val="mk-MK"/>
        </w:rPr>
        <w:t>во Патоказот за ИИ и</w:t>
      </w:r>
      <w:r w:rsidR="002A4246">
        <w:rPr>
          <w:b/>
          <w:lang w:val="mk-MK"/>
        </w:rPr>
        <w:t xml:space="preserve"> во</w:t>
      </w:r>
      <w:r w:rsidRPr="008662BF">
        <w:rPr>
          <w:b/>
          <w:lang w:val="mk-MK"/>
        </w:rPr>
        <w:t xml:space="preserve"> идните активности во подготовката на Стратегијата за паметна специјализација</w:t>
      </w:r>
    </w:p>
    <w:p w14:paraId="5900764D" w14:textId="16896E5E" w:rsidR="00EF4362" w:rsidRPr="008662BF" w:rsidRDefault="00EF4362" w:rsidP="007947BF">
      <w:pPr>
        <w:pStyle w:val="ListParagraph"/>
        <w:ind w:left="360"/>
        <w:jc w:val="both"/>
        <w:rPr>
          <w:lang w:val="mk-MK"/>
        </w:rPr>
      </w:pPr>
      <w:r w:rsidRPr="008662BF">
        <w:rPr>
          <w:lang w:val="mk-MK"/>
        </w:rPr>
        <w:t xml:space="preserve">Бидејќи </w:t>
      </w:r>
      <w:r w:rsidR="00417197">
        <w:rPr>
          <w:lang w:val="mk-MK"/>
        </w:rPr>
        <w:t>Република Северна Македонија</w:t>
      </w:r>
      <w:r w:rsidRPr="008662BF">
        <w:rPr>
          <w:lang w:val="mk-MK"/>
        </w:rPr>
        <w:t xml:space="preserve"> во моментов е во процес на подготовка на својата </w:t>
      </w:r>
      <w:r w:rsidR="007B6DA7" w:rsidRPr="007B6DA7">
        <w:rPr>
          <w:lang w:val="mk-MK"/>
        </w:rPr>
        <w:t xml:space="preserve">Стратегијата за паметна </w:t>
      </w:r>
      <w:r w:rsidR="007B6DA7" w:rsidRPr="00213E99">
        <w:rPr>
          <w:lang w:val="mk-MK"/>
        </w:rPr>
        <w:t>специјализација (</w:t>
      </w:r>
      <w:r w:rsidR="003E05DA" w:rsidRPr="00213E99">
        <w:rPr>
          <w:lang w:val="mk-MK"/>
        </w:rPr>
        <w:t>С</w:t>
      </w:r>
      <w:r w:rsidR="00C50642" w:rsidRPr="00213E99">
        <w:rPr>
          <w:lang w:val="mk-MK"/>
        </w:rPr>
        <w:t>3</w:t>
      </w:r>
      <w:r w:rsidR="007B6DA7" w:rsidRPr="00213E99">
        <w:rPr>
          <w:lang w:val="mk-MK"/>
        </w:rPr>
        <w:t>)</w:t>
      </w:r>
      <w:r w:rsidRPr="00213E99">
        <w:rPr>
          <w:lang w:val="mk-MK"/>
        </w:rPr>
        <w:t>,</w:t>
      </w:r>
      <w:r w:rsidRPr="008662BF">
        <w:rPr>
          <w:lang w:val="mk-MK"/>
        </w:rPr>
        <w:t xml:space="preserve"> важно е Патоказот за ИИ </w:t>
      </w:r>
      <w:r w:rsidR="00973AC3" w:rsidRPr="008662BF">
        <w:rPr>
          <w:lang w:val="mk-MK"/>
        </w:rPr>
        <w:t xml:space="preserve">да се вклучи </w:t>
      </w:r>
      <w:r w:rsidRPr="008662BF">
        <w:rPr>
          <w:lang w:val="mk-MK"/>
        </w:rPr>
        <w:t>како влезен документ за следните че</w:t>
      </w:r>
      <w:r w:rsidR="00973AC3" w:rsidRPr="008662BF">
        <w:rPr>
          <w:lang w:val="mk-MK"/>
        </w:rPr>
        <w:t xml:space="preserve">кори што ќе доведат до избор на </w:t>
      </w:r>
      <w:r w:rsidRPr="008662BF">
        <w:rPr>
          <w:lang w:val="mk-MK"/>
        </w:rPr>
        <w:t>конечните приоритетни области. Постојните истражувачки инфраструктури претставуваат важен водич за мапирање на потенцијалите за истражување и развој како неопходен елемент за дефинирање на комбинацијата на политики во</w:t>
      </w:r>
      <w:r w:rsidR="00BA7DAF" w:rsidRPr="008662BF">
        <w:rPr>
          <w:lang w:val="mk-MK"/>
        </w:rPr>
        <w:t xml:space="preserve"> процесот на имплементација на </w:t>
      </w:r>
      <w:r w:rsidR="003E05DA">
        <w:rPr>
          <w:lang w:val="mk-MK"/>
        </w:rPr>
        <w:t>С</w:t>
      </w:r>
      <w:r w:rsidR="00C50642" w:rsidRPr="00417197">
        <w:rPr>
          <w:lang w:val="mk-MK"/>
        </w:rPr>
        <w:t>3</w:t>
      </w:r>
      <w:r w:rsidRPr="008662BF">
        <w:rPr>
          <w:lang w:val="mk-MK"/>
        </w:rPr>
        <w:t>.</w:t>
      </w:r>
    </w:p>
    <w:p w14:paraId="01C74A22" w14:textId="2C885271" w:rsidR="00395DDB" w:rsidRPr="008662BF" w:rsidRDefault="00395DDB" w:rsidP="007947BF">
      <w:pPr>
        <w:pStyle w:val="ListParagraph"/>
        <w:ind w:left="360"/>
        <w:jc w:val="both"/>
        <w:rPr>
          <w:lang w:val="mk-MK"/>
        </w:rPr>
      </w:pPr>
      <w:r w:rsidRPr="008662BF">
        <w:rPr>
          <w:lang w:val="mk-MK"/>
        </w:rPr>
        <w:t xml:space="preserve">Доколку </w:t>
      </w:r>
      <w:r w:rsidR="00417197">
        <w:rPr>
          <w:lang w:val="mk-MK"/>
        </w:rPr>
        <w:t>Република Северна Македонија</w:t>
      </w:r>
      <w:r w:rsidRPr="008662BF">
        <w:rPr>
          <w:lang w:val="mk-MK"/>
        </w:rPr>
        <w:t xml:space="preserve"> сака да </w:t>
      </w:r>
      <w:r w:rsidR="00D30C5C">
        <w:rPr>
          <w:lang w:val="mk-MK"/>
        </w:rPr>
        <w:t>оствари</w:t>
      </w:r>
      <w:r w:rsidR="002A4246">
        <w:rPr>
          <w:lang w:val="mk-MK"/>
        </w:rPr>
        <w:t xml:space="preserve"> </w:t>
      </w:r>
      <w:r w:rsidR="00BA7DAF" w:rsidRPr="008662BF">
        <w:rPr>
          <w:lang w:val="mk-MK"/>
        </w:rPr>
        <w:t xml:space="preserve">успешна имплементација на </w:t>
      </w:r>
      <w:r w:rsidR="0049485D">
        <w:rPr>
          <w:lang w:val="mk-MK"/>
        </w:rPr>
        <w:t>С</w:t>
      </w:r>
      <w:r w:rsidRPr="008662BF">
        <w:rPr>
          <w:lang w:val="mk-MK"/>
        </w:rPr>
        <w:t>3 и да ги искористи постојните можности, треба да обезбеди надградба или изградба на нови истражувачки инфраструктури</w:t>
      </w:r>
      <w:r w:rsidR="00BA7DAF" w:rsidRPr="008662BF">
        <w:rPr>
          <w:lang w:val="mk-MK"/>
        </w:rPr>
        <w:t>, како и натамошен развој на истражувачко-иновацискиот потенцијал</w:t>
      </w:r>
      <w:r w:rsidRPr="008662BF">
        <w:rPr>
          <w:lang w:val="mk-MK"/>
        </w:rPr>
        <w:t>. Во однос на инвестициите во проекти од национално значење, исто така е соодветно да се инвестира во проекти за ИИ што ќе придонесат за намалување на развојниот јаз во однос на развиените членки на ЕУ.</w:t>
      </w:r>
    </w:p>
    <w:p w14:paraId="5573ABE1" w14:textId="77777777" w:rsidR="007947BF" w:rsidRPr="008662BF" w:rsidRDefault="003A3EB2" w:rsidP="003A3EB2">
      <w:pPr>
        <w:pStyle w:val="ListParagraph"/>
        <w:numPr>
          <w:ilvl w:val="0"/>
          <w:numId w:val="50"/>
        </w:numPr>
        <w:spacing w:after="0"/>
        <w:jc w:val="both"/>
        <w:rPr>
          <w:b/>
          <w:lang w:val="mk-MK"/>
        </w:rPr>
      </w:pPr>
      <w:r w:rsidRPr="008662BF">
        <w:rPr>
          <w:b/>
          <w:lang w:val="mk-MK"/>
        </w:rPr>
        <w:t>Зголемување на инвестициите во истражувачк</w:t>
      </w:r>
      <w:r w:rsidR="00F96B81">
        <w:rPr>
          <w:b/>
          <w:lang w:val="mk-MK"/>
        </w:rPr>
        <w:t>и инфраструктури</w:t>
      </w:r>
    </w:p>
    <w:p w14:paraId="5195B30D" w14:textId="4773AB41" w:rsidR="003A3EB2" w:rsidRPr="008662BF" w:rsidRDefault="003A3EB2" w:rsidP="007947BF">
      <w:pPr>
        <w:pStyle w:val="ListParagraph"/>
        <w:spacing w:after="0"/>
        <w:ind w:left="360"/>
        <w:jc w:val="both"/>
        <w:rPr>
          <w:lang w:val="mk-MK"/>
        </w:rPr>
      </w:pPr>
      <w:r w:rsidRPr="008662BF">
        <w:rPr>
          <w:lang w:val="mk-MK"/>
        </w:rPr>
        <w:t>Според сегашните</w:t>
      </w:r>
      <w:r w:rsidR="00BA7DAF" w:rsidRPr="008662BF">
        <w:rPr>
          <w:lang w:val="mk-MK"/>
        </w:rPr>
        <w:t xml:space="preserve"> податоци</w:t>
      </w:r>
      <w:r w:rsidRPr="008662BF">
        <w:rPr>
          <w:lang w:val="mk-MK"/>
        </w:rPr>
        <w:t xml:space="preserve">, </w:t>
      </w:r>
      <w:r w:rsidR="00417197">
        <w:rPr>
          <w:lang w:val="mk-MK"/>
        </w:rPr>
        <w:t>Република Северна Македонија</w:t>
      </w:r>
      <w:r w:rsidRPr="008662BF">
        <w:rPr>
          <w:lang w:val="mk-MK"/>
        </w:rPr>
        <w:t xml:space="preserve"> бележи многу скромно ниво на трошоци за истражување и развој во споредба со земјите членки на ЕУ, а целокупната ситуација е уште полоша </w:t>
      </w:r>
      <w:r w:rsidR="00BA7DAF" w:rsidRPr="008662BF">
        <w:rPr>
          <w:lang w:val="mk-MK"/>
        </w:rPr>
        <w:t xml:space="preserve">со оглед на </w:t>
      </w:r>
      <w:r w:rsidRPr="008662BF">
        <w:rPr>
          <w:lang w:val="mk-MK"/>
        </w:rPr>
        <w:t>трендот на опаѓање на инвестициите во областа на истражувањето и развојот во последни</w:t>
      </w:r>
      <w:r w:rsidR="00D30C5C">
        <w:rPr>
          <w:lang w:val="mk-MK"/>
        </w:rPr>
        <w:t>в</w:t>
      </w:r>
      <w:r w:rsidRPr="008662BF">
        <w:rPr>
          <w:lang w:val="mk-MK"/>
        </w:rPr>
        <w:t xml:space="preserve">е години. Доколку </w:t>
      </w:r>
      <w:r w:rsidR="00417197">
        <w:rPr>
          <w:lang w:val="mk-MK"/>
        </w:rPr>
        <w:t>Република Северна Македонија</w:t>
      </w:r>
      <w:r w:rsidRPr="008662BF">
        <w:rPr>
          <w:lang w:val="mk-MK"/>
        </w:rPr>
        <w:t xml:space="preserve"> сака да се из</w:t>
      </w:r>
      <w:r w:rsidR="00D30C5C">
        <w:rPr>
          <w:lang w:val="mk-MK"/>
        </w:rPr>
        <w:t>едначи</w:t>
      </w:r>
      <w:r w:rsidRPr="008662BF">
        <w:rPr>
          <w:lang w:val="mk-MK"/>
        </w:rPr>
        <w:t xml:space="preserve"> со развиените земји, неопходно е да </w:t>
      </w:r>
      <w:r w:rsidR="00BA7DAF" w:rsidRPr="008662BF">
        <w:rPr>
          <w:lang w:val="mk-MK"/>
        </w:rPr>
        <w:t>се размисл</w:t>
      </w:r>
      <w:r w:rsidR="004A798F">
        <w:rPr>
          <w:lang w:val="mk-MK"/>
        </w:rPr>
        <w:t>ува</w:t>
      </w:r>
      <w:r w:rsidR="00BA7DAF" w:rsidRPr="008662BF">
        <w:rPr>
          <w:lang w:val="mk-MK"/>
        </w:rPr>
        <w:t xml:space="preserve"> за </w:t>
      </w:r>
      <w:r w:rsidRPr="008662BF">
        <w:rPr>
          <w:lang w:val="mk-MK"/>
        </w:rPr>
        <w:t xml:space="preserve">поголема распределба од буџетот за истражување и развој, како и </w:t>
      </w:r>
      <w:r w:rsidR="00BA7DAF" w:rsidRPr="008662BF">
        <w:rPr>
          <w:lang w:val="mk-MK"/>
        </w:rPr>
        <w:t xml:space="preserve">за </w:t>
      </w:r>
      <w:r w:rsidRPr="008662BF">
        <w:rPr>
          <w:lang w:val="mk-MK"/>
        </w:rPr>
        <w:t xml:space="preserve">подготовка на мерки за политики што </w:t>
      </w:r>
      <w:r w:rsidR="00BA7DAF" w:rsidRPr="008662BF">
        <w:rPr>
          <w:lang w:val="mk-MK"/>
        </w:rPr>
        <w:t>би г</w:t>
      </w:r>
      <w:r w:rsidR="00EE783C" w:rsidRPr="008662BF">
        <w:rPr>
          <w:lang w:val="mk-MK"/>
        </w:rPr>
        <w:t>и стимулирале истражувачкиот и деловниот сектор</w:t>
      </w:r>
      <w:r w:rsidR="00BA7DAF" w:rsidRPr="008662BF">
        <w:rPr>
          <w:lang w:val="mk-MK"/>
        </w:rPr>
        <w:t xml:space="preserve"> повеќе да вложуваат во истражувачки активности</w:t>
      </w:r>
      <w:r w:rsidRPr="008662BF">
        <w:rPr>
          <w:lang w:val="mk-MK"/>
        </w:rPr>
        <w:t>.</w:t>
      </w:r>
    </w:p>
    <w:p w14:paraId="7702E22B" w14:textId="5EF8C6E4" w:rsidR="00281A86" w:rsidRPr="008662BF" w:rsidRDefault="00281A86" w:rsidP="007947BF">
      <w:pPr>
        <w:pStyle w:val="ListParagraph"/>
        <w:ind w:left="360"/>
        <w:jc w:val="both"/>
        <w:rPr>
          <w:lang w:val="mk-MK"/>
        </w:rPr>
      </w:pPr>
      <w:r w:rsidRPr="008662BF">
        <w:rPr>
          <w:lang w:val="mk-MK"/>
        </w:rPr>
        <w:t>Што се однесува до финансирањето на истражувачк</w:t>
      </w:r>
      <w:r w:rsidR="00BA7DAF" w:rsidRPr="008662BF">
        <w:rPr>
          <w:lang w:val="mk-MK"/>
        </w:rPr>
        <w:t>ите инфраструктури</w:t>
      </w:r>
      <w:r w:rsidR="004A798F">
        <w:rPr>
          <w:lang w:val="mk-MK"/>
        </w:rPr>
        <w:t xml:space="preserve"> во</w:t>
      </w:r>
      <w:r w:rsidRPr="008662BF">
        <w:rPr>
          <w:lang w:val="mk-MK"/>
        </w:rPr>
        <w:t xml:space="preserve"> </w:t>
      </w:r>
      <w:r w:rsidR="00417197">
        <w:rPr>
          <w:lang w:val="mk-MK"/>
        </w:rPr>
        <w:t>Република Северна Македонија</w:t>
      </w:r>
      <w:r w:rsidR="004A798F">
        <w:rPr>
          <w:lang w:val="mk-MK"/>
        </w:rPr>
        <w:t>,</w:t>
      </w:r>
      <w:r w:rsidRPr="008662BF">
        <w:rPr>
          <w:lang w:val="mk-MK"/>
        </w:rPr>
        <w:t xml:space="preserve"> треба да </w:t>
      </w:r>
      <w:r w:rsidR="004A798F">
        <w:rPr>
          <w:lang w:val="mk-MK"/>
        </w:rPr>
        <w:t xml:space="preserve">се </w:t>
      </w:r>
      <w:r w:rsidRPr="008662BF">
        <w:rPr>
          <w:lang w:val="mk-MK"/>
        </w:rPr>
        <w:t>размисл</w:t>
      </w:r>
      <w:r w:rsidR="004A798F">
        <w:rPr>
          <w:lang w:val="mk-MK"/>
        </w:rPr>
        <w:t>ува</w:t>
      </w:r>
      <w:r w:rsidRPr="008662BF">
        <w:rPr>
          <w:lang w:val="mk-MK"/>
        </w:rPr>
        <w:t xml:space="preserve"> за спроведување втор круг </w:t>
      </w:r>
      <w:r w:rsidR="002A4246">
        <w:rPr>
          <w:lang w:val="mk-MK"/>
        </w:rPr>
        <w:t xml:space="preserve">на </w:t>
      </w:r>
      <w:r w:rsidRPr="008662BF">
        <w:rPr>
          <w:lang w:val="mk-MK"/>
        </w:rPr>
        <w:t xml:space="preserve">поддршка на истражувачките лаборатории, </w:t>
      </w:r>
      <w:r w:rsidR="002A4246">
        <w:rPr>
          <w:lang w:val="mk-MK"/>
        </w:rPr>
        <w:t>која</w:t>
      </w:r>
      <w:r w:rsidRPr="008662BF">
        <w:rPr>
          <w:lang w:val="mk-MK"/>
        </w:rPr>
        <w:t xml:space="preserve">што </w:t>
      </w:r>
      <w:r w:rsidR="002A4246" w:rsidRPr="008662BF">
        <w:rPr>
          <w:lang w:val="mk-MK"/>
        </w:rPr>
        <w:t xml:space="preserve">првично беше спроведена </w:t>
      </w:r>
      <w:r w:rsidR="004A798F" w:rsidRPr="008662BF">
        <w:rPr>
          <w:lang w:val="mk-MK"/>
        </w:rPr>
        <w:t>во 2010 година</w:t>
      </w:r>
      <w:r w:rsidRPr="008662BF">
        <w:rPr>
          <w:lang w:val="mk-MK"/>
        </w:rPr>
        <w:t xml:space="preserve"> од страна на Министерството за образование и наука. Со оглед на тоа дека е поминат временски период од 10 години, опремата за истражување во голема мера </w:t>
      </w:r>
      <w:r w:rsidR="002A4246" w:rsidRPr="008662BF">
        <w:rPr>
          <w:lang w:val="mk-MK"/>
        </w:rPr>
        <w:t xml:space="preserve">е </w:t>
      </w:r>
      <w:r w:rsidRPr="008662BF">
        <w:rPr>
          <w:lang w:val="mk-MK"/>
        </w:rPr>
        <w:t xml:space="preserve">застарена и потребни се дополнителни инвестиции за да им се овозможи на истражувачките институции да работат со најсовремената опрема за истражување. </w:t>
      </w:r>
      <w:r w:rsidR="00D75862" w:rsidRPr="008662BF">
        <w:rPr>
          <w:lang w:val="mk-MK"/>
        </w:rPr>
        <w:t xml:space="preserve">Втората програма за финансиска поддршка ќе придонесе за обезбедување најсовремена истражувачка опрема за универзитетите и </w:t>
      </w:r>
      <w:r w:rsidR="004A798F">
        <w:rPr>
          <w:lang w:val="mk-MK"/>
        </w:rPr>
        <w:t xml:space="preserve">за </w:t>
      </w:r>
      <w:r w:rsidR="00D75862" w:rsidRPr="008662BF">
        <w:rPr>
          <w:lang w:val="mk-MK"/>
        </w:rPr>
        <w:t>другите истражувачки институции</w:t>
      </w:r>
      <w:r w:rsidR="004A798F">
        <w:rPr>
          <w:lang w:val="mk-MK"/>
        </w:rPr>
        <w:t>,</w:t>
      </w:r>
      <w:r w:rsidR="002A4246">
        <w:rPr>
          <w:lang w:val="mk-MK"/>
        </w:rPr>
        <w:t xml:space="preserve"> а</w:t>
      </w:r>
      <w:r w:rsidR="00D75862" w:rsidRPr="008662BF">
        <w:rPr>
          <w:lang w:val="mk-MK"/>
        </w:rPr>
        <w:t xml:space="preserve"> и </w:t>
      </w:r>
      <w:r w:rsidR="004A798F">
        <w:rPr>
          <w:lang w:val="mk-MK"/>
        </w:rPr>
        <w:t>за</w:t>
      </w:r>
      <w:r w:rsidR="00D75862" w:rsidRPr="008662BF">
        <w:rPr>
          <w:lang w:val="mk-MK"/>
        </w:rPr>
        <w:t xml:space="preserve"> поддршка во спроведувањето на нивните меѓународни научни проекти</w:t>
      </w:r>
      <w:r w:rsidRPr="008662BF">
        <w:rPr>
          <w:lang w:val="mk-MK"/>
        </w:rPr>
        <w:t>.</w:t>
      </w:r>
    </w:p>
    <w:p w14:paraId="44AB93C4" w14:textId="77777777" w:rsidR="00F36C8A" w:rsidRPr="008662BF" w:rsidRDefault="00D75862" w:rsidP="00F36C8A">
      <w:pPr>
        <w:pStyle w:val="ListParagraph"/>
        <w:numPr>
          <w:ilvl w:val="0"/>
          <w:numId w:val="50"/>
        </w:numPr>
        <w:spacing w:after="0"/>
        <w:jc w:val="both"/>
        <w:rPr>
          <w:b/>
          <w:lang w:val="mk-MK"/>
        </w:rPr>
      </w:pPr>
      <w:r w:rsidRPr="008662BF">
        <w:rPr>
          <w:b/>
          <w:lang w:val="mk-MK"/>
        </w:rPr>
        <w:t>Подобрување на рамката н</w:t>
      </w:r>
      <w:r w:rsidR="00F36C8A" w:rsidRPr="008662BF">
        <w:rPr>
          <w:b/>
          <w:lang w:val="mk-MK"/>
        </w:rPr>
        <w:t>а политики</w:t>
      </w:r>
    </w:p>
    <w:p w14:paraId="0550A1B2" w14:textId="0F3029C6" w:rsidR="00F36C8A" w:rsidRPr="008662BF" w:rsidRDefault="00F36C8A" w:rsidP="00F36C8A">
      <w:pPr>
        <w:pStyle w:val="ListParagraph"/>
        <w:ind w:left="360"/>
        <w:jc w:val="both"/>
        <w:rPr>
          <w:lang w:val="mk-MK"/>
        </w:rPr>
      </w:pPr>
      <w:r w:rsidRPr="008662BF">
        <w:rPr>
          <w:lang w:val="mk-MK"/>
        </w:rPr>
        <w:lastRenderedPageBreak/>
        <w:t xml:space="preserve">Истражувачкиот систем во </w:t>
      </w:r>
      <w:r w:rsidR="00417197">
        <w:rPr>
          <w:lang w:val="mk-MK"/>
        </w:rPr>
        <w:t>Република Северна Македонија</w:t>
      </w:r>
      <w:r w:rsidRPr="008662BF">
        <w:rPr>
          <w:lang w:val="mk-MK"/>
        </w:rPr>
        <w:t xml:space="preserve"> се карактеризира со отсуство на стратегија за развој на науката и истражувањето. Прегледот на тековните стратешки документи во областа на истражувањето и развојот покажа дека не постои Национална програма за научно-истражувачка дејност во </w:t>
      </w:r>
      <w:r w:rsidR="00417197">
        <w:rPr>
          <w:lang w:val="mk-MK"/>
        </w:rPr>
        <w:t>Република Северна Македонија</w:t>
      </w:r>
      <w:r w:rsidRPr="008662BF">
        <w:rPr>
          <w:lang w:val="mk-MK"/>
        </w:rPr>
        <w:t>. Отсуството на овој стратешки документ претставува одредена пречка во спроведувањето на Патоказот за истражувачки инфраструктури поради недостаток</w:t>
      </w:r>
      <w:r w:rsidR="00D669E5" w:rsidRPr="008662BF">
        <w:rPr>
          <w:lang w:val="mk-MK"/>
        </w:rPr>
        <w:t>от</w:t>
      </w:r>
      <w:r w:rsidRPr="008662BF">
        <w:rPr>
          <w:lang w:val="mk-MK"/>
        </w:rPr>
        <w:t xml:space="preserve"> на стратешка основа и рамка. Со оглед на важноста на овој стратешки документ за дефинирање на стратешките насоки и приоритети и</w:t>
      </w:r>
      <w:r w:rsidR="006305C0">
        <w:rPr>
          <w:lang w:val="mk-MK"/>
        </w:rPr>
        <w:t xml:space="preserve"> на</w:t>
      </w:r>
      <w:r w:rsidRPr="008662BF">
        <w:rPr>
          <w:lang w:val="mk-MK"/>
        </w:rPr>
        <w:t xml:space="preserve"> идниот развој на истражувачките активности во </w:t>
      </w:r>
      <w:r w:rsidR="00417197">
        <w:rPr>
          <w:lang w:val="mk-MK"/>
        </w:rPr>
        <w:t>Република Северна Македонија</w:t>
      </w:r>
      <w:r w:rsidRPr="008662BF">
        <w:rPr>
          <w:lang w:val="mk-MK"/>
        </w:rPr>
        <w:t xml:space="preserve">, Националниот совет за високо образование и научно-истражувачка дејност треба да изготви Национална програма за научно-истражувачка дејност на </w:t>
      </w:r>
      <w:r w:rsidR="00417197">
        <w:rPr>
          <w:lang w:val="mk-MK"/>
        </w:rPr>
        <w:t>Република Северна Македонија</w:t>
      </w:r>
      <w:r w:rsidRPr="008662BF">
        <w:rPr>
          <w:lang w:val="mk-MK"/>
        </w:rPr>
        <w:t>.</w:t>
      </w:r>
    </w:p>
    <w:p w14:paraId="0157D4D4" w14:textId="77777777" w:rsidR="00F36C8A" w:rsidRPr="008662BF" w:rsidRDefault="00F36C8A" w:rsidP="00F36C8A">
      <w:pPr>
        <w:pStyle w:val="ListParagraph"/>
        <w:ind w:left="360"/>
        <w:jc w:val="both"/>
        <w:rPr>
          <w:lang w:val="mk-MK"/>
        </w:rPr>
      </w:pPr>
      <w:r w:rsidRPr="008662BF">
        <w:rPr>
          <w:lang w:val="mk-MK"/>
        </w:rPr>
        <w:t>Терминот „</w:t>
      </w:r>
      <w:r w:rsidR="00B767FB" w:rsidRPr="008662BF">
        <w:rPr>
          <w:lang w:val="mk-MK"/>
        </w:rPr>
        <w:t>и</w:t>
      </w:r>
      <w:r w:rsidRPr="008662BF">
        <w:rPr>
          <w:lang w:val="mk-MK"/>
        </w:rPr>
        <w:t xml:space="preserve">стражувачка инфраструктура“ е препознаен и јасно дефиниран во тековната верзија на Законот за научно-истражувачката дејност; меѓутоа, </w:t>
      </w:r>
      <w:r w:rsidR="00B767FB" w:rsidRPr="008662BF">
        <w:rPr>
          <w:lang w:val="mk-MK"/>
        </w:rPr>
        <w:t xml:space="preserve">со </w:t>
      </w:r>
      <w:r w:rsidRPr="008662BF">
        <w:rPr>
          <w:lang w:val="mk-MK"/>
        </w:rPr>
        <w:t xml:space="preserve">следните измени и дополнувања на овој закон пожелно е да се даде дефиниција за „Патоказот за ИИ“ што ќе ја </w:t>
      </w:r>
      <w:r w:rsidR="00D669E5" w:rsidRPr="008662BF">
        <w:rPr>
          <w:lang w:val="mk-MK"/>
        </w:rPr>
        <w:t xml:space="preserve">опфаќа </w:t>
      </w:r>
      <w:r w:rsidRPr="008662BF">
        <w:rPr>
          <w:lang w:val="mk-MK"/>
        </w:rPr>
        <w:t xml:space="preserve">неговата јасна цел и ќе </w:t>
      </w:r>
      <w:r w:rsidR="00D669E5" w:rsidRPr="008662BF">
        <w:rPr>
          <w:lang w:val="mk-MK"/>
        </w:rPr>
        <w:t xml:space="preserve">обезбеди </w:t>
      </w:r>
      <w:r w:rsidRPr="008662BF">
        <w:rPr>
          <w:lang w:val="mk-MK"/>
        </w:rPr>
        <w:t>правна основа за подготовката и донесувањето на овој документ за политика.</w:t>
      </w:r>
    </w:p>
    <w:p w14:paraId="218C6E1B" w14:textId="6A94D9A6" w:rsidR="00CD2297" w:rsidRPr="008662BF" w:rsidRDefault="00CD2297" w:rsidP="00CD2297">
      <w:pPr>
        <w:pStyle w:val="ListParagraph"/>
        <w:ind w:left="360"/>
        <w:jc w:val="both"/>
        <w:rPr>
          <w:lang w:val="mk-MK"/>
        </w:rPr>
      </w:pPr>
      <w:r w:rsidRPr="008662BF">
        <w:rPr>
          <w:lang w:val="mk-MK"/>
        </w:rPr>
        <w:t xml:space="preserve">Министерството за образование и наука треба да воспостави партнерство со NOSCI.mk и да </w:t>
      </w:r>
      <w:r w:rsidR="006305C0">
        <w:rPr>
          <w:lang w:val="mk-MK"/>
        </w:rPr>
        <w:t>со</w:t>
      </w:r>
      <w:r w:rsidRPr="008662BF">
        <w:rPr>
          <w:lang w:val="mk-MK"/>
        </w:rPr>
        <w:t>работ</w:t>
      </w:r>
      <w:r w:rsidR="006305C0">
        <w:rPr>
          <w:lang w:val="mk-MK"/>
        </w:rPr>
        <w:t>ува</w:t>
      </w:r>
      <w:r w:rsidRPr="008662BF">
        <w:rPr>
          <w:lang w:val="mk-MK"/>
        </w:rPr>
        <w:t xml:space="preserve"> на вклучување</w:t>
      </w:r>
      <w:r w:rsidR="006305C0">
        <w:rPr>
          <w:lang w:val="mk-MK"/>
        </w:rPr>
        <w:t>то</w:t>
      </w:r>
      <w:r w:rsidRPr="008662BF">
        <w:rPr>
          <w:lang w:val="mk-MK"/>
        </w:rPr>
        <w:t xml:space="preserve"> на отворената наука, </w:t>
      </w:r>
      <w:r w:rsidR="006305C0">
        <w:rPr>
          <w:lang w:val="mk-MK"/>
        </w:rPr>
        <w:t xml:space="preserve">на </w:t>
      </w:r>
      <w:r w:rsidRPr="008662BF">
        <w:rPr>
          <w:lang w:val="mk-MK"/>
        </w:rPr>
        <w:t xml:space="preserve">отворениот пристап и </w:t>
      </w:r>
      <w:r w:rsidR="006305C0">
        <w:rPr>
          <w:lang w:val="mk-MK"/>
        </w:rPr>
        <w:t xml:space="preserve">на </w:t>
      </w:r>
      <w:r w:rsidRPr="008662BF">
        <w:rPr>
          <w:lang w:val="mk-MK"/>
        </w:rPr>
        <w:t>отворените инфраструктури во националната правна рамка за истражување и образование.</w:t>
      </w:r>
    </w:p>
    <w:p w14:paraId="2368D847" w14:textId="1B26CED6" w:rsidR="00CD2297" w:rsidRPr="008662BF" w:rsidRDefault="00CD2297" w:rsidP="00CD2297">
      <w:pPr>
        <w:pStyle w:val="ListParagraph"/>
        <w:ind w:left="360"/>
        <w:jc w:val="both"/>
        <w:rPr>
          <w:lang w:val="mk-MK"/>
        </w:rPr>
      </w:pPr>
      <w:r w:rsidRPr="008662BF">
        <w:rPr>
          <w:lang w:val="mk-MK"/>
        </w:rPr>
        <w:t xml:space="preserve">Министерството за образование и наука, исто така, треба да размисли за </w:t>
      </w:r>
      <w:r w:rsidR="006305C0">
        <w:rPr>
          <w:lang w:val="mk-MK"/>
        </w:rPr>
        <w:t>приспособување</w:t>
      </w:r>
      <w:r w:rsidRPr="008662BF">
        <w:rPr>
          <w:lang w:val="mk-MK"/>
        </w:rPr>
        <w:t xml:space="preserve"> на националн</w:t>
      </w:r>
      <w:r w:rsidR="00B767FB" w:rsidRPr="008662BF">
        <w:rPr>
          <w:lang w:val="mk-MK"/>
        </w:rPr>
        <w:t xml:space="preserve">ата правна рамка </w:t>
      </w:r>
      <w:r w:rsidRPr="008662BF">
        <w:rPr>
          <w:lang w:val="mk-MK"/>
        </w:rPr>
        <w:t xml:space="preserve">за оценување на академскиот напредок и да </w:t>
      </w:r>
      <w:r w:rsidR="00A95FDB">
        <w:rPr>
          <w:lang w:val="mk-MK"/>
        </w:rPr>
        <w:t>ја</w:t>
      </w:r>
      <w:r w:rsidRPr="008662BF">
        <w:rPr>
          <w:lang w:val="mk-MK"/>
        </w:rPr>
        <w:t xml:space="preserve"> усогласи со тековните трендови на ЕУ, кои во голема мера се потпираат на принципите на отворената наука и </w:t>
      </w:r>
      <w:r w:rsidR="00A95FDB">
        <w:rPr>
          <w:lang w:val="mk-MK"/>
        </w:rPr>
        <w:t xml:space="preserve">на </w:t>
      </w:r>
      <w:r w:rsidRPr="008662BF">
        <w:rPr>
          <w:lang w:val="mk-MK"/>
        </w:rPr>
        <w:t>ФАИР</w:t>
      </w:r>
      <w:r w:rsidR="00A95FDB">
        <w:rPr>
          <w:lang w:val="mk-MK"/>
        </w:rPr>
        <w:t>-</w:t>
      </w:r>
      <w:r w:rsidRPr="008662BF">
        <w:rPr>
          <w:lang w:val="mk-MK"/>
        </w:rPr>
        <w:t>податоци</w:t>
      </w:r>
      <w:r w:rsidR="00A95FDB">
        <w:rPr>
          <w:lang w:val="mk-MK"/>
        </w:rPr>
        <w:t>те</w:t>
      </w:r>
      <w:r w:rsidRPr="008662BF">
        <w:rPr>
          <w:lang w:val="mk-MK"/>
        </w:rPr>
        <w:t xml:space="preserve"> (податоци </w:t>
      </w:r>
      <w:r w:rsidR="00A95FDB">
        <w:rPr>
          <w:lang w:val="mk-MK"/>
        </w:rPr>
        <w:t>што</w:t>
      </w:r>
      <w:r w:rsidR="002A4246">
        <w:rPr>
          <w:lang w:val="mk-MK"/>
        </w:rPr>
        <w:t xml:space="preserve"> </w:t>
      </w:r>
      <w:r w:rsidRPr="008662BF">
        <w:rPr>
          <w:lang w:val="mk-MK"/>
        </w:rPr>
        <w:t>мож</w:t>
      </w:r>
      <w:r w:rsidR="00A95FDB">
        <w:rPr>
          <w:lang w:val="mk-MK"/>
        </w:rPr>
        <w:t>ат</w:t>
      </w:r>
      <w:r w:rsidRPr="008662BF">
        <w:rPr>
          <w:lang w:val="mk-MK"/>
        </w:rPr>
        <w:t xml:space="preserve"> да се пронајдат, </w:t>
      </w:r>
      <w:r w:rsidR="00A95FDB">
        <w:rPr>
          <w:lang w:val="mk-MK"/>
        </w:rPr>
        <w:t>што</w:t>
      </w:r>
      <w:r w:rsidR="002A4246">
        <w:rPr>
          <w:lang w:val="mk-MK"/>
        </w:rPr>
        <w:t xml:space="preserve"> </w:t>
      </w:r>
      <w:r w:rsidRPr="008662BF">
        <w:rPr>
          <w:lang w:val="mk-MK"/>
        </w:rPr>
        <w:t>се пристапни, интероперабилни и</w:t>
      </w:r>
      <w:r w:rsidR="00A95FDB">
        <w:rPr>
          <w:lang w:val="mk-MK"/>
        </w:rPr>
        <w:t xml:space="preserve"> што</w:t>
      </w:r>
      <w:r w:rsidRPr="008662BF">
        <w:rPr>
          <w:lang w:val="mk-MK"/>
        </w:rPr>
        <w:t xml:space="preserve"> мож</w:t>
      </w:r>
      <w:r w:rsidR="00A95FDB">
        <w:rPr>
          <w:lang w:val="mk-MK"/>
        </w:rPr>
        <w:t>ат</w:t>
      </w:r>
      <w:r w:rsidRPr="008662BF">
        <w:rPr>
          <w:lang w:val="mk-MK"/>
        </w:rPr>
        <w:t xml:space="preserve"> повторно да се искористат).</w:t>
      </w:r>
    </w:p>
    <w:p w14:paraId="083DF24D" w14:textId="77777777" w:rsidR="00CD2297" w:rsidRPr="008662BF" w:rsidRDefault="00CD2297" w:rsidP="00CD2297">
      <w:pPr>
        <w:pStyle w:val="ListParagraph"/>
        <w:numPr>
          <w:ilvl w:val="0"/>
          <w:numId w:val="50"/>
        </w:numPr>
        <w:spacing w:after="0"/>
        <w:jc w:val="both"/>
        <w:rPr>
          <w:b/>
          <w:lang w:val="mk-MK"/>
        </w:rPr>
      </w:pPr>
      <w:r w:rsidRPr="008662BF">
        <w:rPr>
          <w:b/>
          <w:lang w:val="mk-MK"/>
        </w:rPr>
        <w:t>Поддршка за развој на е-инфраструктура</w:t>
      </w:r>
    </w:p>
    <w:p w14:paraId="4B852F47" w14:textId="6D37D253" w:rsidR="0075536D" w:rsidRPr="008662BF" w:rsidRDefault="0075536D" w:rsidP="0075536D">
      <w:pPr>
        <w:pStyle w:val="ListParagraph"/>
        <w:ind w:left="360"/>
        <w:jc w:val="both"/>
        <w:rPr>
          <w:lang w:val="mk-MK"/>
        </w:rPr>
      </w:pPr>
      <w:r w:rsidRPr="008662BF">
        <w:rPr>
          <w:lang w:val="mk-MK"/>
        </w:rPr>
        <w:t xml:space="preserve">Силната и квалитетна е-инфраструктура претставува основа и услов за идниот развој на истражувачкиот систем во </w:t>
      </w:r>
      <w:r w:rsidR="00417197">
        <w:rPr>
          <w:lang w:val="mk-MK"/>
        </w:rPr>
        <w:t>Република Северна Македонија</w:t>
      </w:r>
      <w:r w:rsidRPr="008662BF">
        <w:rPr>
          <w:lang w:val="mk-MK"/>
        </w:rPr>
        <w:t xml:space="preserve">. Во стратешка смисла, </w:t>
      </w:r>
      <w:r w:rsidR="00417197">
        <w:rPr>
          <w:lang w:val="mk-MK"/>
        </w:rPr>
        <w:t>Република Северна Македонија</w:t>
      </w:r>
      <w:r w:rsidRPr="008662BF">
        <w:rPr>
          <w:lang w:val="mk-MK"/>
        </w:rPr>
        <w:t xml:space="preserve"> треба да обезбеди многу поголема поддршка на е-инфраструктурата</w:t>
      </w:r>
      <w:r w:rsidR="002A4246">
        <w:rPr>
          <w:lang w:val="mk-MK"/>
        </w:rPr>
        <w:t xml:space="preserve"> </w:t>
      </w:r>
      <w:r w:rsidR="00323893">
        <w:rPr>
          <w:lang w:val="mk-MK"/>
        </w:rPr>
        <w:t>во однос на сегашната состојба</w:t>
      </w:r>
      <w:r w:rsidRPr="008662BF">
        <w:rPr>
          <w:lang w:val="mk-MK"/>
        </w:rPr>
        <w:t xml:space="preserve">. Неопходно е да се </w:t>
      </w:r>
      <w:r w:rsidR="00323893">
        <w:rPr>
          <w:lang w:val="mk-MK"/>
        </w:rPr>
        <w:t>изработат</w:t>
      </w:r>
      <w:r w:rsidR="002A4246">
        <w:rPr>
          <w:lang w:val="mk-MK"/>
        </w:rPr>
        <w:t xml:space="preserve"> </w:t>
      </w:r>
      <w:r w:rsidRPr="008662BF">
        <w:rPr>
          <w:lang w:val="mk-MK"/>
        </w:rPr>
        <w:t xml:space="preserve">подобри планови за координиран развој на е-инфраструктурата, </w:t>
      </w:r>
      <w:r w:rsidRPr="00323893">
        <w:rPr>
          <w:lang w:val="mk-MK"/>
        </w:rPr>
        <w:t xml:space="preserve">за </w:t>
      </w:r>
      <w:r w:rsidR="00C50642" w:rsidRPr="00417197">
        <w:rPr>
          <w:lang w:val="mk-MK"/>
        </w:rPr>
        <w:t xml:space="preserve">да можат </w:t>
      </w:r>
      <w:r w:rsidRPr="00323893">
        <w:rPr>
          <w:lang w:val="mk-MK"/>
        </w:rPr>
        <w:t xml:space="preserve">потребните средства навремено да се распределат. </w:t>
      </w:r>
      <w:r w:rsidR="00417197">
        <w:rPr>
          <w:lang w:val="mk-MK"/>
        </w:rPr>
        <w:t>Република Северна Македонија</w:t>
      </w:r>
      <w:r w:rsidRPr="00323893">
        <w:rPr>
          <w:lang w:val="mk-MK"/>
        </w:rPr>
        <w:t xml:space="preserve"> треба</w:t>
      </w:r>
      <w:r w:rsidRPr="008662BF">
        <w:rPr>
          <w:lang w:val="mk-MK"/>
        </w:rPr>
        <w:t xml:space="preserve"> да воведе мерки за поттикнување на истражувачките институции</w:t>
      </w:r>
      <w:r w:rsidR="00323893">
        <w:t>,</w:t>
      </w:r>
      <w:r w:rsidR="00323893">
        <w:rPr>
          <w:lang w:val="mk-MK"/>
        </w:rPr>
        <w:t xml:space="preserve">за </w:t>
      </w:r>
      <w:r w:rsidRPr="008662BF">
        <w:rPr>
          <w:lang w:val="mk-MK"/>
        </w:rPr>
        <w:t xml:space="preserve">да </w:t>
      </w:r>
      <w:r w:rsidR="00323893">
        <w:rPr>
          <w:lang w:val="mk-MK"/>
        </w:rPr>
        <w:t xml:space="preserve">се </w:t>
      </w:r>
      <w:r w:rsidRPr="008662BF">
        <w:rPr>
          <w:lang w:val="mk-MK"/>
        </w:rPr>
        <w:t>реализираат заеднички инвестиции во е-инфраструктура</w:t>
      </w:r>
      <w:r w:rsidR="00323893">
        <w:rPr>
          <w:lang w:val="mk-MK"/>
        </w:rPr>
        <w:t>та, при што</w:t>
      </w:r>
      <w:r w:rsidRPr="008662BF">
        <w:rPr>
          <w:lang w:val="mk-MK"/>
        </w:rPr>
        <w:t xml:space="preserve"> секоја </w:t>
      </w:r>
      <w:r w:rsidR="00D669E5" w:rsidRPr="008662BF">
        <w:rPr>
          <w:lang w:val="mk-MK"/>
        </w:rPr>
        <w:t xml:space="preserve">од </w:t>
      </w:r>
      <w:r w:rsidRPr="008662BF">
        <w:rPr>
          <w:lang w:val="mk-MK"/>
        </w:rPr>
        <w:t>стран</w:t>
      </w:r>
      <w:r w:rsidR="00D669E5" w:rsidRPr="008662BF">
        <w:rPr>
          <w:lang w:val="mk-MK"/>
        </w:rPr>
        <w:t xml:space="preserve">ите </w:t>
      </w:r>
      <w:r w:rsidRPr="008662BF">
        <w:rPr>
          <w:lang w:val="mk-MK"/>
        </w:rPr>
        <w:t>ќе може да го покаже својот интерес за развој на е-инфраструктура</w:t>
      </w:r>
      <w:r w:rsidR="00B767FB" w:rsidRPr="008662BF">
        <w:rPr>
          <w:lang w:val="mk-MK"/>
        </w:rPr>
        <w:t>та</w:t>
      </w:r>
      <w:r w:rsidRPr="008662BF">
        <w:rPr>
          <w:lang w:val="mk-MK"/>
        </w:rPr>
        <w:t xml:space="preserve"> преку партнерство.</w:t>
      </w:r>
    </w:p>
    <w:p w14:paraId="4F739AEF" w14:textId="412D9862" w:rsidR="0075536D" w:rsidRPr="008662BF" w:rsidRDefault="0075536D" w:rsidP="0075536D">
      <w:pPr>
        <w:pStyle w:val="ListParagraph"/>
        <w:ind w:left="360"/>
        <w:jc w:val="both"/>
        <w:rPr>
          <w:lang w:val="mk-MK"/>
        </w:rPr>
      </w:pPr>
      <w:r w:rsidRPr="008662BF">
        <w:rPr>
          <w:lang w:val="mk-MK"/>
        </w:rPr>
        <w:t>Министерството за образование и наука треба да иници</w:t>
      </w:r>
      <w:r w:rsidR="004E6ED3">
        <w:rPr>
          <w:lang w:val="mk-MK"/>
        </w:rPr>
        <w:t>р</w:t>
      </w:r>
      <w:r w:rsidRPr="008662BF">
        <w:rPr>
          <w:lang w:val="mk-MK"/>
        </w:rPr>
        <w:t>а</w:t>
      </w:r>
      <w:r w:rsidR="004E6ED3">
        <w:rPr>
          <w:lang w:val="mk-MK"/>
        </w:rPr>
        <w:t xml:space="preserve"> мерки за</w:t>
      </w:r>
      <w:r w:rsidRPr="008662BF">
        <w:rPr>
          <w:lang w:val="mk-MK"/>
        </w:rPr>
        <w:t xml:space="preserve"> определување и</w:t>
      </w:r>
      <w:r w:rsidR="00A95FDB">
        <w:rPr>
          <w:lang w:val="mk-MK"/>
        </w:rPr>
        <w:t xml:space="preserve"> за</w:t>
      </w:r>
      <w:r w:rsidRPr="008662BF">
        <w:rPr>
          <w:lang w:val="mk-MK"/>
        </w:rPr>
        <w:t xml:space="preserve"> дигитализирање на разни збирки </w:t>
      </w:r>
      <w:r w:rsidR="004E6ED3">
        <w:rPr>
          <w:lang w:val="mk-MK"/>
        </w:rPr>
        <w:t xml:space="preserve">со </w:t>
      </w:r>
      <w:r w:rsidRPr="008662BF">
        <w:rPr>
          <w:lang w:val="mk-MK"/>
        </w:rPr>
        <w:t>евиденција што постојат во истражувачките центри.</w:t>
      </w:r>
    </w:p>
    <w:p w14:paraId="210BA6C8" w14:textId="77777777" w:rsidR="0075536D" w:rsidRPr="008662BF" w:rsidRDefault="0075536D" w:rsidP="007947BF">
      <w:pPr>
        <w:pStyle w:val="ListParagraph"/>
        <w:spacing w:after="0"/>
        <w:ind w:left="360"/>
        <w:jc w:val="both"/>
        <w:rPr>
          <w:lang w:val="mk-MK"/>
        </w:rPr>
      </w:pPr>
      <w:r w:rsidRPr="008662BF">
        <w:rPr>
          <w:lang w:val="mk-MK"/>
        </w:rPr>
        <w:t>Дополнителните препораки се однесуваат на следново:</w:t>
      </w:r>
    </w:p>
    <w:p w14:paraId="570A05F8" w14:textId="77777777" w:rsidR="0075536D" w:rsidRPr="008662BF" w:rsidRDefault="0075536D" w:rsidP="0075536D">
      <w:pPr>
        <w:pStyle w:val="ListParagraph"/>
        <w:spacing w:after="0"/>
        <w:jc w:val="both"/>
        <w:rPr>
          <w:lang w:val="mk-MK"/>
        </w:rPr>
      </w:pPr>
      <w:r w:rsidRPr="008662BF">
        <w:rPr>
          <w:lang w:val="mk-MK"/>
        </w:rPr>
        <w:t xml:space="preserve">а. Интензивирање на дигитализацијата на секторот за истражување и иновации, особено </w:t>
      </w:r>
      <w:r w:rsidR="004E6ED3">
        <w:rPr>
          <w:lang w:val="mk-MK"/>
        </w:rPr>
        <w:t xml:space="preserve">на </w:t>
      </w:r>
      <w:r w:rsidRPr="008662BF">
        <w:rPr>
          <w:lang w:val="mk-MK"/>
        </w:rPr>
        <w:t xml:space="preserve">процесот на идентификација и дигитализација на различни збирки и </w:t>
      </w:r>
      <w:r w:rsidR="004E6ED3">
        <w:rPr>
          <w:lang w:val="mk-MK"/>
        </w:rPr>
        <w:t xml:space="preserve">на </w:t>
      </w:r>
      <w:r w:rsidRPr="008662BF">
        <w:rPr>
          <w:lang w:val="mk-MK"/>
        </w:rPr>
        <w:t>други содржини од национално значење;</w:t>
      </w:r>
    </w:p>
    <w:p w14:paraId="3693E797" w14:textId="319C74FC" w:rsidR="0075536D" w:rsidRPr="008662BF" w:rsidRDefault="0075536D" w:rsidP="0075536D">
      <w:pPr>
        <w:pStyle w:val="ListParagraph"/>
        <w:spacing w:after="0"/>
        <w:jc w:val="both"/>
        <w:rPr>
          <w:lang w:val="mk-MK"/>
        </w:rPr>
      </w:pPr>
      <w:r w:rsidRPr="008662BF">
        <w:rPr>
          <w:lang w:val="mk-MK"/>
        </w:rPr>
        <w:t xml:space="preserve">б. </w:t>
      </w:r>
      <w:r w:rsidR="004E6ED3">
        <w:rPr>
          <w:lang w:val="mk-MK"/>
        </w:rPr>
        <w:t>И</w:t>
      </w:r>
      <w:r w:rsidRPr="008662BF">
        <w:rPr>
          <w:lang w:val="mk-MK"/>
        </w:rPr>
        <w:t>нтензивира</w:t>
      </w:r>
      <w:r w:rsidR="004E6ED3">
        <w:rPr>
          <w:lang w:val="mk-MK"/>
        </w:rPr>
        <w:t>ње на</w:t>
      </w:r>
      <w:r w:rsidR="0066423E">
        <w:rPr>
          <w:lang w:val="mk-MK"/>
        </w:rPr>
        <w:t xml:space="preserve"> </w:t>
      </w:r>
      <w:r w:rsidR="004E6ED3">
        <w:rPr>
          <w:lang w:val="mk-MK"/>
        </w:rPr>
        <w:t>процесот</w:t>
      </w:r>
      <w:r w:rsidR="0066423E">
        <w:rPr>
          <w:lang w:val="mk-MK"/>
        </w:rPr>
        <w:t xml:space="preserve"> </w:t>
      </w:r>
      <w:r w:rsidR="004E6ED3">
        <w:rPr>
          <w:lang w:val="mk-MK"/>
        </w:rPr>
        <w:t>з</w:t>
      </w:r>
      <w:r w:rsidRPr="008662BF">
        <w:rPr>
          <w:lang w:val="mk-MK"/>
        </w:rPr>
        <w:t>а создавање предуслови за отворен пристап до податоците од истражувањ</w:t>
      </w:r>
      <w:r w:rsidR="00AA35A9" w:rsidRPr="008662BF">
        <w:rPr>
          <w:lang w:val="mk-MK"/>
        </w:rPr>
        <w:t>ата</w:t>
      </w:r>
      <w:r w:rsidRPr="008662BF">
        <w:rPr>
          <w:lang w:val="mk-MK"/>
        </w:rPr>
        <w:t>;</w:t>
      </w:r>
    </w:p>
    <w:p w14:paraId="6328664B" w14:textId="77777777" w:rsidR="0075536D" w:rsidRPr="008662BF" w:rsidRDefault="0075536D" w:rsidP="0075536D">
      <w:pPr>
        <w:pStyle w:val="ListParagraph"/>
        <w:spacing w:after="0"/>
        <w:jc w:val="both"/>
        <w:rPr>
          <w:lang w:val="mk-MK"/>
        </w:rPr>
      </w:pPr>
      <w:r w:rsidRPr="008662BF">
        <w:rPr>
          <w:lang w:val="mk-MK"/>
        </w:rPr>
        <w:t xml:space="preserve">в. Подобрување на информациите и зајакнување на поддршката на корисниците за отворен пристап и </w:t>
      </w:r>
      <w:r w:rsidR="004E6ED3">
        <w:rPr>
          <w:lang w:val="mk-MK"/>
        </w:rPr>
        <w:t xml:space="preserve">за </w:t>
      </w:r>
      <w:r w:rsidRPr="008662BF">
        <w:rPr>
          <w:lang w:val="mk-MK"/>
        </w:rPr>
        <w:t>максимално користење на постојната инфраструктура.</w:t>
      </w:r>
    </w:p>
    <w:p w14:paraId="1FE92E4E" w14:textId="77777777" w:rsidR="007947BF" w:rsidRPr="008662BF" w:rsidRDefault="0075536D" w:rsidP="0075536D">
      <w:pPr>
        <w:pStyle w:val="ListParagraph"/>
        <w:numPr>
          <w:ilvl w:val="0"/>
          <w:numId w:val="50"/>
        </w:numPr>
        <w:spacing w:after="0"/>
        <w:jc w:val="both"/>
        <w:rPr>
          <w:rFonts w:cstheme="minorHAnsi"/>
          <w:b/>
          <w:lang w:val="mk-MK"/>
        </w:rPr>
      </w:pPr>
      <w:r w:rsidRPr="008662BF">
        <w:rPr>
          <w:rFonts w:cstheme="minorHAnsi"/>
          <w:b/>
          <w:lang w:val="mk-MK"/>
        </w:rPr>
        <w:lastRenderedPageBreak/>
        <w:t>Разгледување опции за поактивно учество в</w:t>
      </w:r>
      <w:r w:rsidR="00D669E5" w:rsidRPr="008662BF">
        <w:rPr>
          <w:rFonts w:cstheme="minorHAnsi"/>
          <w:b/>
          <w:lang w:val="mk-MK"/>
        </w:rPr>
        <w:t>о г</w:t>
      </w:r>
      <w:r w:rsidRPr="008662BF">
        <w:rPr>
          <w:rFonts w:cstheme="minorHAnsi"/>
          <w:b/>
          <w:lang w:val="mk-MK"/>
        </w:rPr>
        <w:t>олемите европски истражувачки инфраструктури</w:t>
      </w:r>
    </w:p>
    <w:p w14:paraId="4FA21EC2" w14:textId="5B832D16" w:rsidR="00792FB2" w:rsidRPr="008662BF" w:rsidRDefault="00792FB2" w:rsidP="00792FB2">
      <w:pPr>
        <w:pStyle w:val="ListParagraph"/>
        <w:spacing w:after="0"/>
        <w:ind w:left="360"/>
        <w:jc w:val="both"/>
        <w:rPr>
          <w:rFonts w:cstheme="minorHAnsi"/>
          <w:lang w:val="mk-MK"/>
        </w:rPr>
      </w:pPr>
      <w:r w:rsidRPr="008662BF">
        <w:rPr>
          <w:rFonts w:cstheme="minorHAnsi"/>
          <w:lang w:val="mk-MK"/>
        </w:rPr>
        <w:t xml:space="preserve">Вреди да се спомене дека и покрај незавидната состојба на науката и истражувањето, институциите на </w:t>
      </w:r>
      <w:r w:rsidR="00417197">
        <w:rPr>
          <w:rFonts w:cstheme="minorHAnsi"/>
          <w:lang w:val="mk-MK"/>
        </w:rPr>
        <w:t>Република Северна Македонија</w:t>
      </w:r>
      <w:r w:rsidRPr="008662BF">
        <w:rPr>
          <w:rFonts w:cstheme="minorHAnsi"/>
          <w:lang w:val="mk-MK"/>
        </w:rPr>
        <w:t xml:space="preserve"> </w:t>
      </w:r>
      <w:r w:rsidR="00AA35A9" w:rsidRPr="008662BF">
        <w:rPr>
          <w:rFonts w:cstheme="minorHAnsi"/>
          <w:lang w:val="mk-MK"/>
        </w:rPr>
        <w:t>учествуваа во неколку европски истражувачки инфраструктури</w:t>
      </w:r>
      <w:r w:rsidRPr="008662BF">
        <w:rPr>
          <w:rFonts w:cstheme="minorHAnsi"/>
          <w:lang w:val="mk-MK"/>
        </w:rPr>
        <w:t>. Меѓутоа,</w:t>
      </w:r>
      <w:r w:rsidR="0066423E">
        <w:rPr>
          <w:rFonts w:cstheme="minorHAnsi"/>
          <w:lang w:val="mk-MK"/>
        </w:rPr>
        <w:t xml:space="preserve"> </w:t>
      </w:r>
      <w:r w:rsidR="00AE7323">
        <w:rPr>
          <w:rFonts w:cstheme="minorHAnsi"/>
          <w:lang w:val="mk-MK"/>
        </w:rPr>
        <w:t xml:space="preserve">во државата </w:t>
      </w:r>
      <w:r w:rsidRPr="008662BF">
        <w:rPr>
          <w:rFonts w:cstheme="minorHAnsi"/>
          <w:lang w:val="mk-MK"/>
        </w:rPr>
        <w:t>треба да</w:t>
      </w:r>
      <w:r w:rsidR="00AE7323">
        <w:rPr>
          <w:rFonts w:cstheme="minorHAnsi"/>
          <w:lang w:val="mk-MK"/>
        </w:rPr>
        <w:t xml:space="preserve"> се</w:t>
      </w:r>
      <w:r w:rsidRPr="008662BF">
        <w:rPr>
          <w:rFonts w:cstheme="minorHAnsi"/>
          <w:lang w:val="mk-MK"/>
        </w:rPr>
        <w:t xml:space="preserve"> размисл</w:t>
      </w:r>
      <w:r w:rsidR="00AE7323">
        <w:rPr>
          <w:rFonts w:cstheme="minorHAnsi"/>
          <w:lang w:val="mk-MK"/>
        </w:rPr>
        <w:t>ува</w:t>
      </w:r>
      <w:r w:rsidRPr="008662BF">
        <w:rPr>
          <w:rFonts w:cstheme="minorHAnsi"/>
          <w:lang w:val="mk-MK"/>
        </w:rPr>
        <w:t xml:space="preserve"> за воведување  инструменти за политики што ќе доведат до поголемо учество во големите паневропски истражувачки инфраструктури. Придобивките од пристапот </w:t>
      </w:r>
      <w:r w:rsidR="00AA35A9" w:rsidRPr="008662BF">
        <w:rPr>
          <w:rFonts w:cstheme="minorHAnsi"/>
          <w:lang w:val="mk-MK"/>
        </w:rPr>
        <w:t>на истражувачи</w:t>
      </w:r>
      <w:r w:rsidR="00AE7323">
        <w:rPr>
          <w:rFonts w:cstheme="minorHAnsi"/>
          <w:lang w:val="mk-MK"/>
        </w:rPr>
        <w:t>те</w:t>
      </w:r>
      <w:r w:rsidR="00AA35A9" w:rsidRPr="008662BF">
        <w:rPr>
          <w:rFonts w:cstheme="minorHAnsi"/>
          <w:lang w:val="mk-MK"/>
        </w:rPr>
        <w:t xml:space="preserve"> и </w:t>
      </w:r>
      <w:r w:rsidR="0066423E">
        <w:rPr>
          <w:rFonts w:cstheme="minorHAnsi"/>
          <w:lang w:val="mk-MK"/>
        </w:rPr>
        <w:t xml:space="preserve">на </w:t>
      </w:r>
      <w:r w:rsidR="00AA35A9" w:rsidRPr="008662BF">
        <w:rPr>
          <w:rFonts w:cstheme="minorHAnsi"/>
          <w:lang w:val="mk-MK"/>
        </w:rPr>
        <w:t>истражувачки</w:t>
      </w:r>
      <w:r w:rsidR="00AE7323">
        <w:rPr>
          <w:rFonts w:cstheme="minorHAnsi"/>
          <w:lang w:val="mk-MK"/>
        </w:rPr>
        <w:t>те</w:t>
      </w:r>
      <w:r w:rsidR="00AA35A9" w:rsidRPr="008662BF">
        <w:rPr>
          <w:rFonts w:cstheme="minorHAnsi"/>
          <w:lang w:val="mk-MK"/>
        </w:rPr>
        <w:t xml:space="preserve"> институции </w:t>
      </w:r>
      <w:r w:rsidRPr="008662BF">
        <w:rPr>
          <w:rFonts w:cstheme="minorHAnsi"/>
          <w:lang w:val="mk-MK"/>
        </w:rPr>
        <w:t>до големи</w:t>
      </w:r>
      <w:r w:rsidR="00AE7323">
        <w:rPr>
          <w:rFonts w:cstheme="minorHAnsi"/>
          <w:lang w:val="mk-MK"/>
        </w:rPr>
        <w:t>те</w:t>
      </w:r>
      <w:r w:rsidRPr="008662BF">
        <w:rPr>
          <w:rFonts w:cstheme="minorHAnsi"/>
          <w:lang w:val="mk-MK"/>
        </w:rPr>
        <w:t xml:space="preserve"> истражувачки инфраструктури се повеќекратни и главно </w:t>
      </w:r>
      <w:r w:rsidR="00AA35A9" w:rsidRPr="008662BF">
        <w:rPr>
          <w:rFonts w:cstheme="minorHAnsi"/>
          <w:lang w:val="mk-MK"/>
        </w:rPr>
        <w:t>се однесуваат на</w:t>
      </w:r>
      <w:r w:rsidRPr="008662BF">
        <w:rPr>
          <w:rFonts w:cstheme="minorHAnsi"/>
          <w:lang w:val="mk-MK"/>
        </w:rPr>
        <w:t xml:space="preserve">: градење капацитети, </w:t>
      </w:r>
      <w:r w:rsidR="00AE7323" w:rsidRPr="008662BF">
        <w:rPr>
          <w:rFonts w:cstheme="minorHAnsi"/>
          <w:lang w:val="mk-MK"/>
        </w:rPr>
        <w:t>зајакнување на националната научна извонредност</w:t>
      </w:r>
      <w:r w:rsidR="00AE7323">
        <w:rPr>
          <w:rFonts w:cstheme="minorHAnsi"/>
          <w:lang w:val="mk-MK"/>
        </w:rPr>
        <w:t>,</w:t>
      </w:r>
      <w:r w:rsidR="0066423E">
        <w:rPr>
          <w:rFonts w:cstheme="minorHAnsi"/>
          <w:lang w:val="mk-MK"/>
        </w:rPr>
        <w:t xml:space="preserve"> </w:t>
      </w:r>
      <w:r w:rsidRPr="008662BF">
        <w:rPr>
          <w:rFonts w:cstheme="minorHAnsi"/>
          <w:lang w:val="mk-MK"/>
        </w:rPr>
        <w:t>спроведување истражувачки проекти на високо ниво што не можат да се спроведат во земја</w:t>
      </w:r>
      <w:r w:rsidR="00AE7323">
        <w:rPr>
          <w:rFonts w:cstheme="minorHAnsi"/>
          <w:lang w:val="mk-MK"/>
        </w:rPr>
        <w:t>в</w:t>
      </w:r>
      <w:r w:rsidRPr="008662BF">
        <w:rPr>
          <w:rFonts w:cstheme="minorHAnsi"/>
          <w:lang w:val="mk-MK"/>
        </w:rPr>
        <w:t>а поради недостаток на соодветна опрема, итн.</w:t>
      </w:r>
    </w:p>
    <w:p w14:paraId="1982C9B4" w14:textId="1A8EA540" w:rsidR="00792FB2" w:rsidRPr="008662BF" w:rsidRDefault="00792FB2" w:rsidP="00792FB2">
      <w:pPr>
        <w:pStyle w:val="ListParagraph"/>
        <w:spacing w:after="0"/>
        <w:ind w:left="360"/>
        <w:jc w:val="both"/>
        <w:rPr>
          <w:rFonts w:cstheme="minorHAnsi"/>
          <w:lang w:val="mk-MK"/>
        </w:rPr>
      </w:pPr>
      <w:r w:rsidRPr="008662BF">
        <w:rPr>
          <w:rFonts w:cstheme="minorHAnsi"/>
          <w:lang w:val="mk-MK"/>
        </w:rPr>
        <w:t xml:space="preserve">Релевантните министерства треба да обезбедат финансиска поддршка за членство на заинтересираните институции од </w:t>
      </w:r>
      <w:r w:rsidR="00417197">
        <w:rPr>
          <w:rFonts w:cstheme="minorHAnsi"/>
          <w:lang w:val="mk-MK"/>
        </w:rPr>
        <w:t>Република Северна Македонија</w:t>
      </w:r>
      <w:r w:rsidRPr="008662BF">
        <w:rPr>
          <w:rFonts w:cstheme="minorHAnsi"/>
          <w:lang w:val="mk-MK"/>
        </w:rPr>
        <w:t xml:space="preserve"> во големи</w:t>
      </w:r>
      <w:r w:rsidR="00AE7323">
        <w:rPr>
          <w:rFonts w:cstheme="minorHAnsi"/>
          <w:lang w:val="mk-MK"/>
        </w:rPr>
        <w:t>те</w:t>
      </w:r>
      <w:r w:rsidRPr="008662BF">
        <w:rPr>
          <w:rFonts w:cstheme="minorHAnsi"/>
          <w:lang w:val="mk-MK"/>
        </w:rPr>
        <w:t xml:space="preserve"> ИИ и асоцијации</w:t>
      </w:r>
      <w:r w:rsidR="0066423E">
        <w:rPr>
          <w:rFonts w:cstheme="minorHAnsi"/>
          <w:lang w:val="mk-MK"/>
        </w:rPr>
        <w:t>те</w:t>
      </w:r>
      <w:r w:rsidRPr="008662BF">
        <w:rPr>
          <w:rFonts w:cstheme="minorHAnsi"/>
          <w:lang w:val="mk-MK"/>
        </w:rPr>
        <w:t xml:space="preserve">, </w:t>
      </w:r>
      <w:r w:rsidR="00AA35A9" w:rsidRPr="008662BF">
        <w:rPr>
          <w:rFonts w:cstheme="minorHAnsi"/>
          <w:lang w:val="mk-MK"/>
        </w:rPr>
        <w:t xml:space="preserve">откако претходно ќе се </w:t>
      </w:r>
      <w:r w:rsidRPr="008662BF">
        <w:rPr>
          <w:rFonts w:cstheme="minorHAnsi"/>
          <w:lang w:val="mk-MK"/>
        </w:rPr>
        <w:t xml:space="preserve">определат и предложат соодветни ИИ на </w:t>
      </w:r>
      <w:r w:rsidR="00D669E5" w:rsidRPr="008662BF">
        <w:rPr>
          <w:rFonts w:cstheme="minorHAnsi"/>
          <w:lang w:val="mk-MK"/>
        </w:rPr>
        <w:t xml:space="preserve">ESFRI/ERIC </w:t>
      </w:r>
      <w:r w:rsidRPr="008662BF">
        <w:rPr>
          <w:rFonts w:cstheme="minorHAnsi"/>
          <w:lang w:val="mk-MK"/>
        </w:rPr>
        <w:t>за кои постои интерес и капацитети за членство.</w:t>
      </w:r>
    </w:p>
    <w:p w14:paraId="4980ADF8" w14:textId="77777777" w:rsidR="00792FB2" w:rsidRPr="008662BF" w:rsidRDefault="00792FB2" w:rsidP="00792FB2">
      <w:pPr>
        <w:pStyle w:val="ListParagraph"/>
        <w:numPr>
          <w:ilvl w:val="0"/>
          <w:numId w:val="50"/>
        </w:numPr>
        <w:spacing w:after="0"/>
        <w:jc w:val="both"/>
        <w:rPr>
          <w:rFonts w:cstheme="minorHAnsi"/>
          <w:b/>
          <w:lang w:val="mk-MK"/>
        </w:rPr>
      </w:pPr>
      <w:r w:rsidRPr="008662BF">
        <w:rPr>
          <w:rFonts w:cstheme="minorHAnsi"/>
          <w:b/>
          <w:lang w:val="mk-MK"/>
        </w:rPr>
        <w:t xml:space="preserve">Дефинирање политики за отворен пристап </w:t>
      </w:r>
      <w:r w:rsidR="00D669E5" w:rsidRPr="008662BF">
        <w:rPr>
          <w:rFonts w:cstheme="minorHAnsi"/>
          <w:b/>
          <w:lang w:val="mk-MK"/>
        </w:rPr>
        <w:t xml:space="preserve">до </w:t>
      </w:r>
      <w:r w:rsidRPr="008662BF">
        <w:rPr>
          <w:rFonts w:cstheme="minorHAnsi"/>
          <w:b/>
          <w:lang w:val="mk-MK"/>
        </w:rPr>
        <w:t>истражувачки</w:t>
      </w:r>
      <w:r w:rsidR="00D669E5" w:rsidRPr="008662BF">
        <w:rPr>
          <w:rFonts w:cstheme="minorHAnsi"/>
          <w:b/>
          <w:lang w:val="mk-MK"/>
        </w:rPr>
        <w:t>те</w:t>
      </w:r>
      <w:r w:rsidRPr="008662BF">
        <w:rPr>
          <w:rFonts w:cstheme="minorHAnsi"/>
          <w:b/>
          <w:lang w:val="mk-MK"/>
        </w:rPr>
        <w:t xml:space="preserve"> инфраструктури</w:t>
      </w:r>
    </w:p>
    <w:p w14:paraId="689EEA0B" w14:textId="0ABCCA51" w:rsidR="00792FB2" w:rsidRPr="008662BF" w:rsidRDefault="00792FB2" w:rsidP="007947BF">
      <w:pPr>
        <w:pStyle w:val="ListParagraph"/>
        <w:spacing w:after="120"/>
        <w:ind w:left="360"/>
        <w:jc w:val="both"/>
        <w:rPr>
          <w:rFonts w:cstheme="minorHAnsi"/>
          <w:lang w:val="mk-MK"/>
        </w:rPr>
      </w:pPr>
      <w:r w:rsidRPr="008662BF">
        <w:rPr>
          <w:rFonts w:cstheme="minorHAnsi"/>
          <w:lang w:val="mk-MK"/>
        </w:rPr>
        <w:t xml:space="preserve">Како резултат на Програмата за поддршка на отворениот пристап до истражувачката инфраструктура во Западен Балкан, спроведена од Секретаријатот на РЦЦ во 2020 година, 4 истражувачки институции во </w:t>
      </w:r>
      <w:r w:rsidR="00417197">
        <w:rPr>
          <w:rFonts w:cstheme="minorHAnsi"/>
          <w:lang w:val="mk-MK"/>
        </w:rPr>
        <w:t>Република Северна Македонија</w:t>
      </w:r>
      <w:r w:rsidRPr="008662BF">
        <w:rPr>
          <w:rFonts w:cstheme="minorHAnsi"/>
          <w:lang w:val="mk-MK"/>
        </w:rPr>
        <w:t xml:space="preserve"> подготвија документ за Политика за отворен пристап до ИИ. Врз основа на искуството стекнато во оваа програма, Министерството за образование и наука треба да ги охрабри </w:t>
      </w:r>
      <w:r w:rsidR="009D2A08">
        <w:rPr>
          <w:rFonts w:cstheme="minorHAnsi"/>
          <w:lang w:val="mk-MK"/>
        </w:rPr>
        <w:t xml:space="preserve">и </w:t>
      </w:r>
      <w:r w:rsidRPr="008662BF">
        <w:rPr>
          <w:rFonts w:cstheme="minorHAnsi"/>
          <w:lang w:val="mk-MK"/>
        </w:rPr>
        <w:t>другите истражувачки институции да донесат свои документи за политики за отворен пристап. Конечните резултати од оваа програма мож</w:t>
      </w:r>
      <w:r w:rsidR="00003CF7">
        <w:rPr>
          <w:rFonts w:cstheme="minorHAnsi"/>
          <w:lang w:val="mk-MK"/>
        </w:rPr>
        <w:t>ат</w:t>
      </w:r>
      <w:r w:rsidRPr="008662BF">
        <w:rPr>
          <w:rFonts w:cstheme="minorHAnsi"/>
          <w:lang w:val="mk-MK"/>
        </w:rPr>
        <w:t xml:space="preserve"> да се земат предвид при дефинирање</w:t>
      </w:r>
      <w:r w:rsidR="00003CF7">
        <w:rPr>
          <w:rFonts w:cstheme="minorHAnsi"/>
          <w:lang w:val="mk-MK"/>
        </w:rPr>
        <w:t>то</w:t>
      </w:r>
      <w:r w:rsidRPr="008662BF">
        <w:rPr>
          <w:rFonts w:cstheme="minorHAnsi"/>
          <w:lang w:val="mk-MK"/>
        </w:rPr>
        <w:t xml:space="preserve"> на политиките за обезбедување пристап до ИИ. </w:t>
      </w:r>
    </w:p>
    <w:p w14:paraId="338597DD" w14:textId="707CDB03" w:rsidR="00792FB2" w:rsidRPr="008662BF" w:rsidRDefault="00792FB2" w:rsidP="007947BF">
      <w:pPr>
        <w:pStyle w:val="ListParagraph"/>
        <w:spacing w:after="120"/>
        <w:ind w:left="360"/>
        <w:jc w:val="both"/>
        <w:rPr>
          <w:rFonts w:cstheme="minorHAnsi"/>
          <w:lang w:val="mk-MK"/>
        </w:rPr>
      </w:pPr>
      <w:r w:rsidRPr="008662BF">
        <w:rPr>
          <w:rFonts w:cstheme="minorHAnsi"/>
          <w:lang w:val="mk-MK"/>
        </w:rPr>
        <w:t xml:space="preserve">Исто така, најдобрите пракси и упатства </w:t>
      </w:r>
      <w:r w:rsidR="00A60A37" w:rsidRPr="008662BF">
        <w:rPr>
          <w:rFonts w:cstheme="minorHAnsi"/>
          <w:lang w:val="mk-MK"/>
        </w:rPr>
        <w:t xml:space="preserve">на </w:t>
      </w:r>
      <w:r w:rsidR="00AA35A9" w:rsidRPr="008662BF">
        <w:rPr>
          <w:rFonts w:cstheme="minorHAnsi"/>
          <w:lang w:val="mk-MK"/>
        </w:rPr>
        <w:t>теми</w:t>
      </w:r>
      <w:r w:rsidR="00003CF7">
        <w:rPr>
          <w:rFonts w:cstheme="minorHAnsi"/>
          <w:lang w:val="mk-MK"/>
        </w:rPr>
        <w:t>те</w:t>
      </w:r>
      <w:r w:rsidR="00AA35A9" w:rsidRPr="008662BF">
        <w:rPr>
          <w:rFonts w:cstheme="minorHAnsi"/>
          <w:lang w:val="mk-MK"/>
        </w:rPr>
        <w:t xml:space="preserve"> </w:t>
      </w:r>
      <w:r w:rsidR="009D2A08">
        <w:rPr>
          <w:rFonts w:cstheme="minorHAnsi"/>
          <w:lang w:val="mk-MK"/>
        </w:rPr>
        <w:t>што</w:t>
      </w:r>
      <w:r w:rsidR="00003CF7">
        <w:rPr>
          <w:rFonts w:cstheme="minorHAnsi"/>
          <w:lang w:val="mk-MK"/>
        </w:rPr>
        <w:t xml:space="preserve"> </w:t>
      </w:r>
      <w:r w:rsidR="00AA35A9" w:rsidRPr="008662BF">
        <w:rPr>
          <w:rFonts w:cstheme="minorHAnsi"/>
          <w:lang w:val="mk-MK"/>
        </w:rPr>
        <w:t>мож</w:t>
      </w:r>
      <w:r w:rsidR="009D2A08">
        <w:rPr>
          <w:rFonts w:cstheme="minorHAnsi"/>
          <w:lang w:val="mk-MK"/>
        </w:rPr>
        <w:t>ат</w:t>
      </w:r>
      <w:r w:rsidR="00AA35A9" w:rsidRPr="008662BF">
        <w:rPr>
          <w:rFonts w:cstheme="minorHAnsi"/>
          <w:lang w:val="mk-MK"/>
        </w:rPr>
        <w:t xml:space="preserve"> да им помогнат на лицата </w:t>
      </w:r>
      <w:r w:rsidR="00003CF7">
        <w:rPr>
          <w:rFonts w:cstheme="minorHAnsi"/>
          <w:lang w:val="mk-MK"/>
        </w:rPr>
        <w:t>што</w:t>
      </w:r>
      <w:r w:rsidR="00AA35A9" w:rsidRPr="008662BF">
        <w:rPr>
          <w:rFonts w:cstheme="minorHAnsi"/>
          <w:lang w:val="mk-MK"/>
        </w:rPr>
        <w:t xml:space="preserve"> се </w:t>
      </w:r>
      <w:r w:rsidRPr="008662BF">
        <w:rPr>
          <w:rFonts w:cstheme="minorHAnsi"/>
          <w:lang w:val="mk-MK"/>
        </w:rPr>
        <w:t>одговорни</w:t>
      </w:r>
      <w:r w:rsidR="00003CF7">
        <w:rPr>
          <w:rFonts w:cstheme="minorHAnsi"/>
          <w:lang w:val="mk-MK"/>
        </w:rPr>
        <w:t xml:space="preserve"> </w:t>
      </w:r>
      <w:r w:rsidRPr="008662BF">
        <w:rPr>
          <w:rFonts w:cstheme="minorHAnsi"/>
          <w:lang w:val="mk-MK"/>
        </w:rPr>
        <w:t>за дефинирање на политиките за пристап мож</w:t>
      </w:r>
      <w:r w:rsidR="009D2A08">
        <w:rPr>
          <w:rFonts w:cstheme="minorHAnsi"/>
          <w:lang w:val="mk-MK"/>
        </w:rPr>
        <w:t>ат</w:t>
      </w:r>
      <w:r w:rsidRPr="008662BF">
        <w:rPr>
          <w:rFonts w:cstheme="minorHAnsi"/>
          <w:lang w:val="mk-MK"/>
        </w:rPr>
        <w:t xml:space="preserve"> да се најдат во јавниот документ </w:t>
      </w:r>
      <w:r w:rsidR="009D2A08">
        <w:rPr>
          <w:rFonts w:cstheme="minorHAnsi"/>
          <w:lang w:val="mk-MK"/>
        </w:rPr>
        <w:t xml:space="preserve">што е </w:t>
      </w:r>
      <w:r w:rsidRPr="008662BF">
        <w:rPr>
          <w:rFonts w:cstheme="minorHAnsi"/>
          <w:lang w:val="mk-MK"/>
        </w:rPr>
        <w:t xml:space="preserve">подготвен од </w:t>
      </w:r>
      <w:r w:rsidR="00A60A37" w:rsidRPr="008662BF">
        <w:rPr>
          <w:rFonts w:cstheme="minorHAnsi"/>
          <w:lang w:val="mk-MK"/>
        </w:rPr>
        <w:t>Европската комисија</w:t>
      </w:r>
      <w:r w:rsidR="00A60A37" w:rsidRPr="008662BF">
        <w:rPr>
          <w:rStyle w:val="FootnoteReference"/>
          <w:rFonts w:cstheme="minorHAnsi"/>
          <w:lang w:val="mk-MK"/>
        </w:rPr>
        <w:footnoteReference w:id="1"/>
      </w:r>
      <w:r w:rsidRPr="008662BF">
        <w:rPr>
          <w:rFonts w:cstheme="minorHAnsi"/>
          <w:lang w:val="mk-MK"/>
        </w:rPr>
        <w:t xml:space="preserve">, кој ја </w:t>
      </w:r>
      <w:r w:rsidR="00AA35A9" w:rsidRPr="008662BF">
        <w:rPr>
          <w:rFonts w:cstheme="minorHAnsi"/>
          <w:lang w:val="mk-MK"/>
        </w:rPr>
        <w:t xml:space="preserve">содржи </w:t>
      </w:r>
      <w:r w:rsidRPr="008662BF">
        <w:rPr>
          <w:rFonts w:cstheme="minorHAnsi"/>
          <w:lang w:val="mk-MK"/>
        </w:rPr>
        <w:t>повелбата за пристап до истражувачката инфраструктура,</w:t>
      </w:r>
      <w:r w:rsidR="00003CF7">
        <w:rPr>
          <w:rFonts w:cstheme="minorHAnsi"/>
          <w:lang w:val="mk-MK"/>
        </w:rPr>
        <w:t xml:space="preserve"> и</w:t>
      </w:r>
      <w:r w:rsidRPr="008662BF">
        <w:rPr>
          <w:rFonts w:cstheme="minorHAnsi"/>
          <w:lang w:val="mk-MK"/>
        </w:rPr>
        <w:t xml:space="preserve"> во која се утврдени начелата и упатствата за дефинирање на политиките за пристап </w:t>
      </w:r>
      <w:r w:rsidR="007C3F3F" w:rsidRPr="008662BF">
        <w:rPr>
          <w:rFonts w:cstheme="minorHAnsi"/>
          <w:lang w:val="mk-MK"/>
        </w:rPr>
        <w:t xml:space="preserve">до </w:t>
      </w:r>
      <w:r w:rsidRPr="008662BF">
        <w:rPr>
          <w:rFonts w:cstheme="minorHAnsi"/>
          <w:lang w:val="mk-MK"/>
        </w:rPr>
        <w:t>ИИ.</w:t>
      </w:r>
    </w:p>
    <w:p w14:paraId="271FDA65" w14:textId="77777777" w:rsidR="007947BF" w:rsidRPr="008662BF" w:rsidRDefault="007947BF" w:rsidP="007947BF">
      <w:pPr>
        <w:pStyle w:val="ListParagraph"/>
        <w:numPr>
          <w:ilvl w:val="0"/>
          <w:numId w:val="45"/>
        </w:numPr>
        <w:spacing w:after="0"/>
        <w:jc w:val="both"/>
        <w:rPr>
          <w:rFonts w:cstheme="minorHAnsi"/>
          <w:lang w:val="mk-MK"/>
        </w:rPr>
      </w:pPr>
      <w:r w:rsidRPr="008662BF">
        <w:rPr>
          <w:shd w:val="clear" w:color="auto" w:fill="FFFFFF"/>
          <w:lang w:val="mk-MK"/>
        </w:rPr>
        <w:br w:type="page"/>
      </w:r>
    </w:p>
    <w:p w14:paraId="0C0A17C1" w14:textId="77777777" w:rsidR="007947BF" w:rsidRPr="008662BF" w:rsidRDefault="007679F8" w:rsidP="00A60A37">
      <w:pPr>
        <w:pStyle w:val="Heading1"/>
        <w:numPr>
          <w:ilvl w:val="0"/>
          <w:numId w:val="58"/>
        </w:numPr>
        <w:rPr>
          <w:rFonts w:asciiTheme="minorHAnsi" w:hAnsiTheme="minorHAnsi"/>
          <w:shd w:val="clear" w:color="auto" w:fill="FFFFFF"/>
          <w:lang w:val="mk-MK"/>
        </w:rPr>
      </w:pPr>
      <w:bookmarkStart w:id="6" w:name="_Toc86916045"/>
      <w:r w:rsidRPr="008662BF">
        <w:rPr>
          <w:rFonts w:asciiTheme="minorHAnsi" w:hAnsiTheme="minorHAnsi"/>
          <w:shd w:val="clear" w:color="auto" w:fill="FFFFFF"/>
          <w:lang w:val="mk-MK"/>
        </w:rPr>
        <w:lastRenderedPageBreak/>
        <w:t>Вовед</w:t>
      </w:r>
      <w:bookmarkEnd w:id="6"/>
    </w:p>
    <w:p w14:paraId="7A3E1064" w14:textId="77777777" w:rsidR="007947BF" w:rsidRPr="008662BF" w:rsidRDefault="007947BF" w:rsidP="007947BF">
      <w:pPr>
        <w:rPr>
          <w:shd w:val="clear" w:color="auto" w:fill="FFFFFF"/>
          <w:lang w:val="mk-MK"/>
        </w:rPr>
      </w:pPr>
    </w:p>
    <w:p w14:paraId="3A07BEE5" w14:textId="77777777" w:rsidR="007947BF" w:rsidRPr="008662BF" w:rsidRDefault="007679F8" w:rsidP="007679F8">
      <w:pPr>
        <w:pStyle w:val="Heading2"/>
        <w:numPr>
          <w:ilvl w:val="1"/>
          <w:numId w:val="53"/>
        </w:numPr>
        <w:spacing w:after="240"/>
        <w:rPr>
          <w:rFonts w:asciiTheme="minorHAnsi" w:hAnsiTheme="minorHAnsi"/>
          <w:shd w:val="clear" w:color="auto" w:fill="FFFFFF"/>
          <w:lang w:val="mk-MK"/>
        </w:rPr>
      </w:pPr>
      <w:bookmarkStart w:id="7" w:name="_Toc86916046"/>
      <w:r w:rsidRPr="008662BF">
        <w:rPr>
          <w:rFonts w:asciiTheme="minorHAnsi" w:hAnsiTheme="minorHAnsi"/>
          <w:shd w:val="clear" w:color="auto" w:fill="FFFFFF"/>
          <w:lang w:val="mk-MK"/>
        </w:rPr>
        <w:t>Опсег и цел на документот</w:t>
      </w:r>
      <w:bookmarkEnd w:id="2"/>
      <w:bookmarkEnd w:id="7"/>
    </w:p>
    <w:p w14:paraId="563326B0" w14:textId="70359DBB" w:rsidR="006A2195" w:rsidRPr="008662BF" w:rsidRDefault="006A2195" w:rsidP="006A2195">
      <w:pPr>
        <w:jc w:val="both"/>
        <w:rPr>
          <w:shd w:val="clear" w:color="auto" w:fill="FFFFFF"/>
          <w:lang w:val="mk-MK"/>
        </w:rPr>
      </w:pPr>
      <w:r w:rsidRPr="008662BF">
        <w:rPr>
          <w:shd w:val="clear" w:color="auto" w:fill="FFFFFF"/>
          <w:lang w:val="mk-MK"/>
        </w:rPr>
        <w:t>Патоказот за истражувачка инфраструктура (ИИ) е документ за политика</w:t>
      </w:r>
      <w:r w:rsidR="00003CF7">
        <w:rPr>
          <w:shd w:val="clear" w:color="auto" w:fill="FFFFFF"/>
          <w:lang w:val="mk-MK"/>
        </w:rPr>
        <w:t>та</w:t>
      </w:r>
      <w:r w:rsidRPr="008662BF">
        <w:rPr>
          <w:shd w:val="clear" w:color="auto" w:fill="FFFFFF"/>
          <w:lang w:val="mk-MK"/>
        </w:rPr>
        <w:t xml:space="preserve"> чија</w:t>
      </w:r>
      <w:r w:rsidR="00003CF7">
        <w:rPr>
          <w:shd w:val="clear" w:color="auto" w:fill="FFFFFF"/>
          <w:lang w:val="mk-MK"/>
        </w:rPr>
        <w:t>што</w:t>
      </w:r>
      <w:r w:rsidRPr="008662BF">
        <w:rPr>
          <w:shd w:val="clear" w:color="auto" w:fill="FFFFFF"/>
          <w:lang w:val="mk-MK"/>
        </w:rPr>
        <w:t xml:space="preserve"> цел е да се идентификуваат националните истражувачки инфраструктури како неопходен чекор за идниот развој на научните истражувања и </w:t>
      </w:r>
      <w:r w:rsidR="009D2A08">
        <w:rPr>
          <w:shd w:val="clear" w:color="auto" w:fill="FFFFFF"/>
          <w:lang w:val="mk-MK"/>
        </w:rPr>
        <w:t xml:space="preserve">за </w:t>
      </w:r>
      <w:r w:rsidRPr="008662BF">
        <w:rPr>
          <w:shd w:val="clear" w:color="auto" w:fill="FFFFFF"/>
          <w:lang w:val="mk-MK"/>
        </w:rPr>
        <w:t xml:space="preserve">унапредување на извонредноста во истражувањето во </w:t>
      </w:r>
      <w:r w:rsidR="00417197">
        <w:rPr>
          <w:shd w:val="clear" w:color="auto" w:fill="FFFFFF"/>
          <w:lang w:val="mk-MK"/>
        </w:rPr>
        <w:t>Република Северна Македонија</w:t>
      </w:r>
      <w:r w:rsidRPr="008662BF">
        <w:rPr>
          <w:shd w:val="clear" w:color="auto" w:fill="FFFFFF"/>
          <w:lang w:val="mk-MK"/>
        </w:rPr>
        <w:t xml:space="preserve">. Ова е прва верзија на Патоказот што треба да поттикне отворена и транспарентна комуникација со истражувачката заедница, </w:t>
      </w:r>
      <w:r w:rsidR="00003CF7">
        <w:rPr>
          <w:shd w:val="clear" w:color="auto" w:fill="FFFFFF"/>
          <w:lang w:val="mk-MK"/>
        </w:rPr>
        <w:t xml:space="preserve">и </w:t>
      </w:r>
      <w:r w:rsidRPr="008662BF">
        <w:rPr>
          <w:shd w:val="clear" w:color="auto" w:fill="FFFFFF"/>
          <w:lang w:val="mk-MK"/>
        </w:rPr>
        <w:t>што ќе му помогне на Министерството за образование и наука редовно да го ажурира Патоказот со нови проекти</w:t>
      </w:r>
      <w:r w:rsidR="00003CF7">
        <w:rPr>
          <w:shd w:val="clear" w:color="auto" w:fill="FFFFFF"/>
          <w:lang w:val="mk-MK"/>
        </w:rPr>
        <w:t>,</w:t>
      </w:r>
      <w:r w:rsidRPr="008662BF">
        <w:rPr>
          <w:shd w:val="clear" w:color="auto" w:fill="FFFFFF"/>
          <w:lang w:val="mk-MK"/>
        </w:rPr>
        <w:t xml:space="preserve"> и </w:t>
      </w:r>
      <w:r w:rsidR="00003CF7" w:rsidRPr="008662BF">
        <w:rPr>
          <w:shd w:val="clear" w:color="auto" w:fill="FFFFFF"/>
          <w:lang w:val="mk-MK"/>
        </w:rPr>
        <w:t xml:space="preserve">на најефективен и најоптимален начин </w:t>
      </w:r>
      <w:r w:rsidRPr="008662BF">
        <w:rPr>
          <w:shd w:val="clear" w:color="auto" w:fill="FFFFFF"/>
          <w:lang w:val="mk-MK"/>
        </w:rPr>
        <w:t>да се подготви за инвестирање во истражувачкиот сектор.</w:t>
      </w:r>
    </w:p>
    <w:p w14:paraId="0360236E" w14:textId="5F719F65" w:rsidR="006A2195" w:rsidRPr="008662BF" w:rsidRDefault="006A2195" w:rsidP="006A2195">
      <w:pPr>
        <w:jc w:val="both"/>
        <w:rPr>
          <w:shd w:val="clear" w:color="auto" w:fill="FFFFFF"/>
          <w:lang w:val="mk-MK"/>
        </w:rPr>
      </w:pPr>
      <w:r w:rsidRPr="008662BF">
        <w:rPr>
          <w:shd w:val="clear" w:color="auto" w:fill="FFFFFF"/>
          <w:lang w:val="mk-MK"/>
        </w:rPr>
        <w:t xml:space="preserve">Главната цел на Патоказот е да </w:t>
      </w:r>
      <w:r w:rsidR="00A60A37" w:rsidRPr="008662BF">
        <w:rPr>
          <w:shd w:val="clear" w:color="auto" w:fill="FFFFFF"/>
          <w:lang w:val="mk-MK"/>
        </w:rPr>
        <w:t xml:space="preserve">се </w:t>
      </w:r>
      <w:r w:rsidRPr="008662BF">
        <w:rPr>
          <w:shd w:val="clear" w:color="auto" w:fill="FFFFFF"/>
          <w:lang w:val="mk-MK"/>
        </w:rPr>
        <w:t xml:space="preserve">претстави постојниот истражувачки потенцијал на </w:t>
      </w:r>
      <w:r w:rsidR="00417197">
        <w:rPr>
          <w:shd w:val="clear" w:color="auto" w:fill="FFFFFF"/>
          <w:lang w:val="mk-MK"/>
        </w:rPr>
        <w:t>Република Северна Македонија</w:t>
      </w:r>
      <w:r w:rsidRPr="008662BF">
        <w:rPr>
          <w:shd w:val="clear" w:color="auto" w:fill="FFFFFF"/>
          <w:lang w:val="mk-MK"/>
        </w:rPr>
        <w:t xml:space="preserve"> за да се постават принципите за идниот развој на истражувачката инфраструктура и да се предложат препораки за зајакнување на истражувачкиот сектор, а со тоа и на општествениот развој во цел</w:t>
      </w:r>
      <w:r w:rsidR="00A60A37" w:rsidRPr="008662BF">
        <w:rPr>
          <w:shd w:val="clear" w:color="auto" w:fill="FFFFFF"/>
          <w:lang w:val="mk-MK"/>
        </w:rPr>
        <w:t>ост</w:t>
      </w:r>
      <w:r w:rsidRPr="008662BF">
        <w:rPr>
          <w:shd w:val="clear" w:color="auto" w:fill="FFFFFF"/>
          <w:lang w:val="mk-MK"/>
        </w:rPr>
        <w:t>. Патоказот им помага на носителите на одлуки подобро да ги искористат инвестициите во истражувачката инфраструктура за да се осигури нивната национална и меѓународна важност, како и да се осигури нивната достапност за целата истражувачка и деловна заедница во националната економија и пошироко.</w:t>
      </w:r>
    </w:p>
    <w:p w14:paraId="1A3BDF3F" w14:textId="11719D61" w:rsidR="00494155" w:rsidRPr="008662BF" w:rsidRDefault="008231BC" w:rsidP="007947BF">
      <w:pPr>
        <w:jc w:val="both"/>
        <w:rPr>
          <w:shd w:val="clear" w:color="auto" w:fill="FFFFFF"/>
          <w:lang w:val="mk-MK"/>
        </w:rPr>
      </w:pPr>
      <w:r w:rsidRPr="008662BF">
        <w:rPr>
          <w:shd w:val="clear" w:color="auto" w:fill="FFFFFF"/>
          <w:lang w:val="mk-MK"/>
        </w:rPr>
        <w:t xml:space="preserve">Во крајна линија, </w:t>
      </w:r>
      <w:r w:rsidR="00494155" w:rsidRPr="008662BF">
        <w:rPr>
          <w:shd w:val="clear" w:color="auto" w:fill="FFFFFF"/>
          <w:lang w:val="mk-MK"/>
        </w:rPr>
        <w:t xml:space="preserve">Патоказот </w:t>
      </w:r>
      <w:r w:rsidRPr="008662BF">
        <w:rPr>
          <w:shd w:val="clear" w:color="auto" w:fill="FFFFFF"/>
          <w:lang w:val="mk-MK"/>
        </w:rPr>
        <w:t xml:space="preserve">треба да </w:t>
      </w:r>
      <w:r w:rsidR="00494155" w:rsidRPr="008662BF">
        <w:rPr>
          <w:shd w:val="clear" w:color="auto" w:fill="FFFFFF"/>
          <w:lang w:val="mk-MK"/>
        </w:rPr>
        <w:t xml:space="preserve">обезбеди долгорочна посветеност на носителите на одлуки </w:t>
      </w:r>
      <w:r w:rsidR="00003CF7">
        <w:rPr>
          <w:shd w:val="clear" w:color="auto" w:fill="FFFFFF"/>
          <w:lang w:val="mk-MK"/>
        </w:rPr>
        <w:t>з</w:t>
      </w:r>
      <w:r w:rsidR="00494155" w:rsidRPr="008662BF">
        <w:rPr>
          <w:shd w:val="clear" w:color="auto" w:fill="FFFFFF"/>
          <w:lang w:val="mk-MK"/>
        </w:rPr>
        <w:t xml:space="preserve">а систематската поддршка на силни истражувања и иновации во </w:t>
      </w:r>
      <w:r w:rsidR="00417197">
        <w:rPr>
          <w:shd w:val="clear" w:color="auto" w:fill="FFFFFF"/>
          <w:lang w:val="mk-MK"/>
        </w:rPr>
        <w:t>Република Северна Македонија</w:t>
      </w:r>
      <w:r w:rsidR="00494155" w:rsidRPr="008662BF">
        <w:rPr>
          <w:shd w:val="clear" w:color="auto" w:fill="FFFFFF"/>
          <w:lang w:val="mk-MK"/>
        </w:rPr>
        <w:t xml:space="preserve"> со стремеж кон развој на истражувачки</w:t>
      </w:r>
      <w:r w:rsidR="00921499">
        <w:rPr>
          <w:shd w:val="clear" w:color="auto" w:fill="FFFFFF"/>
          <w:lang w:val="mk-MK"/>
        </w:rPr>
        <w:t>те</w:t>
      </w:r>
      <w:r w:rsidR="00494155" w:rsidRPr="008662BF">
        <w:rPr>
          <w:shd w:val="clear" w:color="auto" w:fill="FFFFFF"/>
          <w:lang w:val="mk-MK"/>
        </w:rPr>
        <w:t xml:space="preserve"> инфраструктури </w:t>
      </w:r>
      <w:r w:rsidR="00003CF7">
        <w:rPr>
          <w:shd w:val="clear" w:color="auto" w:fill="FFFFFF"/>
          <w:lang w:val="mk-MK"/>
        </w:rPr>
        <w:t>што</w:t>
      </w:r>
      <w:r w:rsidR="00494155" w:rsidRPr="008662BF">
        <w:rPr>
          <w:shd w:val="clear" w:color="auto" w:fill="FFFFFF"/>
          <w:lang w:val="mk-MK"/>
        </w:rPr>
        <w:t xml:space="preserve"> ќе бидат релевантни и надвор од домашната територија во висококонкурентни</w:t>
      </w:r>
      <w:r w:rsidR="00003CF7">
        <w:rPr>
          <w:shd w:val="clear" w:color="auto" w:fill="FFFFFF"/>
          <w:lang w:val="mk-MK"/>
        </w:rPr>
        <w:t>те</w:t>
      </w:r>
      <w:r w:rsidR="00494155" w:rsidRPr="008662BF">
        <w:rPr>
          <w:shd w:val="clear" w:color="auto" w:fill="FFFFFF"/>
          <w:lang w:val="mk-MK"/>
        </w:rPr>
        <w:t xml:space="preserve"> научни области,</w:t>
      </w:r>
      <w:r w:rsidR="00003CF7">
        <w:rPr>
          <w:shd w:val="clear" w:color="auto" w:fill="FFFFFF"/>
          <w:lang w:val="mk-MK"/>
        </w:rPr>
        <w:t xml:space="preserve"> со</w:t>
      </w:r>
      <w:r w:rsidR="00494155" w:rsidRPr="008662BF">
        <w:rPr>
          <w:shd w:val="clear" w:color="auto" w:fill="FFFFFF"/>
          <w:lang w:val="mk-MK"/>
        </w:rPr>
        <w:t xml:space="preserve"> што ќе</w:t>
      </w:r>
      <w:r w:rsidR="00003CF7">
        <w:rPr>
          <w:shd w:val="clear" w:color="auto" w:fill="FFFFFF"/>
          <w:lang w:val="mk-MK"/>
        </w:rPr>
        <w:t xml:space="preserve"> се</w:t>
      </w:r>
      <w:r w:rsidR="00494155" w:rsidRPr="008662BF">
        <w:rPr>
          <w:shd w:val="clear" w:color="auto" w:fill="FFFFFF"/>
          <w:lang w:val="mk-MK"/>
        </w:rPr>
        <w:t xml:space="preserve"> овозможи истражувачкиот екосистем да </w:t>
      </w:r>
      <w:r w:rsidR="0005121C" w:rsidRPr="008662BF">
        <w:rPr>
          <w:shd w:val="clear" w:color="auto" w:fill="FFFFFF"/>
          <w:lang w:val="mk-MK"/>
        </w:rPr>
        <w:t xml:space="preserve">претставува врата кон </w:t>
      </w:r>
      <w:r w:rsidR="00494155" w:rsidRPr="008662BF">
        <w:rPr>
          <w:shd w:val="clear" w:color="auto" w:fill="FFFFFF"/>
          <w:lang w:val="mk-MK"/>
        </w:rPr>
        <w:t>глобални</w:t>
      </w:r>
      <w:r w:rsidR="0005121C" w:rsidRPr="008662BF">
        <w:rPr>
          <w:shd w:val="clear" w:color="auto" w:fill="FFFFFF"/>
          <w:lang w:val="mk-MK"/>
        </w:rPr>
        <w:t>те</w:t>
      </w:r>
      <w:r w:rsidR="00494155" w:rsidRPr="008662BF">
        <w:rPr>
          <w:shd w:val="clear" w:color="auto" w:fill="FFFFFF"/>
          <w:lang w:val="mk-MK"/>
        </w:rPr>
        <w:t xml:space="preserve"> истражувачки предизвици.</w:t>
      </w:r>
    </w:p>
    <w:p w14:paraId="05F034C7" w14:textId="72BD110A" w:rsidR="00494155" w:rsidRPr="008662BF" w:rsidRDefault="00494155" w:rsidP="007947BF">
      <w:pPr>
        <w:jc w:val="both"/>
        <w:rPr>
          <w:shd w:val="clear" w:color="auto" w:fill="FFFFFF"/>
          <w:lang w:val="mk-MK"/>
        </w:rPr>
      </w:pPr>
      <w:r w:rsidRPr="008662BF">
        <w:rPr>
          <w:shd w:val="clear" w:color="auto" w:fill="FFFFFF"/>
          <w:lang w:val="mk-MK"/>
        </w:rPr>
        <w:t xml:space="preserve">Содржината на документот ја одразува моменталната состојба на истражувачкиот сектор во </w:t>
      </w:r>
      <w:r w:rsidR="00417197">
        <w:rPr>
          <w:shd w:val="clear" w:color="auto" w:fill="FFFFFF"/>
          <w:lang w:val="mk-MK"/>
        </w:rPr>
        <w:t>Република Северна Македонија</w:t>
      </w:r>
      <w:r w:rsidR="00003CF7">
        <w:rPr>
          <w:shd w:val="clear" w:color="auto" w:fill="FFFFFF"/>
          <w:lang w:val="mk-MK"/>
        </w:rPr>
        <w:t>, којшто е</w:t>
      </w:r>
      <w:r w:rsidRPr="008662BF">
        <w:rPr>
          <w:shd w:val="clear" w:color="auto" w:fill="FFFFFF"/>
          <w:lang w:val="mk-MK"/>
        </w:rPr>
        <w:t xml:space="preserve"> со прилично ниски вкупни владини инвестиции во областа на истражувањето и развојот и </w:t>
      </w:r>
      <w:r w:rsidR="00921499">
        <w:rPr>
          <w:shd w:val="clear" w:color="auto" w:fill="FFFFFF"/>
          <w:lang w:val="mk-MK"/>
        </w:rPr>
        <w:t xml:space="preserve">со </w:t>
      </w:r>
      <w:r w:rsidRPr="008662BF">
        <w:rPr>
          <w:shd w:val="clear" w:color="auto" w:fill="FFFFFF"/>
          <w:lang w:val="mk-MK"/>
        </w:rPr>
        <w:t xml:space="preserve">слаб развој на големи истражувачки инфраструктури. Со оглед на скромното учество на </w:t>
      </w:r>
      <w:r w:rsidR="00417197">
        <w:rPr>
          <w:shd w:val="clear" w:color="auto" w:fill="FFFFFF"/>
          <w:lang w:val="mk-MK"/>
        </w:rPr>
        <w:t>Република Северна Македонија</w:t>
      </w:r>
      <w:r w:rsidR="00A60A37" w:rsidRPr="008662BF">
        <w:rPr>
          <w:shd w:val="clear" w:color="auto" w:fill="FFFFFF"/>
          <w:lang w:val="mk-MK"/>
        </w:rPr>
        <w:t xml:space="preserve"> во големите пан</w:t>
      </w:r>
      <w:r w:rsidRPr="008662BF">
        <w:rPr>
          <w:shd w:val="clear" w:color="auto" w:fill="FFFFFF"/>
          <w:lang w:val="mk-MK"/>
        </w:rPr>
        <w:t>европски истражувачки инфраструктури, овој документ е структуиран за мапир</w:t>
      </w:r>
      <w:r w:rsidR="00003CF7">
        <w:rPr>
          <w:shd w:val="clear" w:color="auto" w:fill="FFFFFF"/>
          <w:lang w:val="mk-MK"/>
        </w:rPr>
        <w:t>ање на</w:t>
      </w:r>
      <w:r w:rsidRPr="008662BF">
        <w:rPr>
          <w:shd w:val="clear" w:color="auto" w:fill="FFFFFF"/>
          <w:lang w:val="mk-MK"/>
        </w:rPr>
        <w:t xml:space="preserve"> истражувачката опрема, </w:t>
      </w:r>
      <w:r w:rsidR="00003CF7">
        <w:rPr>
          <w:shd w:val="clear" w:color="auto" w:fill="FFFFFF"/>
          <w:lang w:val="mk-MK"/>
        </w:rPr>
        <w:t xml:space="preserve">на </w:t>
      </w:r>
      <w:r w:rsidRPr="008662BF">
        <w:rPr>
          <w:shd w:val="clear" w:color="auto" w:fill="FFFFFF"/>
          <w:lang w:val="mk-MK"/>
        </w:rPr>
        <w:t>капацитети</w:t>
      </w:r>
      <w:r w:rsidR="00921499">
        <w:rPr>
          <w:shd w:val="clear" w:color="auto" w:fill="FFFFFF"/>
          <w:lang w:val="mk-MK"/>
        </w:rPr>
        <w:t>те</w:t>
      </w:r>
      <w:r w:rsidRPr="008662BF">
        <w:rPr>
          <w:shd w:val="clear" w:color="auto" w:fill="FFFFFF"/>
          <w:lang w:val="mk-MK"/>
        </w:rPr>
        <w:t xml:space="preserve"> и лаборатории</w:t>
      </w:r>
      <w:r w:rsidR="00921499">
        <w:rPr>
          <w:shd w:val="clear" w:color="auto" w:fill="FFFFFF"/>
          <w:lang w:val="mk-MK"/>
        </w:rPr>
        <w:t>те</w:t>
      </w:r>
      <w:r w:rsidRPr="008662BF">
        <w:rPr>
          <w:shd w:val="clear" w:color="auto" w:fill="FFFFFF"/>
          <w:lang w:val="mk-MK"/>
        </w:rPr>
        <w:t xml:space="preserve"> што работат во рамките на универзитетите и </w:t>
      </w:r>
      <w:r w:rsidR="00921499">
        <w:rPr>
          <w:shd w:val="clear" w:color="auto" w:fill="FFFFFF"/>
          <w:lang w:val="mk-MK"/>
        </w:rPr>
        <w:t xml:space="preserve">на </w:t>
      </w:r>
      <w:r w:rsidRPr="008662BF">
        <w:rPr>
          <w:shd w:val="clear" w:color="auto" w:fill="FFFFFF"/>
          <w:lang w:val="mk-MK"/>
        </w:rPr>
        <w:t>истражувачките институти. Понатаму, претставен е и истражувачки</w:t>
      </w:r>
      <w:r w:rsidR="0005121C" w:rsidRPr="008662BF">
        <w:rPr>
          <w:shd w:val="clear" w:color="auto" w:fill="FFFFFF"/>
          <w:lang w:val="mk-MK"/>
        </w:rPr>
        <w:t>от</w:t>
      </w:r>
      <w:r w:rsidRPr="008662BF">
        <w:rPr>
          <w:shd w:val="clear" w:color="auto" w:fill="FFFFFF"/>
          <w:lang w:val="mk-MK"/>
        </w:rPr>
        <w:t xml:space="preserve"> потенцијал што се </w:t>
      </w:r>
      <w:r w:rsidR="0005121C" w:rsidRPr="008662BF">
        <w:rPr>
          <w:shd w:val="clear" w:color="auto" w:fill="FFFFFF"/>
          <w:lang w:val="mk-MK"/>
        </w:rPr>
        <w:t xml:space="preserve">одразува </w:t>
      </w:r>
      <w:r w:rsidRPr="008662BF">
        <w:rPr>
          <w:shd w:val="clear" w:color="auto" w:fill="FFFFFF"/>
          <w:lang w:val="mk-MK"/>
        </w:rPr>
        <w:t xml:space="preserve">во учеството во меѓународни истражувачки проекти </w:t>
      </w:r>
      <w:r w:rsidR="00003CF7">
        <w:rPr>
          <w:shd w:val="clear" w:color="auto" w:fill="FFFFFF"/>
          <w:lang w:val="mk-MK"/>
        </w:rPr>
        <w:t>коишто</w:t>
      </w:r>
      <w:r w:rsidRPr="008662BF">
        <w:rPr>
          <w:shd w:val="clear" w:color="auto" w:fill="FFFFFF"/>
          <w:lang w:val="mk-MK"/>
        </w:rPr>
        <w:t xml:space="preserve"> се релевантни за развојот на истражувачката инфраструктура.</w:t>
      </w:r>
    </w:p>
    <w:p w14:paraId="6B25754E" w14:textId="77777777" w:rsidR="007947BF" w:rsidRPr="008662BF" w:rsidRDefault="007947BF" w:rsidP="007947BF">
      <w:pPr>
        <w:rPr>
          <w:shd w:val="clear" w:color="auto" w:fill="FFFFFF"/>
          <w:lang w:val="mk-MK"/>
        </w:rPr>
      </w:pPr>
    </w:p>
    <w:p w14:paraId="17122853" w14:textId="77777777" w:rsidR="0005121C" w:rsidRPr="008662BF" w:rsidRDefault="0005121C" w:rsidP="007947BF">
      <w:pPr>
        <w:rPr>
          <w:shd w:val="clear" w:color="auto" w:fill="FFFFFF"/>
          <w:lang w:val="mk-MK"/>
        </w:rPr>
      </w:pPr>
    </w:p>
    <w:p w14:paraId="2EA1BCB7" w14:textId="77777777" w:rsidR="0005121C" w:rsidRPr="008662BF" w:rsidRDefault="0005121C" w:rsidP="007947BF">
      <w:pPr>
        <w:rPr>
          <w:shd w:val="clear" w:color="auto" w:fill="FFFFFF"/>
          <w:lang w:val="mk-MK"/>
        </w:rPr>
      </w:pPr>
    </w:p>
    <w:p w14:paraId="0DD173AD" w14:textId="77777777" w:rsidR="007947BF" w:rsidRPr="008662BF" w:rsidRDefault="007947BF" w:rsidP="007947BF">
      <w:pPr>
        <w:rPr>
          <w:shd w:val="clear" w:color="auto" w:fill="FFFFFF"/>
          <w:lang w:val="mk-MK"/>
        </w:rPr>
      </w:pPr>
    </w:p>
    <w:p w14:paraId="374F7A5B" w14:textId="77777777" w:rsidR="007679F8" w:rsidRPr="008662BF" w:rsidRDefault="00494155" w:rsidP="007679F8">
      <w:pPr>
        <w:pStyle w:val="Heading2"/>
        <w:numPr>
          <w:ilvl w:val="1"/>
          <w:numId w:val="53"/>
        </w:numPr>
        <w:spacing w:after="240"/>
        <w:rPr>
          <w:rFonts w:asciiTheme="minorHAnsi" w:hAnsiTheme="minorHAnsi"/>
          <w:shd w:val="clear" w:color="auto" w:fill="FFFFFF"/>
          <w:lang w:val="mk-MK"/>
        </w:rPr>
      </w:pPr>
      <w:bookmarkStart w:id="8" w:name="_Toc86916047"/>
      <w:r w:rsidRPr="008662BF">
        <w:rPr>
          <w:rFonts w:asciiTheme="minorHAnsi" w:hAnsiTheme="minorHAnsi"/>
          <w:shd w:val="clear" w:color="auto" w:fill="FFFFFF"/>
          <w:lang w:val="mk-MK"/>
        </w:rPr>
        <w:lastRenderedPageBreak/>
        <w:t>Што претставуваат истражувачките инфракструктури</w:t>
      </w:r>
      <w:r w:rsidR="007679F8" w:rsidRPr="008662BF">
        <w:rPr>
          <w:rFonts w:asciiTheme="minorHAnsi" w:hAnsiTheme="minorHAnsi"/>
          <w:shd w:val="clear" w:color="auto" w:fill="FFFFFF"/>
          <w:lang w:val="mk-MK"/>
        </w:rPr>
        <w:t>?</w:t>
      </w:r>
      <w:bookmarkEnd w:id="8"/>
    </w:p>
    <w:p w14:paraId="7F15CBF9" w14:textId="44801C8A" w:rsidR="00711B57" w:rsidRPr="008662BF" w:rsidRDefault="00711B57" w:rsidP="007947BF">
      <w:pPr>
        <w:jc w:val="both"/>
        <w:rPr>
          <w:shd w:val="clear" w:color="auto" w:fill="FFFFFF"/>
          <w:lang w:val="mk-MK"/>
        </w:rPr>
      </w:pPr>
      <w:r w:rsidRPr="008662BF">
        <w:rPr>
          <w:shd w:val="clear" w:color="auto" w:fill="FFFFFF"/>
          <w:lang w:val="mk-MK"/>
        </w:rPr>
        <w:t>Истражувачките инфраструктури имаат цел да обезбедат ресурси кои овозможуваат спроведување на истражувања од страна на неколку истражувачки тимови и</w:t>
      </w:r>
      <w:r w:rsidR="00003CF7">
        <w:rPr>
          <w:shd w:val="clear" w:color="auto" w:fill="FFFFFF"/>
          <w:lang w:val="mk-MK"/>
        </w:rPr>
        <w:t xml:space="preserve"> од</w:t>
      </w:r>
      <w:r w:rsidRPr="008662BF">
        <w:rPr>
          <w:shd w:val="clear" w:color="auto" w:fill="FFFFFF"/>
          <w:lang w:val="mk-MK"/>
        </w:rPr>
        <w:t xml:space="preserve"> различни проекти во рам</w:t>
      </w:r>
      <w:r w:rsidR="00EE783C" w:rsidRPr="008662BF">
        <w:rPr>
          <w:shd w:val="clear" w:color="auto" w:fill="FFFFFF"/>
          <w:lang w:val="mk-MK"/>
        </w:rPr>
        <w:t xml:space="preserve">ките на едно или </w:t>
      </w:r>
      <w:r w:rsidR="00003CF7">
        <w:rPr>
          <w:shd w:val="clear" w:color="auto" w:fill="FFFFFF"/>
          <w:lang w:val="mk-MK"/>
        </w:rPr>
        <w:t xml:space="preserve">на </w:t>
      </w:r>
      <w:r w:rsidR="00EE783C" w:rsidRPr="008662BF">
        <w:rPr>
          <w:shd w:val="clear" w:color="auto" w:fill="FFFFFF"/>
          <w:lang w:val="mk-MK"/>
        </w:rPr>
        <w:t>повеќе полиња н</w:t>
      </w:r>
      <w:r w:rsidRPr="008662BF">
        <w:rPr>
          <w:shd w:val="clear" w:color="auto" w:fill="FFFFFF"/>
          <w:lang w:val="mk-MK"/>
        </w:rPr>
        <w:t>а истражување. Истражувачките инфраструктури вклучуваат големи истражувачки капацитети, лаборатории, комплексни дигитални истражувачки системи и бази на податоци, итн. Според Регулативата на ЕУ</w:t>
      </w:r>
      <w:r w:rsidR="000C6BE9" w:rsidRPr="008463F3">
        <w:rPr>
          <w:rStyle w:val="FootnoteReference"/>
          <w:shd w:val="clear" w:color="auto" w:fill="FFFFFF"/>
          <w:lang w:val="en-GB"/>
        </w:rPr>
        <w:footnoteReference w:id="2"/>
      </w:r>
      <w:r w:rsidR="000C6BE9" w:rsidRPr="008463F3">
        <w:rPr>
          <w:shd w:val="clear" w:color="auto" w:fill="FFFFFF"/>
          <w:lang w:val="en-GB"/>
        </w:rPr>
        <w:t>,</w:t>
      </w:r>
      <w:r w:rsidRPr="008662BF">
        <w:rPr>
          <w:shd w:val="clear" w:color="auto" w:fill="FFFFFF"/>
          <w:lang w:val="mk-MK"/>
        </w:rPr>
        <w:t xml:space="preserve"> истражувачките инфраструктури се дефинирани на следниов начин: </w:t>
      </w:r>
      <w:r w:rsidRPr="008662BF">
        <w:rPr>
          <w:i/>
          <w:shd w:val="clear" w:color="auto" w:fill="FFFFFF"/>
          <w:lang w:val="mk-MK"/>
        </w:rPr>
        <w:t xml:space="preserve">„Истражувачки инфраструктури се објекти, ресурси и услуги што истражувачката заедница ги користи за спроведување на истражувања и </w:t>
      </w:r>
      <w:r w:rsidR="00DC40F0">
        <w:rPr>
          <w:i/>
          <w:shd w:val="clear" w:color="auto" w:fill="FFFFFF"/>
          <w:lang w:val="mk-MK"/>
        </w:rPr>
        <w:t xml:space="preserve">за </w:t>
      </w:r>
      <w:r w:rsidRPr="008662BF">
        <w:rPr>
          <w:i/>
          <w:shd w:val="clear" w:color="auto" w:fill="FFFFFF"/>
          <w:lang w:val="mk-MK"/>
        </w:rPr>
        <w:t xml:space="preserve">поттикнување на иновации во своите области. Тие опфаќаат: голема научна опрема (или комплети инструменти), ресурси базирани на знаење, како што се збирки, архиви и научни податоци, електронска инфраструктура, како што се податоци и компјутерски системи и комуникациски мрежи и сите други алатки </w:t>
      </w:r>
      <w:r w:rsidR="00DC40F0">
        <w:rPr>
          <w:i/>
          <w:shd w:val="clear" w:color="auto" w:fill="FFFFFF"/>
          <w:lang w:val="mk-MK"/>
        </w:rPr>
        <w:t xml:space="preserve">што </w:t>
      </w:r>
      <w:r w:rsidRPr="008662BF">
        <w:rPr>
          <w:i/>
          <w:shd w:val="clear" w:color="auto" w:fill="FFFFFF"/>
          <w:lang w:val="mk-MK"/>
        </w:rPr>
        <w:t>се од суштинско значење за постигн</w:t>
      </w:r>
      <w:r w:rsidR="00DC40F0">
        <w:rPr>
          <w:i/>
          <w:shd w:val="clear" w:color="auto" w:fill="FFFFFF"/>
          <w:lang w:val="mk-MK"/>
        </w:rPr>
        <w:t>увањ</w:t>
      </w:r>
      <w:r w:rsidRPr="008662BF">
        <w:rPr>
          <w:i/>
          <w:shd w:val="clear" w:color="auto" w:fill="FFFFFF"/>
          <w:lang w:val="mk-MK"/>
        </w:rPr>
        <w:t>е извонредност во областа на истражувањето и иновациите“.</w:t>
      </w:r>
    </w:p>
    <w:p w14:paraId="023F0446" w14:textId="3672AE19" w:rsidR="00697CA0" w:rsidRPr="008662BF" w:rsidRDefault="00697CA0" w:rsidP="00697CA0">
      <w:pPr>
        <w:jc w:val="both"/>
        <w:rPr>
          <w:shd w:val="clear" w:color="auto" w:fill="FFFFFF"/>
          <w:lang w:val="mk-MK"/>
        </w:rPr>
      </w:pPr>
      <w:r w:rsidRPr="008662BF">
        <w:rPr>
          <w:shd w:val="clear" w:color="auto" w:fill="FFFFFF"/>
          <w:lang w:val="mk-MK"/>
        </w:rPr>
        <w:t xml:space="preserve">Националните инвестиции во развојот на ИИ се важни со оглед на влијанието што ИИ го имаат врз унапредувањето на извонредноста на истражувањето преку обезбедување пристап до најсовремени капацитети и опрема, </w:t>
      </w:r>
      <w:r w:rsidR="00DC40F0">
        <w:rPr>
          <w:shd w:val="clear" w:color="auto" w:fill="FFFFFF"/>
          <w:lang w:val="mk-MK"/>
        </w:rPr>
        <w:t xml:space="preserve">до </w:t>
      </w:r>
      <w:r w:rsidRPr="008662BF">
        <w:rPr>
          <w:shd w:val="clear" w:color="auto" w:fill="FFFFFF"/>
          <w:lang w:val="mk-MK"/>
        </w:rPr>
        <w:t>сеопфатни бази на податоци и</w:t>
      </w:r>
      <w:r w:rsidR="00DC40F0">
        <w:rPr>
          <w:shd w:val="clear" w:color="auto" w:fill="FFFFFF"/>
          <w:lang w:val="mk-MK"/>
        </w:rPr>
        <w:t xml:space="preserve"> до</w:t>
      </w:r>
      <w:r w:rsidRPr="008662BF">
        <w:rPr>
          <w:shd w:val="clear" w:color="auto" w:fill="FFFFFF"/>
          <w:lang w:val="mk-MK"/>
        </w:rPr>
        <w:t xml:space="preserve"> други ресурси. ИИ претставуваат важен елемент на Европската истражувачка област, </w:t>
      </w:r>
      <w:r w:rsidR="00DC40F0">
        <w:rPr>
          <w:shd w:val="clear" w:color="auto" w:fill="FFFFFF"/>
          <w:lang w:val="mk-MK"/>
        </w:rPr>
        <w:t>што</w:t>
      </w:r>
      <w:r w:rsidR="00DC40F0" w:rsidRPr="008662BF">
        <w:rPr>
          <w:shd w:val="clear" w:color="auto" w:fill="FFFFFF"/>
          <w:lang w:val="mk-MK"/>
        </w:rPr>
        <w:t xml:space="preserve"> </w:t>
      </w:r>
      <w:r w:rsidRPr="008662BF">
        <w:rPr>
          <w:shd w:val="clear" w:color="auto" w:fill="FFFFFF"/>
          <w:lang w:val="mk-MK"/>
        </w:rPr>
        <w:t>нуд</w:t>
      </w:r>
      <w:r w:rsidR="00DC40F0">
        <w:rPr>
          <w:shd w:val="clear" w:color="auto" w:fill="FFFFFF"/>
          <w:lang w:val="mk-MK"/>
        </w:rPr>
        <w:t>и</w:t>
      </w:r>
      <w:r w:rsidRPr="008662BF">
        <w:rPr>
          <w:shd w:val="clear" w:color="auto" w:fill="FFFFFF"/>
          <w:lang w:val="mk-MK"/>
        </w:rPr>
        <w:t xml:space="preserve"> уникатни истражувачки услуги за корисници</w:t>
      </w:r>
      <w:r w:rsidR="00DC40F0">
        <w:rPr>
          <w:shd w:val="clear" w:color="auto" w:fill="FFFFFF"/>
          <w:lang w:val="mk-MK"/>
        </w:rPr>
        <w:t>те</w:t>
      </w:r>
      <w:r w:rsidRPr="008662BF">
        <w:rPr>
          <w:shd w:val="clear" w:color="auto" w:fill="FFFFFF"/>
          <w:lang w:val="mk-MK"/>
        </w:rPr>
        <w:t xml:space="preserve"> од различни земји, </w:t>
      </w:r>
      <w:r w:rsidR="00DC40F0">
        <w:rPr>
          <w:shd w:val="clear" w:color="auto" w:fill="FFFFFF"/>
          <w:lang w:val="mk-MK"/>
        </w:rPr>
        <w:t xml:space="preserve">што </w:t>
      </w:r>
      <w:r w:rsidRPr="008662BF">
        <w:rPr>
          <w:shd w:val="clear" w:color="auto" w:fill="FFFFFF"/>
          <w:lang w:val="mk-MK"/>
        </w:rPr>
        <w:t xml:space="preserve">ги привлекува младите луѓе кон науката, </w:t>
      </w:r>
      <w:r w:rsidR="00DC40F0">
        <w:rPr>
          <w:shd w:val="clear" w:color="auto" w:fill="FFFFFF"/>
          <w:lang w:val="mk-MK"/>
        </w:rPr>
        <w:t xml:space="preserve">што ги </w:t>
      </w:r>
      <w:r w:rsidRPr="008662BF">
        <w:rPr>
          <w:shd w:val="clear" w:color="auto" w:fill="FFFFFF"/>
          <w:lang w:val="mk-MK"/>
        </w:rPr>
        <w:t>обликува мултидисциплинарни</w:t>
      </w:r>
      <w:r w:rsidR="00DC40F0">
        <w:rPr>
          <w:shd w:val="clear" w:color="auto" w:fill="FFFFFF"/>
          <w:lang w:val="mk-MK"/>
        </w:rPr>
        <w:t>те</w:t>
      </w:r>
      <w:r w:rsidRPr="008662BF">
        <w:rPr>
          <w:shd w:val="clear" w:color="auto" w:fill="FFFFFF"/>
          <w:lang w:val="mk-MK"/>
        </w:rPr>
        <w:t xml:space="preserve"> научни заедници и го поттикнува економскиот развој. Иако примарната цел на ИИ е развојот на најсовремена наука, нивното влијание ги надминува самите научни истражувања. Тие се подеднакво важни и релевантни за сите научни области и претставуваат важен инструмент за поврзување на истражувањето со деловниот сектор.</w:t>
      </w:r>
    </w:p>
    <w:p w14:paraId="4693ABCC" w14:textId="77777777" w:rsidR="00697CA0" w:rsidRPr="008662BF" w:rsidRDefault="00697CA0" w:rsidP="00697CA0">
      <w:pPr>
        <w:jc w:val="both"/>
        <w:rPr>
          <w:shd w:val="clear" w:color="auto" w:fill="FFFFFF"/>
          <w:lang w:val="mk-MK"/>
        </w:rPr>
      </w:pPr>
      <w:r w:rsidRPr="008662BF">
        <w:rPr>
          <w:shd w:val="clear" w:color="auto" w:fill="FFFFFF"/>
          <w:lang w:val="mk-MK"/>
        </w:rPr>
        <w:t>Европскиот стратешки форум за истражувачки инфраструктури (</w:t>
      </w:r>
      <w:r w:rsidR="00EE783C" w:rsidRPr="008662BF">
        <w:rPr>
          <w:shd w:val="clear" w:color="auto" w:fill="FFFFFF"/>
          <w:lang w:val="mk-MK"/>
        </w:rPr>
        <w:t>ESFRI</w:t>
      </w:r>
      <w:r w:rsidRPr="008662BF">
        <w:rPr>
          <w:shd w:val="clear" w:color="auto" w:fill="FFFFFF"/>
          <w:lang w:val="mk-MK"/>
        </w:rPr>
        <w:t>)</w:t>
      </w:r>
      <w:r w:rsidRPr="008662BF">
        <w:rPr>
          <w:rStyle w:val="FootnoteReference"/>
          <w:shd w:val="clear" w:color="auto" w:fill="FFFFFF"/>
          <w:lang w:val="mk-MK"/>
        </w:rPr>
        <w:footnoteReference w:id="3"/>
      </w:r>
      <w:r w:rsidRPr="008662BF">
        <w:rPr>
          <w:shd w:val="clear" w:color="auto" w:fill="FFFFFF"/>
          <w:lang w:val="mk-MK"/>
        </w:rPr>
        <w:t xml:space="preserve"> е стратешки инструмент кој земјите членки и Европската комисија го креираа во 2002 година за развој на научната интеграција на Европа и</w:t>
      </w:r>
      <w:r w:rsidR="00DC40F0">
        <w:rPr>
          <w:shd w:val="clear" w:color="auto" w:fill="FFFFFF"/>
          <w:lang w:val="mk-MK"/>
        </w:rPr>
        <w:t xml:space="preserve"> за</w:t>
      </w:r>
      <w:r w:rsidRPr="008662BF">
        <w:rPr>
          <w:shd w:val="clear" w:color="auto" w:fill="FFFFFF"/>
          <w:lang w:val="mk-MK"/>
        </w:rPr>
        <w:t xml:space="preserve"> зајакнување на нејзиниот меѓународен </w:t>
      </w:r>
      <w:r w:rsidR="00EE783C" w:rsidRPr="008662BF">
        <w:rPr>
          <w:shd w:val="clear" w:color="auto" w:fill="FFFFFF"/>
          <w:lang w:val="mk-MK"/>
        </w:rPr>
        <w:t>досег</w:t>
      </w:r>
      <w:r w:rsidRPr="008662BF">
        <w:rPr>
          <w:shd w:val="clear" w:color="auto" w:fill="FFFFFF"/>
          <w:lang w:val="mk-MK"/>
        </w:rPr>
        <w:t xml:space="preserve">. </w:t>
      </w:r>
      <w:r w:rsidR="00CF6857" w:rsidRPr="008662BF">
        <w:rPr>
          <w:shd w:val="clear" w:color="auto" w:fill="FFFFFF"/>
          <w:lang w:val="mk-MK"/>
        </w:rPr>
        <w:t xml:space="preserve">ESFRI </w:t>
      </w:r>
      <w:r w:rsidRPr="008662BF">
        <w:rPr>
          <w:shd w:val="clear" w:color="auto" w:fill="FFFFFF"/>
          <w:lang w:val="mk-MK"/>
        </w:rPr>
        <w:t xml:space="preserve">им дава можност на националните власти да </w:t>
      </w:r>
      <w:r w:rsidR="00DC40F0">
        <w:rPr>
          <w:shd w:val="clear" w:color="auto" w:fill="FFFFFF"/>
          <w:lang w:val="mk-MK"/>
        </w:rPr>
        <w:t xml:space="preserve">ги </w:t>
      </w:r>
      <w:r w:rsidR="00CF6857" w:rsidRPr="008662BF">
        <w:rPr>
          <w:shd w:val="clear" w:color="auto" w:fill="FFFFFF"/>
          <w:lang w:val="mk-MK"/>
        </w:rPr>
        <w:t xml:space="preserve">разгледуваат </w:t>
      </w:r>
      <w:r w:rsidRPr="008662BF">
        <w:rPr>
          <w:shd w:val="clear" w:color="auto" w:fill="FFFFFF"/>
          <w:lang w:val="mk-MK"/>
        </w:rPr>
        <w:t>заеднички</w:t>
      </w:r>
      <w:r w:rsidR="00DC40F0">
        <w:rPr>
          <w:shd w:val="clear" w:color="auto" w:fill="FFFFFF"/>
          <w:lang w:val="mk-MK"/>
        </w:rPr>
        <w:t>те</w:t>
      </w:r>
      <w:r w:rsidRPr="008662BF">
        <w:rPr>
          <w:shd w:val="clear" w:color="auto" w:fill="FFFFFF"/>
          <w:lang w:val="mk-MK"/>
        </w:rPr>
        <w:t xml:space="preserve"> и интегрирани</w:t>
      </w:r>
      <w:r w:rsidR="00DC40F0">
        <w:rPr>
          <w:shd w:val="clear" w:color="auto" w:fill="FFFFFF"/>
          <w:lang w:val="mk-MK"/>
        </w:rPr>
        <w:t>те</w:t>
      </w:r>
      <w:r w:rsidRPr="008662BF">
        <w:rPr>
          <w:shd w:val="clear" w:color="auto" w:fill="FFFFFF"/>
          <w:lang w:val="mk-MK"/>
        </w:rPr>
        <w:t xml:space="preserve"> активности за најдобар развој и</w:t>
      </w:r>
      <w:r w:rsidR="00DC40F0">
        <w:rPr>
          <w:shd w:val="clear" w:color="auto" w:fill="FFFFFF"/>
          <w:lang w:val="mk-MK"/>
        </w:rPr>
        <w:t xml:space="preserve"> за</w:t>
      </w:r>
      <w:r w:rsidRPr="008662BF">
        <w:rPr>
          <w:shd w:val="clear" w:color="auto" w:fill="FFFFFF"/>
          <w:lang w:val="mk-MK"/>
        </w:rPr>
        <w:t xml:space="preserve"> користење на истражувачки</w:t>
      </w:r>
      <w:r w:rsidR="00CF6857" w:rsidRPr="008662BF">
        <w:rPr>
          <w:shd w:val="clear" w:color="auto" w:fill="FFFFFF"/>
          <w:lang w:val="mk-MK"/>
        </w:rPr>
        <w:t>те инфраструктури од пан</w:t>
      </w:r>
      <w:r w:rsidRPr="008662BF">
        <w:rPr>
          <w:shd w:val="clear" w:color="auto" w:fill="FFFFFF"/>
          <w:lang w:val="mk-MK"/>
        </w:rPr>
        <w:t xml:space="preserve">европско значење. На овој начин, со интегрирање на националните политики, </w:t>
      </w:r>
      <w:r w:rsidR="00CF6857" w:rsidRPr="008662BF">
        <w:rPr>
          <w:shd w:val="clear" w:color="auto" w:fill="FFFFFF"/>
          <w:lang w:val="mk-MK"/>
        </w:rPr>
        <w:t xml:space="preserve">ESFRI </w:t>
      </w:r>
      <w:r w:rsidRPr="008662BF">
        <w:rPr>
          <w:shd w:val="clear" w:color="auto" w:fill="FFFFFF"/>
          <w:lang w:val="mk-MK"/>
        </w:rPr>
        <w:t xml:space="preserve">ги обединува националните ресурси и ресурсите на ЕУ за развој на </w:t>
      </w:r>
      <w:r w:rsidR="00CF6857" w:rsidRPr="008662BF">
        <w:rPr>
          <w:shd w:val="clear" w:color="auto" w:fill="FFFFFF"/>
          <w:lang w:val="mk-MK"/>
        </w:rPr>
        <w:t>Европската истражувачка област</w:t>
      </w:r>
      <w:r w:rsidRPr="008662BF">
        <w:rPr>
          <w:shd w:val="clear" w:color="auto" w:fill="FFFFFF"/>
          <w:lang w:val="mk-MK"/>
        </w:rPr>
        <w:t>.</w:t>
      </w:r>
    </w:p>
    <w:p w14:paraId="2A329E0F" w14:textId="77777777" w:rsidR="001560D1" w:rsidRPr="008662BF" w:rsidRDefault="001560D1" w:rsidP="001560D1">
      <w:pPr>
        <w:jc w:val="both"/>
        <w:rPr>
          <w:shd w:val="clear" w:color="auto" w:fill="FFFFFF"/>
          <w:lang w:val="mk-MK"/>
        </w:rPr>
      </w:pPr>
      <w:r w:rsidRPr="008662BF">
        <w:rPr>
          <w:shd w:val="clear" w:color="auto" w:fill="FFFFFF"/>
          <w:lang w:val="mk-MK"/>
        </w:rPr>
        <w:t xml:space="preserve">Во последната деценија, повеќето земји членки на ЕУ во </w:t>
      </w:r>
      <w:r w:rsidR="00CF6857" w:rsidRPr="008662BF">
        <w:rPr>
          <w:shd w:val="clear" w:color="auto" w:fill="FFFFFF"/>
          <w:lang w:val="mk-MK"/>
        </w:rPr>
        <w:t xml:space="preserve">Европската истражувачка област ги </w:t>
      </w:r>
      <w:r w:rsidRPr="008662BF">
        <w:rPr>
          <w:shd w:val="clear" w:color="auto" w:fill="FFFFFF"/>
          <w:lang w:val="mk-MK"/>
        </w:rPr>
        <w:t>подготвија и соодве</w:t>
      </w:r>
      <w:r w:rsidR="00CF6857" w:rsidRPr="008662BF">
        <w:rPr>
          <w:shd w:val="clear" w:color="auto" w:fill="FFFFFF"/>
          <w:lang w:val="mk-MK"/>
        </w:rPr>
        <w:t>тно ги ажурираат своите П</w:t>
      </w:r>
      <w:r w:rsidRPr="008662BF">
        <w:rPr>
          <w:shd w:val="clear" w:color="auto" w:fill="FFFFFF"/>
          <w:lang w:val="mk-MK"/>
        </w:rPr>
        <w:t xml:space="preserve">атокази </w:t>
      </w:r>
      <w:r w:rsidR="00CF6857" w:rsidRPr="008662BF">
        <w:rPr>
          <w:shd w:val="clear" w:color="auto" w:fill="FFFFFF"/>
          <w:lang w:val="mk-MK"/>
        </w:rPr>
        <w:t xml:space="preserve">за </w:t>
      </w:r>
      <w:r w:rsidRPr="008662BF">
        <w:rPr>
          <w:shd w:val="clear" w:color="auto" w:fill="FFFFFF"/>
          <w:lang w:val="mk-MK"/>
        </w:rPr>
        <w:t>националните ИИ</w:t>
      </w:r>
      <w:r w:rsidR="00DC40F0">
        <w:rPr>
          <w:shd w:val="clear" w:color="auto" w:fill="FFFFFF"/>
          <w:lang w:val="mk-MK"/>
        </w:rPr>
        <w:t xml:space="preserve"> во</w:t>
      </w:r>
      <w:r w:rsidRPr="008662BF">
        <w:rPr>
          <w:shd w:val="clear" w:color="auto" w:fill="FFFFFF"/>
          <w:lang w:val="mk-MK"/>
        </w:rPr>
        <w:t xml:space="preserve"> согласно</w:t>
      </w:r>
      <w:r w:rsidR="00DC40F0">
        <w:rPr>
          <w:shd w:val="clear" w:color="auto" w:fill="FFFFFF"/>
          <w:lang w:val="mk-MK"/>
        </w:rPr>
        <w:t>ст со</w:t>
      </w:r>
      <w:r w:rsidRPr="008662BF">
        <w:rPr>
          <w:shd w:val="clear" w:color="auto" w:fill="FFFFFF"/>
          <w:lang w:val="mk-MK"/>
        </w:rPr>
        <w:t xml:space="preserve"> насоките на </w:t>
      </w:r>
      <w:r w:rsidR="00CF6857" w:rsidRPr="008662BF">
        <w:rPr>
          <w:shd w:val="clear" w:color="auto" w:fill="FFFFFF"/>
          <w:lang w:val="mk-MK"/>
        </w:rPr>
        <w:t>ESFRI</w:t>
      </w:r>
      <w:r w:rsidRPr="008662BF">
        <w:rPr>
          <w:shd w:val="clear" w:color="auto" w:fill="FFFFFF"/>
          <w:lang w:val="mk-MK"/>
        </w:rPr>
        <w:t>. Во согласност со овој тренд, земјите на Западен Балкан (Црна Гора и Србија), исто така, ја препознаа важноста на ИИ за националниот истражувачки екосистем и</w:t>
      </w:r>
      <w:r w:rsidR="00DC40F0">
        <w:rPr>
          <w:shd w:val="clear" w:color="auto" w:fill="FFFFFF"/>
          <w:lang w:val="mk-MK"/>
        </w:rPr>
        <w:t xml:space="preserve"> за</w:t>
      </w:r>
      <w:r w:rsidRPr="008662BF">
        <w:rPr>
          <w:shd w:val="clear" w:color="auto" w:fill="FFFFFF"/>
          <w:lang w:val="mk-MK"/>
        </w:rPr>
        <w:t xml:space="preserve"> економскиот развој и го завршија процесот на п</w:t>
      </w:r>
      <w:r w:rsidR="00CF6857" w:rsidRPr="008662BF">
        <w:rPr>
          <w:shd w:val="clear" w:color="auto" w:fill="FFFFFF"/>
          <w:lang w:val="mk-MK"/>
        </w:rPr>
        <w:t>одготовка на своите национални П</w:t>
      </w:r>
      <w:r w:rsidRPr="008662BF">
        <w:rPr>
          <w:shd w:val="clear" w:color="auto" w:fill="FFFFFF"/>
          <w:lang w:val="mk-MK"/>
        </w:rPr>
        <w:t>атокази за ИИ.</w:t>
      </w:r>
    </w:p>
    <w:p w14:paraId="72E673F9" w14:textId="6E78DFDF" w:rsidR="001560D1" w:rsidRDefault="001560D1" w:rsidP="001560D1">
      <w:pPr>
        <w:jc w:val="both"/>
        <w:rPr>
          <w:shd w:val="clear" w:color="auto" w:fill="FFFFFF"/>
          <w:lang w:val="mk-MK"/>
        </w:rPr>
      </w:pPr>
      <w:r w:rsidRPr="008662BF">
        <w:rPr>
          <w:shd w:val="clear" w:color="auto" w:fill="FFFFFF"/>
          <w:lang w:val="mk-MK"/>
        </w:rPr>
        <w:t xml:space="preserve">Конечните критериуми за идентификување на ИИ во </w:t>
      </w:r>
      <w:r w:rsidR="00417197">
        <w:rPr>
          <w:shd w:val="clear" w:color="auto" w:fill="FFFFFF"/>
          <w:lang w:val="mk-MK"/>
        </w:rPr>
        <w:t>Република Северна Македонија</w:t>
      </w:r>
      <w:r w:rsidRPr="008662BF">
        <w:rPr>
          <w:shd w:val="clear" w:color="auto" w:fill="FFFFFF"/>
          <w:lang w:val="mk-MK"/>
        </w:rPr>
        <w:t xml:space="preserve"> ја одразуваат прилично скромната состојба на националната истражувачка инфраструктура. Ова </w:t>
      </w:r>
      <w:r w:rsidRPr="008662BF">
        <w:rPr>
          <w:shd w:val="clear" w:color="auto" w:fill="FFFFFF"/>
          <w:lang w:val="mk-MK"/>
        </w:rPr>
        <w:lastRenderedPageBreak/>
        <w:t xml:space="preserve">значи дека поради многу малиот број меѓународно релевантни големи истражувачки инфраструктури, </w:t>
      </w:r>
      <w:r w:rsidR="00DC40F0" w:rsidRPr="008662BF">
        <w:rPr>
          <w:shd w:val="clear" w:color="auto" w:fill="FFFFFF"/>
          <w:lang w:val="mk-MK"/>
        </w:rPr>
        <w:t xml:space="preserve">во овој документ </w:t>
      </w:r>
      <w:r w:rsidRPr="008662BF">
        <w:rPr>
          <w:shd w:val="clear" w:color="auto" w:fill="FFFFFF"/>
          <w:lang w:val="mk-MK"/>
        </w:rPr>
        <w:t>истражувачката инфраструктура подразбира истражувачки објекти и опрема во рамките на истражувачките институции (универзитети и научни институти) чија цел е да обезбедат основни услови за истражувачки активности.</w:t>
      </w:r>
    </w:p>
    <w:p w14:paraId="0DFBFF16" w14:textId="77777777" w:rsidR="00270F36" w:rsidRPr="008662BF" w:rsidRDefault="00270F36" w:rsidP="001560D1">
      <w:pPr>
        <w:jc w:val="both"/>
        <w:rPr>
          <w:shd w:val="clear" w:color="auto" w:fill="FFFFFF"/>
          <w:lang w:val="mk-MK"/>
        </w:rPr>
      </w:pPr>
    </w:p>
    <w:p w14:paraId="1775AA90" w14:textId="77777777" w:rsidR="007679F8" w:rsidRPr="008662BF" w:rsidRDefault="007679F8" w:rsidP="007679F8">
      <w:pPr>
        <w:pStyle w:val="Heading2"/>
        <w:numPr>
          <w:ilvl w:val="1"/>
          <w:numId w:val="45"/>
        </w:numPr>
        <w:spacing w:after="240"/>
        <w:rPr>
          <w:rFonts w:asciiTheme="minorHAnsi" w:hAnsiTheme="minorHAnsi"/>
          <w:lang w:val="mk-MK"/>
        </w:rPr>
      </w:pPr>
      <w:bookmarkStart w:id="9" w:name="_Toc86916048"/>
      <w:r w:rsidRPr="008662BF">
        <w:rPr>
          <w:rFonts w:asciiTheme="minorHAnsi" w:hAnsiTheme="minorHAnsi"/>
          <w:lang w:val="mk-MK"/>
        </w:rPr>
        <w:t>Основа и методологија за подготовка на Патоказот за истражувачка инфраструктура</w:t>
      </w:r>
      <w:bookmarkEnd w:id="9"/>
    </w:p>
    <w:p w14:paraId="181D194D" w14:textId="77777777" w:rsidR="007679F8" w:rsidRPr="008662BF" w:rsidRDefault="007679F8" w:rsidP="007679F8">
      <w:pPr>
        <w:jc w:val="both"/>
        <w:rPr>
          <w:shd w:val="clear" w:color="auto" w:fill="FFFFFF"/>
          <w:lang w:val="mk-MK"/>
        </w:rPr>
      </w:pPr>
      <w:r w:rsidRPr="008662BF">
        <w:rPr>
          <w:shd w:val="clear" w:color="auto" w:fill="FFFFFF"/>
          <w:lang w:val="mk-MK"/>
        </w:rPr>
        <w:t>Патоказот за ИИ е подготвен со техничка помош обезбедена од Советот за регионална соработка (РЦЦ). РЦЦ обезбеди техничка и експертска поддршка за Министерството за образование и наука во текот на целиот процес што резултираше со изработка на конечниот документ. Поддршката беше обезбедена во рамки</w:t>
      </w:r>
      <w:r w:rsidR="00DC40F0">
        <w:rPr>
          <w:shd w:val="clear" w:color="auto" w:fill="FFFFFF"/>
          <w:lang w:val="mk-MK"/>
        </w:rPr>
        <w:t>те</w:t>
      </w:r>
      <w:r w:rsidRPr="008662BF">
        <w:rPr>
          <w:shd w:val="clear" w:color="auto" w:fill="FFFFFF"/>
          <w:lang w:val="mk-MK"/>
        </w:rPr>
        <w:t xml:space="preserve"> на поширока активност што вклучуваше обезбедување помош </w:t>
      </w:r>
      <w:r w:rsidR="00CF6857" w:rsidRPr="008662BF">
        <w:rPr>
          <w:shd w:val="clear" w:color="auto" w:fill="FFFFFF"/>
          <w:lang w:val="mk-MK"/>
        </w:rPr>
        <w:t xml:space="preserve">и </w:t>
      </w:r>
      <w:r w:rsidRPr="008662BF">
        <w:rPr>
          <w:shd w:val="clear" w:color="auto" w:fill="FFFFFF"/>
          <w:lang w:val="mk-MK"/>
        </w:rPr>
        <w:t>за другите земји од Западен Балкан со крајна цел да се придонесе за подготовката на Патоказот за истражувачки инфраструктури на Западен Балкан.</w:t>
      </w:r>
    </w:p>
    <w:p w14:paraId="2F606149" w14:textId="77777777" w:rsidR="007679F8" w:rsidRPr="008662BF" w:rsidRDefault="007679F8" w:rsidP="007679F8">
      <w:pPr>
        <w:jc w:val="both"/>
        <w:rPr>
          <w:shd w:val="clear" w:color="auto" w:fill="FFFFFF"/>
          <w:lang w:val="mk-MK"/>
        </w:rPr>
      </w:pPr>
      <w:r w:rsidRPr="008662BF">
        <w:rPr>
          <w:shd w:val="clear" w:color="auto" w:fill="FFFFFF"/>
          <w:lang w:val="mk-MK"/>
        </w:rPr>
        <w:t>Патоказот за ИИ е подготвен со примена на два методи на истражување: анализа на документација и истражување на терен.</w:t>
      </w:r>
    </w:p>
    <w:p w14:paraId="1F80FDD8" w14:textId="39162909" w:rsidR="00E8362A" w:rsidRPr="008662BF" w:rsidRDefault="00E8362A" w:rsidP="007947BF">
      <w:pPr>
        <w:jc w:val="both"/>
        <w:rPr>
          <w:shd w:val="clear" w:color="auto" w:fill="FFFFFF"/>
          <w:lang w:val="mk-MK"/>
        </w:rPr>
      </w:pPr>
      <w:r w:rsidRPr="008662BF">
        <w:rPr>
          <w:shd w:val="clear" w:color="auto" w:fill="FFFFFF"/>
          <w:lang w:val="mk-MK"/>
        </w:rPr>
        <w:t xml:space="preserve">Анализата на документација беше спроведена </w:t>
      </w:r>
      <w:r w:rsidR="00CF6857" w:rsidRPr="008662BF">
        <w:rPr>
          <w:shd w:val="clear" w:color="auto" w:fill="FFFFFF"/>
          <w:lang w:val="mk-MK"/>
        </w:rPr>
        <w:t xml:space="preserve">преку </w:t>
      </w:r>
      <w:r w:rsidRPr="008662BF">
        <w:rPr>
          <w:shd w:val="clear" w:color="auto" w:fill="FFFFFF"/>
          <w:lang w:val="mk-MK"/>
        </w:rPr>
        <w:t xml:space="preserve">анализа на постојната правна рамка и </w:t>
      </w:r>
      <w:r w:rsidR="00E37E4D">
        <w:rPr>
          <w:shd w:val="clear" w:color="auto" w:fill="FFFFFF"/>
          <w:lang w:val="mk-MK"/>
        </w:rPr>
        <w:t xml:space="preserve">на </w:t>
      </w:r>
      <w:r w:rsidRPr="008662BF">
        <w:rPr>
          <w:shd w:val="clear" w:color="auto" w:fill="FFFFFF"/>
          <w:lang w:val="mk-MK"/>
        </w:rPr>
        <w:t>документите за политики во областа на истражувањето,</w:t>
      </w:r>
      <w:r w:rsidR="00E37E4D">
        <w:rPr>
          <w:shd w:val="clear" w:color="auto" w:fill="FFFFFF"/>
          <w:lang w:val="mk-MK"/>
        </w:rPr>
        <w:t xml:space="preserve"> на</w:t>
      </w:r>
      <w:r w:rsidRPr="008662BF">
        <w:rPr>
          <w:shd w:val="clear" w:color="auto" w:fill="FFFFFF"/>
          <w:lang w:val="mk-MK"/>
        </w:rPr>
        <w:t xml:space="preserve"> технолошкиот развој и</w:t>
      </w:r>
      <w:r w:rsidR="00E37E4D">
        <w:rPr>
          <w:shd w:val="clear" w:color="auto" w:fill="FFFFFF"/>
          <w:lang w:val="mk-MK"/>
        </w:rPr>
        <w:t xml:space="preserve"> на</w:t>
      </w:r>
      <w:r w:rsidRPr="008662BF">
        <w:rPr>
          <w:shd w:val="clear" w:color="auto" w:fill="FFFFFF"/>
          <w:lang w:val="mk-MK"/>
        </w:rPr>
        <w:t xml:space="preserve"> иновациите во </w:t>
      </w:r>
      <w:r w:rsidR="00417197">
        <w:rPr>
          <w:shd w:val="clear" w:color="auto" w:fill="FFFFFF"/>
          <w:lang w:val="mk-MK"/>
        </w:rPr>
        <w:t>Република Северна Македонија</w:t>
      </w:r>
      <w:r w:rsidRPr="008662BF">
        <w:rPr>
          <w:shd w:val="clear" w:color="auto" w:fill="FFFFFF"/>
          <w:lang w:val="mk-MK"/>
        </w:rPr>
        <w:t xml:space="preserve">. Сите документи што беа предмет на анализата се официјални и одобрени владини документи кои се достапни за пошироката јавност. Рамката на политиките беше анализирана во контекст на тековниот развој на истражувачките инфраструктури. Конкретниот фокус беше на моменталната состојба на истражувачкиот сектор; </w:t>
      </w:r>
      <w:r w:rsidR="00E37E4D">
        <w:rPr>
          <w:shd w:val="clear" w:color="auto" w:fill="FFFFFF"/>
          <w:lang w:val="mk-MK"/>
        </w:rPr>
        <w:t xml:space="preserve">на </w:t>
      </w:r>
      <w:r w:rsidRPr="008662BF">
        <w:rPr>
          <w:shd w:val="clear" w:color="auto" w:fill="FFFFFF"/>
          <w:lang w:val="mk-MK"/>
        </w:rPr>
        <w:t xml:space="preserve">преглед на постојните стратегии за истражување и иновации; </w:t>
      </w:r>
      <w:r w:rsidR="00E37E4D">
        <w:rPr>
          <w:shd w:val="clear" w:color="auto" w:fill="FFFFFF"/>
          <w:lang w:val="mk-MK"/>
        </w:rPr>
        <w:t xml:space="preserve">на </w:t>
      </w:r>
      <w:r w:rsidRPr="008662BF">
        <w:rPr>
          <w:shd w:val="clear" w:color="auto" w:fill="FFFFFF"/>
          <w:lang w:val="mk-MK"/>
        </w:rPr>
        <w:t xml:space="preserve">финансиската рамка и </w:t>
      </w:r>
      <w:r w:rsidR="00E37E4D">
        <w:rPr>
          <w:shd w:val="clear" w:color="auto" w:fill="FFFFFF"/>
          <w:lang w:val="mk-MK"/>
        </w:rPr>
        <w:t xml:space="preserve">на </w:t>
      </w:r>
      <w:r w:rsidRPr="008662BF">
        <w:rPr>
          <w:shd w:val="clear" w:color="auto" w:fill="FFFFFF"/>
          <w:lang w:val="mk-MK"/>
        </w:rPr>
        <w:t>моменталниот стату</w:t>
      </w:r>
      <w:r w:rsidR="003F6A0F" w:rsidRPr="008662BF">
        <w:rPr>
          <w:shd w:val="clear" w:color="auto" w:fill="FFFFFF"/>
          <w:lang w:val="mk-MK"/>
        </w:rPr>
        <w:t>с на процесот на подготовка на С</w:t>
      </w:r>
      <w:r w:rsidRPr="008662BF">
        <w:rPr>
          <w:shd w:val="clear" w:color="auto" w:fill="FFFFFF"/>
          <w:lang w:val="mk-MK"/>
        </w:rPr>
        <w:t>тратегијата за паметна специјализација.</w:t>
      </w:r>
    </w:p>
    <w:p w14:paraId="32971685" w14:textId="50AD5963" w:rsidR="00D84D25" w:rsidRPr="008662BF" w:rsidRDefault="00E8362A" w:rsidP="007947BF">
      <w:pPr>
        <w:jc w:val="both"/>
        <w:rPr>
          <w:shd w:val="clear" w:color="auto" w:fill="FFFFFF"/>
          <w:lang w:val="mk-MK"/>
        </w:rPr>
      </w:pPr>
      <w:r w:rsidRPr="008662BF">
        <w:rPr>
          <w:shd w:val="clear" w:color="auto" w:fill="FFFFFF"/>
          <w:lang w:val="mk-MK"/>
        </w:rPr>
        <w:t xml:space="preserve">Истражувањето на терен опфаќаше доставување анкетен прашалник до истражувачката заедница за да се соберат информации за постојните истражувачки инфраструктури и опрема од национално и меѓународно значење. Министерството за образование и наука на </w:t>
      </w:r>
      <w:r w:rsidR="00417197">
        <w:rPr>
          <w:shd w:val="clear" w:color="auto" w:fill="FFFFFF"/>
          <w:lang w:val="mk-MK"/>
        </w:rPr>
        <w:t>Република Северна Македонија</w:t>
      </w:r>
      <w:r w:rsidRPr="008662BF">
        <w:rPr>
          <w:shd w:val="clear" w:color="auto" w:fill="FFFFFF"/>
          <w:lang w:val="mk-MK"/>
        </w:rPr>
        <w:t xml:space="preserve"> беше задолжено за </w:t>
      </w:r>
      <w:r w:rsidR="003F6A0F" w:rsidRPr="008662BF">
        <w:rPr>
          <w:shd w:val="clear" w:color="auto" w:fill="FFFFFF"/>
          <w:lang w:val="mk-MK"/>
        </w:rPr>
        <w:t xml:space="preserve">доставување </w:t>
      </w:r>
      <w:r w:rsidR="00D84D25" w:rsidRPr="008662BF">
        <w:rPr>
          <w:shd w:val="clear" w:color="auto" w:fill="FFFFFF"/>
          <w:lang w:val="mk-MK"/>
        </w:rPr>
        <w:t xml:space="preserve">на </w:t>
      </w:r>
      <w:r w:rsidRPr="008662BF">
        <w:rPr>
          <w:shd w:val="clear" w:color="auto" w:fill="FFFFFF"/>
          <w:lang w:val="mk-MK"/>
        </w:rPr>
        <w:t xml:space="preserve">прашалниците и </w:t>
      </w:r>
      <w:r w:rsidR="00E37E4D">
        <w:rPr>
          <w:shd w:val="clear" w:color="auto" w:fill="FFFFFF"/>
          <w:lang w:val="mk-MK"/>
        </w:rPr>
        <w:t xml:space="preserve">за </w:t>
      </w:r>
      <w:r w:rsidRPr="008662BF">
        <w:rPr>
          <w:shd w:val="clear" w:color="auto" w:fill="FFFFFF"/>
          <w:lang w:val="mk-MK"/>
        </w:rPr>
        <w:t xml:space="preserve">собирање на одговорите </w:t>
      </w:r>
      <w:r w:rsidR="003F6A0F" w:rsidRPr="008662BF">
        <w:rPr>
          <w:shd w:val="clear" w:color="auto" w:fill="FFFFFF"/>
          <w:lang w:val="mk-MK"/>
        </w:rPr>
        <w:t>кои</w:t>
      </w:r>
      <w:r w:rsidR="00E37E4D">
        <w:rPr>
          <w:shd w:val="clear" w:color="auto" w:fill="FFFFFF"/>
          <w:lang w:val="mk-MK"/>
        </w:rPr>
        <w:t>што</w:t>
      </w:r>
      <w:r w:rsidR="003F6A0F" w:rsidRPr="008662BF">
        <w:rPr>
          <w:shd w:val="clear" w:color="auto" w:fill="FFFFFF"/>
          <w:lang w:val="mk-MK"/>
        </w:rPr>
        <w:t xml:space="preserve"> </w:t>
      </w:r>
      <w:r w:rsidR="00E37E4D" w:rsidRPr="008662BF">
        <w:rPr>
          <w:shd w:val="clear" w:color="auto" w:fill="FFFFFF"/>
          <w:lang w:val="mk-MK"/>
        </w:rPr>
        <w:t>ги обработи и</w:t>
      </w:r>
      <w:r w:rsidR="00E37E4D">
        <w:rPr>
          <w:shd w:val="clear" w:color="auto" w:fill="FFFFFF"/>
          <w:lang w:val="mk-MK"/>
        </w:rPr>
        <w:t xml:space="preserve"> ги</w:t>
      </w:r>
      <w:r w:rsidR="00E37E4D" w:rsidRPr="008662BF">
        <w:rPr>
          <w:shd w:val="clear" w:color="auto" w:fill="FFFFFF"/>
          <w:lang w:val="mk-MK"/>
        </w:rPr>
        <w:t xml:space="preserve"> анализираше </w:t>
      </w:r>
      <w:r w:rsidRPr="008662BF">
        <w:rPr>
          <w:shd w:val="clear" w:color="auto" w:fill="FFFFFF"/>
          <w:lang w:val="mk-MK"/>
        </w:rPr>
        <w:t xml:space="preserve">тимот </w:t>
      </w:r>
      <w:r w:rsidR="00E37E4D">
        <w:rPr>
          <w:shd w:val="clear" w:color="auto" w:fill="FFFFFF"/>
          <w:lang w:val="mk-MK"/>
        </w:rPr>
        <w:t>од</w:t>
      </w:r>
      <w:r w:rsidRPr="008662BF">
        <w:rPr>
          <w:shd w:val="clear" w:color="auto" w:fill="FFFFFF"/>
          <w:lang w:val="mk-MK"/>
        </w:rPr>
        <w:t xml:space="preserve"> надворешни експерти</w:t>
      </w:r>
      <w:r w:rsidR="00D84D25" w:rsidRPr="008662BF">
        <w:rPr>
          <w:shd w:val="clear" w:color="auto" w:fill="FFFFFF"/>
          <w:lang w:val="mk-MK"/>
        </w:rPr>
        <w:t>.</w:t>
      </w:r>
    </w:p>
    <w:p w14:paraId="6947B7FE" w14:textId="49B68800" w:rsidR="00FA1AA9" w:rsidRPr="008662BF" w:rsidRDefault="00FA1AA9" w:rsidP="007947BF">
      <w:pPr>
        <w:jc w:val="both"/>
        <w:rPr>
          <w:shd w:val="clear" w:color="auto" w:fill="FFFFFF"/>
          <w:lang w:val="mk-MK"/>
        </w:rPr>
      </w:pPr>
      <w:r w:rsidRPr="008662BF">
        <w:rPr>
          <w:shd w:val="clear" w:color="auto" w:fill="FFFFFF"/>
          <w:lang w:val="mk-MK"/>
        </w:rPr>
        <w:t xml:space="preserve">Анкетниот прашалник е даден во </w:t>
      </w:r>
      <w:r w:rsidR="00FA6D95" w:rsidRPr="008662BF">
        <w:rPr>
          <w:shd w:val="clear" w:color="auto" w:fill="FFFFFF"/>
          <w:lang w:val="mk-MK"/>
        </w:rPr>
        <w:t xml:space="preserve">Прилог </w:t>
      </w:r>
      <w:r w:rsidRPr="008662BF">
        <w:rPr>
          <w:shd w:val="clear" w:color="auto" w:fill="FFFFFF"/>
          <w:lang w:val="mk-MK"/>
        </w:rPr>
        <w:t>2, а деталните упатства за започнување и спроведување на анкетата се дадени во Прилог 3. Водичот содржи детални упатства за испраќање на прашалникот до истражувачката заедница,</w:t>
      </w:r>
      <w:r w:rsidR="00E37E4D">
        <w:rPr>
          <w:shd w:val="clear" w:color="auto" w:fill="FFFFFF"/>
          <w:lang w:val="mk-MK"/>
        </w:rPr>
        <w:t xml:space="preserve"> за</w:t>
      </w:r>
      <w:r w:rsidRPr="008662BF">
        <w:rPr>
          <w:shd w:val="clear" w:color="auto" w:fill="FFFFFF"/>
          <w:lang w:val="mk-MK"/>
        </w:rPr>
        <w:t xml:space="preserve"> собирање и обработка на потребните податоци и </w:t>
      </w:r>
      <w:r w:rsidR="00E37E4D">
        <w:rPr>
          <w:shd w:val="clear" w:color="auto" w:fill="FFFFFF"/>
          <w:lang w:val="mk-MK"/>
        </w:rPr>
        <w:t xml:space="preserve">за </w:t>
      </w:r>
      <w:r w:rsidR="00FA6D95" w:rsidRPr="008662BF">
        <w:rPr>
          <w:shd w:val="clear" w:color="auto" w:fill="FFFFFF"/>
          <w:lang w:val="mk-MK"/>
        </w:rPr>
        <w:t xml:space="preserve">вклучување </w:t>
      </w:r>
      <w:r w:rsidRPr="008662BF">
        <w:rPr>
          <w:shd w:val="clear" w:color="auto" w:fill="FFFFFF"/>
          <w:lang w:val="mk-MK"/>
        </w:rPr>
        <w:t xml:space="preserve">на сите одговори </w:t>
      </w:r>
      <w:r w:rsidR="00E37E4D">
        <w:rPr>
          <w:shd w:val="clear" w:color="auto" w:fill="FFFFFF"/>
          <w:lang w:val="mk-MK"/>
        </w:rPr>
        <w:t>што</w:t>
      </w:r>
      <w:r w:rsidRPr="008662BF">
        <w:rPr>
          <w:shd w:val="clear" w:color="auto" w:fill="FFFFFF"/>
          <w:lang w:val="mk-MK"/>
        </w:rPr>
        <w:t xml:space="preserve"> претставуваат главни влезни информации за избор и</w:t>
      </w:r>
      <w:r w:rsidR="00E37E4D">
        <w:rPr>
          <w:shd w:val="clear" w:color="auto" w:fill="FFFFFF"/>
          <w:lang w:val="mk-MK"/>
        </w:rPr>
        <w:t xml:space="preserve"> за</w:t>
      </w:r>
      <w:r w:rsidRPr="008662BF">
        <w:rPr>
          <w:shd w:val="clear" w:color="auto" w:fill="FFFFFF"/>
          <w:lang w:val="mk-MK"/>
        </w:rPr>
        <w:t xml:space="preserve"> мапирање на истражувачката инфраструктура во </w:t>
      </w:r>
      <w:r w:rsidR="00417197">
        <w:rPr>
          <w:shd w:val="clear" w:color="auto" w:fill="FFFFFF"/>
          <w:lang w:val="mk-MK"/>
        </w:rPr>
        <w:t>Република Северна Македонија</w:t>
      </w:r>
      <w:r w:rsidRPr="008662BF">
        <w:rPr>
          <w:shd w:val="clear" w:color="auto" w:fill="FFFFFF"/>
          <w:lang w:val="mk-MK"/>
        </w:rPr>
        <w:t>.</w:t>
      </w:r>
    </w:p>
    <w:p w14:paraId="7F6A76A4" w14:textId="77777777" w:rsidR="007947BF" w:rsidRPr="008662BF" w:rsidRDefault="007947BF" w:rsidP="007947BF">
      <w:pPr>
        <w:rPr>
          <w:shd w:val="clear" w:color="auto" w:fill="FFFFFF"/>
          <w:lang w:val="mk-MK"/>
        </w:rPr>
      </w:pPr>
    </w:p>
    <w:p w14:paraId="32567CF2" w14:textId="77777777" w:rsidR="007947BF" w:rsidRPr="008662BF" w:rsidRDefault="007947BF" w:rsidP="007947BF">
      <w:pPr>
        <w:rPr>
          <w:shd w:val="clear" w:color="auto" w:fill="FFFFFF"/>
          <w:lang w:val="mk-MK"/>
        </w:rPr>
      </w:pPr>
    </w:p>
    <w:p w14:paraId="3B04240F" w14:textId="77777777" w:rsidR="007947BF" w:rsidRPr="008662BF" w:rsidRDefault="007947BF" w:rsidP="007947BF">
      <w:pPr>
        <w:rPr>
          <w:shd w:val="clear" w:color="auto" w:fill="FFFFFF"/>
          <w:lang w:val="mk-MK"/>
        </w:rPr>
      </w:pPr>
    </w:p>
    <w:p w14:paraId="28E82C9E" w14:textId="77777777" w:rsidR="007947BF" w:rsidRPr="008662BF" w:rsidRDefault="007947BF" w:rsidP="007947BF">
      <w:pPr>
        <w:rPr>
          <w:rFonts w:eastAsiaTheme="majorEastAsia" w:cstheme="majorBidi"/>
          <w:b/>
          <w:bCs/>
          <w:color w:val="365F91" w:themeColor="accent1" w:themeShade="BF"/>
          <w:sz w:val="28"/>
          <w:szCs w:val="28"/>
          <w:shd w:val="clear" w:color="auto" w:fill="FFFFFF"/>
          <w:lang w:val="mk-MK"/>
        </w:rPr>
      </w:pPr>
      <w:bookmarkStart w:id="10" w:name="_Toc61096325"/>
      <w:r w:rsidRPr="008662BF">
        <w:rPr>
          <w:shd w:val="clear" w:color="auto" w:fill="FFFFFF"/>
          <w:lang w:val="mk-MK"/>
        </w:rPr>
        <w:br w:type="page"/>
      </w:r>
    </w:p>
    <w:p w14:paraId="6E0462B7" w14:textId="77777777" w:rsidR="009C699A" w:rsidRPr="008662BF" w:rsidRDefault="009C699A" w:rsidP="009C699A">
      <w:pPr>
        <w:pStyle w:val="Heading1"/>
        <w:numPr>
          <w:ilvl w:val="0"/>
          <w:numId w:val="45"/>
        </w:numPr>
        <w:spacing w:after="240"/>
        <w:rPr>
          <w:rFonts w:asciiTheme="minorHAnsi" w:hAnsiTheme="minorHAnsi"/>
          <w:shd w:val="clear" w:color="auto" w:fill="FFFFFF"/>
          <w:lang w:val="mk-MK"/>
        </w:rPr>
      </w:pPr>
      <w:bookmarkStart w:id="11" w:name="_Toc86916049"/>
      <w:r w:rsidRPr="008662BF">
        <w:rPr>
          <w:rFonts w:asciiTheme="minorHAnsi" w:hAnsiTheme="minorHAnsi"/>
          <w:shd w:val="clear" w:color="auto" w:fill="FFFFFF"/>
          <w:lang w:val="mk-MK"/>
        </w:rPr>
        <w:lastRenderedPageBreak/>
        <w:t>Тековната правна и политичка рамка за развој на истражувачка</w:t>
      </w:r>
      <w:r w:rsidR="00FA6D95" w:rsidRPr="008662BF">
        <w:rPr>
          <w:rFonts w:asciiTheme="minorHAnsi" w:hAnsiTheme="minorHAnsi"/>
          <w:shd w:val="clear" w:color="auto" w:fill="FFFFFF"/>
          <w:lang w:val="mk-MK"/>
        </w:rPr>
        <w:t>та</w:t>
      </w:r>
      <w:r w:rsidRPr="008662BF">
        <w:rPr>
          <w:rFonts w:asciiTheme="minorHAnsi" w:hAnsiTheme="minorHAnsi"/>
          <w:shd w:val="clear" w:color="auto" w:fill="FFFFFF"/>
          <w:lang w:val="mk-MK"/>
        </w:rPr>
        <w:t xml:space="preserve"> инфраструктура</w:t>
      </w:r>
      <w:bookmarkEnd w:id="11"/>
    </w:p>
    <w:bookmarkEnd w:id="10"/>
    <w:p w14:paraId="394C04F6" w14:textId="7122CE25" w:rsidR="004C5F18" w:rsidRPr="008662BF" w:rsidRDefault="004C5F18" w:rsidP="007947BF">
      <w:pPr>
        <w:jc w:val="both"/>
        <w:rPr>
          <w:lang w:val="mk-MK"/>
        </w:rPr>
      </w:pPr>
      <w:r w:rsidRPr="008662BF">
        <w:rPr>
          <w:lang w:val="mk-MK"/>
        </w:rPr>
        <w:t>Министерството за образование и наука е одговорно за развој</w:t>
      </w:r>
      <w:r w:rsidR="00E37E4D">
        <w:rPr>
          <w:lang w:val="mk-MK"/>
        </w:rPr>
        <w:t>от</w:t>
      </w:r>
      <w:r w:rsidRPr="008662BF">
        <w:rPr>
          <w:lang w:val="mk-MK"/>
        </w:rPr>
        <w:t xml:space="preserve"> на научните истражувања,</w:t>
      </w:r>
      <w:r w:rsidR="00E37E4D">
        <w:rPr>
          <w:lang w:val="mk-MK"/>
        </w:rPr>
        <w:t xml:space="preserve"> на</w:t>
      </w:r>
      <w:r w:rsidRPr="008662BF">
        <w:rPr>
          <w:lang w:val="mk-MK"/>
        </w:rPr>
        <w:t xml:space="preserve"> високообразовниот систем и</w:t>
      </w:r>
      <w:r w:rsidR="00E37E4D">
        <w:rPr>
          <w:lang w:val="mk-MK"/>
        </w:rPr>
        <w:t xml:space="preserve"> за</w:t>
      </w:r>
      <w:r w:rsidRPr="008662BF">
        <w:rPr>
          <w:lang w:val="mk-MK"/>
        </w:rPr>
        <w:t xml:space="preserve"> технолошкиот развој. Правната рамка за истражувачки</w:t>
      </w:r>
      <w:r w:rsidR="00E37E4D">
        <w:rPr>
          <w:lang w:val="mk-MK"/>
        </w:rPr>
        <w:t>те</w:t>
      </w:r>
      <w:r w:rsidRPr="008662BF">
        <w:rPr>
          <w:lang w:val="mk-MK"/>
        </w:rPr>
        <w:t xml:space="preserve"> активности во </w:t>
      </w:r>
      <w:r w:rsidR="00417197">
        <w:rPr>
          <w:lang w:val="mk-MK"/>
        </w:rPr>
        <w:t>Република Северна Македонија</w:t>
      </w:r>
      <w:r w:rsidRPr="008662BF">
        <w:rPr>
          <w:lang w:val="mk-MK"/>
        </w:rPr>
        <w:t xml:space="preserve"> е дефинирана со Законот за научно-истражувачката дејност. Со овој закон се уредуваат начелата, целите, остварувањето на научно-истражувачката дејност, субјектите на научно-истражувачката дејност и начинот на финансирање на научно-истражувачката дејност. Во членот 2 од овој закон поимот </w:t>
      </w:r>
      <w:r w:rsidR="00046863" w:rsidRPr="008662BF">
        <w:rPr>
          <w:lang w:val="mk-MK"/>
        </w:rPr>
        <w:t>„</w:t>
      </w:r>
      <w:r w:rsidRPr="008662BF">
        <w:rPr>
          <w:lang w:val="mk-MK"/>
        </w:rPr>
        <w:t>истражувачки инфраструктури</w:t>
      </w:r>
      <w:r w:rsidR="00046863" w:rsidRPr="008662BF">
        <w:rPr>
          <w:lang w:val="mk-MK"/>
        </w:rPr>
        <w:t>“</w:t>
      </w:r>
      <w:r w:rsidRPr="008662BF">
        <w:rPr>
          <w:lang w:val="mk-MK"/>
        </w:rPr>
        <w:t xml:space="preserve"> е дефиниран </w:t>
      </w:r>
      <w:r w:rsidR="00046863" w:rsidRPr="008662BF">
        <w:rPr>
          <w:lang w:val="mk-MK"/>
        </w:rPr>
        <w:t>на следниов начин</w:t>
      </w:r>
      <w:r w:rsidRPr="008662BF">
        <w:rPr>
          <w:lang w:val="mk-MK"/>
        </w:rPr>
        <w:t xml:space="preserve">: </w:t>
      </w:r>
    </w:p>
    <w:p w14:paraId="34671C39" w14:textId="3F72B269" w:rsidR="004C5F18" w:rsidRPr="008662BF" w:rsidRDefault="004C5F18" w:rsidP="007947BF">
      <w:pPr>
        <w:jc w:val="both"/>
        <w:rPr>
          <w:i/>
          <w:lang w:val="mk-MK"/>
        </w:rPr>
      </w:pPr>
      <w:r w:rsidRPr="008662BF">
        <w:rPr>
          <w:i/>
          <w:lang w:val="mk-MK"/>
        </w:rPr>
        <w:t>„Научно-истражувачка инфраструктура се објекти, лаборатории и опитни станици, иновациони центри, сметачки центри, научна опрема, библиотечно-информациони и реферални центри, архивска и издавачка документација, како и с</w:t>
      </w:r>
      <w:r w:rsidR="00E37E4D">
        <w:rPr>
          <w:rFonts w:cstheme="minorHAnsi"/>
          <w:i/>
          <w:lang w:val="mk-MK"/>
        </w:rPr>
        <w:t>ѐ</w:t>
      </w:r>
      <w:r w:rsidRPr="008662BF">
        <w:rPr>
          <w:i/>
          <w:lang w:val="mk-MK"/>
        </w:rPr>
        <w:t xml:space="preserve"> друго што придонесува за научни истражувања“.</w:t>
      </w:r>
    </w:p>
    <w:p w14:paraId="72B27BCA" w14:textId="6A94812F" w:rsidR="006916F3" w:rsidRPr="008662BF" w:rsidRDefault="006916F3" w:rsidP="007947BF">
      <w:pPr>
        <w:jc w:val="both"/>
        <w:rPr>
          <w:lang w:val="mk-MK"/>
        </w:rPr>
      </w:pPr>
      <w:r w:rsidRPr="008662BF">
        <w:rPr>
          <w:lang w:val="mk-MK"/>
        </w:rPr>
        <w:t xml:space="preserve">Според овој закон, Националната програма за научнo-истражувачката дејност на </w:t>
      </w:r>
      <w:r w:rsidR="00417197">
        <w:rPr>
          <w:lang w:val="mk-MK"/>
        </w:rPr>
        <w:t>Република Северна Македонија</w:t>
      </w:r>
      <w:r w:rsidRPr="008662BF">
        <w:rPr>
          <w:lang w:val="mk-MK"/>
        </w:rPr>
        <w:t xml:space="preserve"> (во натамошниот текст: Национална програма) произлегува од националните развојни стратешки документи. Националната програма има важна улога во утврдувањето на развојните правци и </w:t>
      </w:r>
      <w:r w:rsidR="00E37E4D">
        <w:rPr>
          <w:lang w:val="mk-MK"/>
        </w:rPr>
        <w:t xml:space="preserve">на </w:t>
      </w:r>
      <w:r w:rsidRPr="008662BF">
        <w:rPr>
          <w:lang w:val="mk-MK"/>
        </w:rPr>
        <w:t>приоритетите за финансирање во научно-истражувачката дејност;</w:t>
      </w:r>
      <w:r w:rsidR="00E37E4D">
        <w:rPr>
          <w:lang w:val="mk-MK"/>
        </w:rPr>
        <w:t xml:space="preserve"> во</w:t>
      </w:r>
      <w:r w:rsidRPr="008662BF">
        <w:rPr>
          <w:lang w:val="mk-MK"/>
        </w:rPr>
        <w:t xml:space="preserve"> утврдување</w:t>
      </w:r>
      <w:r w:rsidR="00046863" w:rsidRPr="008662BF">
        <w:rPr>
          <w:lang w:val="mk-MK"/>
        </w:rPr>
        <w:t>то</w:t>
      </w:r>
      <w:r w:rsidRPr="008662BF">
        <w:rPr>
          <w:lang w:val="mk-MK"/>
        </w:rPr>
        <w:t xml:space="preserve"> на основите, целите, содржината и обемот на задачите во областа на науката,</w:t>
      </w:r>
      <w:r w:rsidR="00E37E4D">
        <w:rPr>
          <w:lang w:val="mk-MK"/>
        </w:rPr>
        <w:t xml:space="preserve"> на</w:t>
      </w:r>
      <w:r w:rsidRPr="008662BF">
        <w:rPr>
          <w:lang w:val="mk-MK"/>
        </w:rPr>
        <w:t xml:space="preserve"> начинот на нејзиното координирање и спроведување; </w:t>
      </w:r>
      <w:r w:rsidR="00E37E4D">
        <w:rPr>
          <w:lang w:val="mk-MK"/>
        </w:rPr>
        <w:t xml:space="preserve">во </w:t>
      </w:r>
      <w:r w:rsidRPr="008662BF">
        <w:rPr>
          <w:lang w:val="mk-MK"/>
        </w:rPr>
        <w:t>планирање</w:t>
      </w:r>
      <w:r w:rsidR="00046863" w:rsidRPr="008662BF">
        <w:rPr>
          <w:lang w:val="mk-MK"/>
        </w:rPr>
        <w:t>то</w:t>
      </w:r>
      <w:r w:rsidRPr="008662BF">
        <w:rPr>
          <w:lang w:val="mk-MK"/>
        </w:rPr>
        <w:t xml:space="preserve"> на потребната истражувачка инфраструктура; </w:t>
      </w:r>
      <w:r w:rsidR="00E37E4D">
        <w:rPr>
          <w:lang w:val="mk-MK"/>
        </w:rPr>
        <w:t xml:space="preserve">во </w:t>
      </w:r>
      <w:r w:rsidRPr="008662BF">
        <w:rPr>
          <w:lang w:val="mk-MK"/>
        </w:rPr>
        <w:t>проекции</w:t>
      </w:r>
      <w:r w:rsidR="00046863" w:rsidRPr="008662BF">
        <w:rPr>
          <w:lang w:val="mk-MK"/>
        </w:rPr>
        <w:t>те</w:t>
      </w:r>
      <w:r w:rsidRPr="008662BF">
        <w:rPr>
          <w:lang w:val="mk-MK"/>
        </w:rPr>
        <w:t xml:space="preserve"> за потребите од кадри за науката; и</w:t>
      </w:r>
      <w:r w:rsidR="00E37E4D">
        <w:rPr>
          <w:lang w:val="mk-MK"/>
        </w:rPr>
        <w:t xml:space="preserve"> во</w:t>
      </w:r>
      <w:r w:rsidRPr="008662BF">
        <w:rPr>
          <w:lang w:val="mk-MK"/>
        </w:rPr>
        <w:t xml:space="preserve"> утврдување</w:t>
      </w:r>
      <w:r w:rsidR="00046863" w:rsidRPr="008662BF">
        <w:rPr>
          <w:lang w:val="mk-MK"/>
        </w:rPr>
        <w:t>то</w:t>
      </w:r>
      <w:r w:rsidRPr="008662BF">
        <w:rPr>
          <w:lang w:val="mk-MK"/>
        </w:rPr>
        <w:t xml:space="preserve"> на показателите за системот за следење и евалуација.</w:t>
      </w:r>
    </w:p>
    <w:p w14:paraId="4443E05B" w14:textId="77853E91" w:rsidR="00796C6D" w:rsidRPr="008662BF" w:rsidRDefault="00796C6D" w:rsidP="00796C6D">
      <w:pPr>
        <w:jc w:val="both"/>
        <w:rPr>
          <w:lang w:val="mk-MK"/>
        </w:rPr>
      </w:pPr>
      <w:r w:rsidRPr="008662BF">
        <w:rPr>
          <w:lang w:val="mk-MK"/>
        </w:rPr>
        <w:t>Националниот совет за високо образование и научно-истражувачка дејност е независно стручно тело составено од 15 члена</w:t>
      </w:r>
      <w:r w:rsidR="00E37E4D">
        <w:rPr>
          <w:lang w:val="mk-MK"/>
        </w:rPr>
        <w:t>,</w:t>
      </w:r>
      <w:r w:rsidRPr="008662BF">
        <w:rPr>
          <w:lang w:val="mk-MK"/>
        </w:rPr>
        <w:t xml:space="preserve"> кое</w:t>
      </w:r>
      <w:r w:rsidR="00E37E4D">
        <w:rPr>
          <w:lang w:val="mk-MK"/>
        </w:rPr>
        <w:t>што</w:t>
      </w:r>
      <w:r w:rsidRPr="008662BF">
        <w:rPr>
          <w:lang w:val="mk-MK"/>
        </w:rPr>
        <w:t xml:space="preserve"> треба да подготви Национална програма за научно-истражувачката дејност на </w:t>
      </w:r>
      <w:r w:rsidR="00417197">
        <w:rPr>
          <w:lang w:val="mk-MK"/>
        </w:rPr>
        <w:t>Република Северна Македонија</w:t>
      </w:r>
      <w:r w:rsidRPr="008662BF">
        <w:rPr>
          <w:lang w:val="mk-MK"/>
        </w:rPr>
        <w:t xml:space="preserve">, а </w:t>
      </w:r>
      <w:r w:rsidR="00E37E4D">
        <w:rPr>
          <w:lang w:val="mk-MK"/>
        </w:rPr>
        <w:t xml:space="preserve">којашто </w:t>
      </w:r>
      <w:r w:rsidR="00E37E4D" w:rsidRPr="008662BF">
        <w:rPr>
          <w:lang w:val="mk-MK"/>
        </w:rPr>
        <w:t xml:space="preserve">треба да ја донесе </w:t>
      </w:r>
      <w:r w:rsidRPr="008662BF">
        <w:rPr>
          <w:lang w:val="mk-MK"/>
        </w:rPr>
        <w:t>Собранието на Р</w:t>
      </w:r>
      <w:r w:rsidR="009021FD">
        <w:rPr>
          <w:lang w:val="mk-MK"/>
        </w:rPr>
        <w:t xml:space="preserve">епублика </w:t>
      </w:r>
      <w:r w:rsidRPr="008662BF">
        <w:rPr>
          <w:lang w:val="mk-MK"/>
        </w:rPr>
        <w:t>С</w:t>
      </w:r>
      <w:r w:rsidR="009021FD">
        <w:rPr>
          <w:lang w:val="mk-MK"/>
        </w:rPr>
        <w:t xml:space="preserve">еверна </w:t>
      </w:r>
      <w:r w:rsidRPr="008662BF">
        <w:rPr>
          <w:lang w:val="mk-MK"/>
        </w:rPr>
        <w:t>М</w:t>
      </w:r>
      <w:r w:rsidR="009021FD">
        <w:rPr>
          <w:lang w:val="mk-MK"/>
        </w:rPr>
        <w:t>акедонија</w:t>
      </w:r>
      <w:r w:rsidRPr="008662BF">
        <w:rPr>
          <w:lang w:val="mk-MK"/>
        </w:rPr>
        <w:t>.</w:t>
      </w:r>
    </w:p>
    <w:p w14:paraId="7B02D327" w14:textId="77777777" w:rsidR="00796C6D" w:rsidRPr="008662BF" w:rsidRDefault="00796C6D" w:rsidP="00796C6D">
      <w:pPr>
        <w:jc w:val="both"/>
        <w:rPr>
          <w:lang w:val="mk-MK"/>
        </w:rPr>
      </w:pPr>
      <w:r w:rsidRPr="008662BF">
        <w:rPr>
          <w:lang w:val="mk-MK"/>
        </w:rPr>
        <w:t>Во тек е подготовката на новиот Закон за научно-истражувачка дејност со цел да се зголеми нивото на јавни инвестиции во научно-истражувачкката дејност.</w:t>
      </w:r>
    </w:p>
    <w:p w14:paraId="366B860A" w14:textId="77777777" w:rsidR="008E2ED0" w:rsidRPr="008662BF" w:rsidRDefault="008E2ED0" w:rsidP="008E2ED0">
      <w:pPr>
        <w:jc w:val="both"/>
        <w:rPr>
          <w:lang w:val="mk-MK"/>
        </w:rPr>
      </w:pPr>
      <w:r w:rsidRPr="008662BF">
        <w:rPr>
          <w:lang w:val="mk-MK"/>
        </w:rPr>
        <w:t xml:space="preserve">Фондот за иновации и технолошки развој и Министерството за образование и наука успешно ja спроведoa Националната стратегија за иновации </w:t>
      </w:r>
      <w:r w:rsidR="004C4377" w:rsidRPr="008662BF">
        <w:rPr>
          <w:lang w:val="mk-MK"/>
        </w:rPr>
        <w:t xml:space="preserve">за периодот </w:t>
      </w:r>
      <w:r w:rsidRPr="008662BF">
        <w:rPr>
          <w:lang w:val="mk-MK"/>
        </w:rPr>
        <w:t>2012-2020. Владата ги разгледува предностите и слабостите во поглед на подготовката на нова Стратегија за иновации која ќе ја надополнува Стратегијата за паметна специјализација.</w:t>
      </w:r>
    </w:p>
    <w:p w14:paraId="560205AC" w14:textId="2B6CBF6C" w:rsidR="008E2ED0" w:rsidRPr="008662BF" w:rsidRDefault="008E2ED0" w:rsidP="008E2ED0">
      <w:pPr>
        <w:jc w:val="both"/>
        <w:rPr>
          <w:lang w:val="mk-MK"/>
        </w:rPr>
      </w:pPr>
      <w:r w:rsidRPr="008662BF">
        <w:rPr>
          <w:lang w:val="mk-MK"/>
        </w:rPr>
        <w:t>Во текот на последни</w:t>
      </w:r>
      <w:r w:rsidR="001969A5">
        <w:rPr>
          <w:lang w:val="mk-MK"/>
        </w:rPr>
        <w:t>в</w:t>
      </w:r>
      <w:r w:rsidRPr="008662BF">
        <w:rPr>
          <w:lang w:val="mk-MK"/>
        </w:rPr>
        <w:t>е неколку години</w:t>
      </w:r>
      <w:r w:rsidR="001969A5">
        <w:rPr>
          <w:lang w:val="mk-MK"/>
        </w:rPr>
        <w:t xml:space="preserve"> не е</w:t>
      </w:r>
      <w:r w:rsidRPr="008662BF">
        <w:rPr>
          <w:lang w:val="mk-MK"/>
        </w:rPr>
        <w:t xml:space="preserve"> посветено  доволно внимание на подготовката и</w:t>
      </w:r>
      <w:r w:rsidR="001969A5">
        <w:rPr>
          <w:lang w:val="mk-MK"/>
        </w:rPr>
        <w:t xml:space="preserve"> на</w:t>
      </w:r>
      <w:r w:rsidRPr="008662BF">
        <w:rPr>
          <w:lang w:val="mk-MK"/>
        </w:rPr>
        <w:t xml:space="preserve"> спроведувањето на политика за наука и технологија. Не постои вистински национален стратешки развоен документ во областа на истражувањето и науката, а последната верзија на Националната програма се однесува на период</w:t>
      </w:r>
      <w:r w:rsidR="001969A5">
        <w:rPr>
          <w:lang w:val="mk-MK"/>
        </w:rPr>
        <w:t>от</w:t>
      </w:r>
      <w:r w:rsidRPr="008662BF">
        <w:rPr>
          <w:lang w:val="mk-MK"/>
        </w:rPr>
        <w:t xml:space="preserve"> </w:t>
      </w:r>
      <w:r w:rsidR="001969A5">
        <w:rPr>
          <w:lang w:val="mk-MK"/>
        </w:rPr>
        <w:t>што</w:t>
      </w:r>
      <w:r w:rsidR="001969A5" w:rsidRPr="008662BF">
        <w:rPr>
          <w:lang w:val="mk-MK"/>
        </w:rPr>
        <w:t xml:space="preserve"> </w:t>
      </w:r>
      <w:r w:rsidRPr="008662BF">
        <w:rPr>
          <w:lang w:val="mk-MK"/>
        </w:rPr>
        <w:t xml:space="preserve">измина пред неколку години. Имајќи го ова предвид, очигледно е дека не постои политичка рамка за развој на истражувачката дејност и </w:t>
      </w:r>
      <w:r w:rsidR="001969A5">
        <w:rPr>
          <w:lang w:val="mk-MK"/>
        </w:rPr>
        <w:t xml:space="preserve">на </w:t>
      </w:r>
      <w:r w:rsidRPr="008662BF">
        <w:rPr>
          <w:lang w:val="mk-MK"/>
        </w:rPr>
        <w:t>истражувачките инфраструктури. Како резултат на</w:t>
      </w:r>
      <w:r w:rsidR="001969A5">
        <w:rPr>
          <w:lang w:val="mk-MK"/>
        </w:rPr>
        <w:t>ова</w:t>
      </w:r>
      <w:r w:rsidRPr="008662BF">
        <w:rPr>
          <w:lang w:val="mk-MK"/>
        </w:rPr>
        <w:t xml:space="preserve">, механизмот за иновации во науката и технологијата </w:t>
      </w:r>
      <w:r w:rsidR="001969A5">
        <w:rPr>
          <w:lang w:val="mk-MK"/>
        </w:rPr>
        <w:t xml:space="preserve">не </w:t>
      </w:r>
      <w:r w:rsidRPr="008662BF">
        <w:rPr>
          <w:lang w:val="mk-MK"/>
        </w:rPr>
        <w:t xml:space="preserve">е доволно развиен и доволно искористен како инструмент за унапредување на растот, </w:t>
      </w:r>
      <w:r w:rsidR="001969A5">
        <w:rPr>
          <w:lang w:val="mk-MK"/>
        </w:rPr>
        <w:t xml:space="preserve">на </w:t>
      </w:r>
      <w:r w:rsidRPr="008662BF">
        <w:rPr>
          <w:lang w:val="mk-MK"/>
        </w:rPr>
        <w:t>економијата и</w:t>
      </w:r>
      <w:r w:rsidR="001969A5">
        <w:rPr>
          <w:lang w:val="mk-MK"/>
        </w:rPr>
        <w:t xml:space="preserve"> на</w:t>
      </w:r>
      <w:r w:rsidRPr="008662BF">
        <w:rPr>
          <w:lang w:val="mk-MK"/>
        </w:rPr>
        <w:t xml:space="preserve"> благосостојбата на нацијата.</w:t>
      </w:r>
    </w:p>
    <w:p w14:paraId="26A081BC" w14:textId="77777777" w:rsidR="006B289F" w:rsidRPr="008662BF" w:rsidRDefault="006B289F" w:rsidP="006B289F">
      <w:pPr>
        <w:pStyle w:val="Heading2"/>
        <w:numPr>
          <w:ilvl w:val="1"/>
          <w:numId w:val="54"/>
        </w:numPr>
        <w:spacing w:after="240"/>
        <w:rPr>
          <w:rFonts w:asciiTheme="minorHAnsi" w:hAnsiTheme="minorHAnsi"/>
          <w:shd w:val="clear" w:color="auto" w:fill="FFFFFF"/>
          <w:lang w:val="mk-MK"/>
        </w:rPr>
      </w:pPr>
      <w:bookmarkStart w:id="12" w:name="_Toc86916050"/>
      <w:r w:rsidRPr="008662BF">
        <w:rPr>
          <w:rFonts w:asciiTheme="minorHAnsi" w:hAnsiTheme="minorHAnsi"/>
          <w:shd w:val="clear" w:color="auto" w:fill="FFFFFF"/>
          <w:lang w:val="mk-MK"/>
        </w:rPr>
        <w:lastRenderedPageBreak/>
        <w:t>Финансирање на истражувачки активности и истражувачки инфраструктури</w:t>
      </w:r>
      <w:bookmarkEnd w:id="12"/>
    </w:p>
    <w:p w14:paraId="769DD280" w14:textId="22CC86DA" w:rsidR="006B289F" w:rsidRPr="008662BF" w:rsidRDefault="006B289F" w:rsidP="007947BF">
      <w:pPr>
        <w:jc w:val="both"/>
        <w:rPr>
          <w:lang w:val="mk-MK"/>
        </w:rPr>
      </w:pPr>
      <w:r w:rsidRPr="00BB06AC">
        <w:rPr>
          <w:lang w:val="mk-MK"/>
        </w:rPr>
        <w:t>Додека развиените држави на Европската Унија се стремат да постигнат бруто</w:t>
      </w:r>
      <w:r w:rsidR="001969A5">
        <w:rPr>
          <w:lang w:val="mk-MK"/>
        </w:rPr>
        <w:t>-</w:t>
      </w:r>
      <w:r w:rsidR="0090166E" w:rsidRPr="00BB06AC">
        <w:rPr>
          <w:lang w:val="mk-MK"/>
        </w:rPr>
        <w:t xml:space="preserve">расходи </w:t>
      </w:r>
      <w:r w:rsidRPr="00BB06AC">
        <w:rPr>
          <w:lang w:val="mk-MK"/>
        </w:rPr>
        <w:t>за истражување и развој (Б</w:t>
      </w:r>
      <w:r w:rsidR="0090166E" w:rsidRPr="00BB06AC">
        <w:rPr>
          <w:lang w:val="mk-MK"/>
        </w:rPr>
        <w:t>РИР</w:t>
      </w:r>
      <w:r w:rsidRPr="00BB06AC">
        <w:rPr>
          <w:lang w:val="mk-MK"/>
        </w:rPr>
        <w:t>) од 3% од БДП, во</w:t>
      </w:r>
      <w:r w:rsidRPr="008662BF">
        <w:rPr>
          <w:lang w:val="mk-MK"/>
        </w:rPr>
        <w:t xml:space="preserve"> контекстот на </w:t>
      </w:r>
      <w:r w:rsidR="00417197">
        <w:rPr>
          <w:lang w:val="mk-MK"/>
        </w:rPr>
        <w:t>Република Северна Македонија</w:t>
      </w:r>
      <w:r w:rsidRPr="008662BF">
        <w:rPr>
          <w:lang w:val="mk-MK"/>
        </w:rPr>
        <w:t>, овие цифри се постојано ниски и покажуваат трен</w:t>
      </w:r>
      <w:r w:rsidR="0090166E" w:rsidRPr="008662BF">
        <w:rPr>
          <w:lang w:val="mk-MK"/>
        </w:rPr>
        <w:t>д на опаѓање. Од 2014 година, БР</w:t>
      </w:r>
      <w:r w:rsidRPr="008662BF">
        <w:rPr>
          <w:lang w:val="mk-MK"/>
        </w:rPr>
        <w:t>ИР како процент од БДП постојано опаѓа - од 0,51% во 2014 година на 0,36% во 2018 година</w:t>
      </w:r>
      <w:r w:rsidRPr="008662BF">
        <w:rPr>
          <w:rStyle w:val="FootnoteReference"/>
          <w:lang w:val="mk-MK"/>
        </w:rPr>
        <w:footnoteReference w:id="4"/>
      </w:r>
      <w:r w:rsidRPr="008662BF">
        <w:rPr>
          <w:lang w:val="mk-MK"/>
        </w:rPr>
        <w:t>. Вкупните инвестиции во истражување и иновации (ИиИ) во 2020 година изнесуваа 0,37% од БДП. Инвестициите во истражување и развој во основа се состојат од средствата</w:t>
      </w:r>
      <w:r w:rsidR="001969A5">
        <w:rPr>
          <w:lang w:val="mk-MK"/>
        </w:rPr>
        <w:t xml:space="preserve"> што се</w:t>
      </w:r>
      <w:r w:rsidRPr="008662BF">
        <w:rPr>
          <w:lang w:val="mk-MK"/>
        </w:rPr>
        <w:t xml:space="preserve"> доделени од јавниот сектор (Владата и секторот за високо образование), со учество на приватниот сектор во областа на истражувањето и развојот од 0,10% од БДП</w:t>
      </w:r>
      <w:r w:rsidR="000E3434" w:rsidRPr="008662BF">
        <w:rPr>
          <w:rStyle w:val="FootnoteReference"/>
          <w:lang w:val="mk-MK"/>
        </w:rPr>
        <w:footnoteReference w:id="5"/>
      </w:r>
      <w:r w:rsidR="000E3434" w:rsidRPr="008662BF">
        <w:rPr>
          <w:lang w:val="mk-MK"/>
        </w:rPr>
        <w:t>.</w:t>
      </w:r>
      <w:r w:rsidRPr="008662BF">
        <w:rPr>
          <w:lang w:val="mk-MK"/>
        </w:rPr>
        <w:t xml:space="preserve"> Од 2011 година, Министерството за образование и наука континуирано го поттикнува</w:t>
      </w:r>
      <w:r w:rsidR="001969A5">
        <w:rPr>
          <w:lang w:val="mk-MK"/>
        </w:rPr>
        <w:t>,</w:t>
      </w:r>
      <w:r w:rsidRPr="008662BF">
        <w:rPr>
          <w:lang w:val="mk-MK"/>
        </w:rPr>
        <w:t xml:space="preserve"> финансиски </w:t>
      </w:r>
      <w:r w:rsidR="001969A5">
        <w:rPr>
          <w:lang w:val="mk-MK"/>
        </w:rPr>
        <w:t xml:space="preserve">и </w:t>
      </w:r>
      <w:r w:rsidRPr="008662BF">
        <w:rPr>
          <w:lang w:val="mk-MK"/>
        </w:rPr>
        <w:t xml:space="preserve">го поддржува објавувањето на научни трудови во меѓународни рецензирани списанија како </w:t>
      </w:r>
      <w:r w:rsidRPr="008662BF">
        <w:rPr>
          <w:i/>
          <w:lang w:val="mk-MK"/>
        </w:rPr>
        <w:t>Web of Science</w:t>
      </w:r>
      <w:r w:rsidRPr="008662BF">
        <w:rPr>
          <w:lang w:val="mk-MK"/>
        </w:rPr>
        <w:t xml:space="preserve"> и </w:t>
      </w:r>
      <w:r w:rsidRPr="008662BF">
        <w:rPr>
          <w:i/>
          <w:lang w:val="mk-MK"/>
        </w:rPr>
        <w:t>Scopus</w:t>
      </w:r>
      <w:r w:rsidRPr="008662BF">
        <w:rPr>
          <w:lang w:val="mk-MK"/>
        </w:rPr>
        <w:t>.</w:t>
      </w:r>
    </w:p>
    <w:p w14:paraId="1FA16419" w14:textId="6828E25A" w:rsidR="009C27F4" w:rsidRPr="008662BF" w:rsidRDefault="009C27F4" w:rsidP="007947BF">
      <w:pPr>
        <w:jc w:val="both"/>
        <w:rPr>
          <w:lang w:val="mk-MK"/>
        </w:rPr>
      </w:pPr>
      <w:r w:rsidRPr="008662BF">
        <w:rPr>
          <w:lang w:val="mk-MK"/>
        </w:rPr>
        <w:t xml:space="preserve">Истражувачите од </w:t>
      </w:r>
      <w:r w:rsidR="00417197">
        <w:rPr>
          <w:lang w:val="mk-MK"/>
        </w:rPr>
        <w:t>Република Северна Македонија</w:t>
      </w:r>
      <w:r w:rsidRPr="008662BF">
        <w:rPr>
          <w:lang w:val="mk-MK"/>
        </w:rPr>
        <w:t xml:space="preserve"> немаат пристап до најголемите светски научни бази на податоци како што се </w:t>
      </w:r>
      <w:r w:rsidRPr="008662BF">
        <w:rPr>
          <w:i/>
          <w:lang w:val="mk-MK"/>
        </w:rPr>
        <w:t>Web of Science</w:t>
      </w:r>
      <w:r w:rsidRPr="008662BF">
        <w:rPr>
          <w:lang w:val="mk-MK"/>
        </w:rPr>
        <w:t xml:space="preserve"> и </w:t>
      </w:r>
      <w:r w:rsidRPr="008662BF">
        <w:rPr>
          <w:i/>
          <w:lang w:val="mk-MK"/>
        </w:rPr>
        <w:t>Scopus</w:t>
      </w:r>
      <w:r w:rsidRPr="008662BF">
        <w:rPr>
          <w:lang w:val="mk-MK"/>
        </w:rPr>
        <w:t xml:space="preserve">. Сепак, Министерството за образование и наука континуирано обезбедува пристап до електронските бази на научни списанија. До 2019 година обезбеден е пристап до 14 бази на податоци, една од најважните од кои е </w:t>
      </w:r>
      <w:r w:rsidR="007947BF" w:rsidRPr="008662BF">
        <w:rPr>
          <w:i/>
          <w:lang w:val="mk-MK"/>
        </w:rPr>
        <w:t>Academic Search</w:t>
      </w:r>
      <w:r w:rsidR="007947BF" w:rsidRPr="008662BF">
        <w:rPr>
          <w:lang w:val="mk-MK"/>
        </w:rPr>
        <w:t xml:space="preserve">. </w:t>
      </w:r>
      <w:r w:rsidRPr="008662BF">
        <w:rPr>
          <w:lang w:val="mk-MK"/>
        </w:rPr>
        <w:t xml:space="preserve">Во 2019 година, пристапот е унапреден со </w:t>
      </w:r>
      <w:r w:rsidR="0090166E" w:rsidRPr="008662BF">
        <w:rPr>
          <w:lang w:val="mk-MK"/>
        </w:rPr>
        <w:t xml:space="preserve">овозможување </w:t>
      </w:r>
      <w:r w:rsidRPr="008662BF">
        <w:rPr>
          <w:lang w:val="mk-MK"/>
        </w:rPr>
        <w:t xml:space="preserve">пристап до базите на податоци </w:t>
      </w:r>
      <w:r w:rsidR="007947BF" w:rsidRPr="008662BF">
        <w:rPr>
          <w:i/>
          <w:lang w:val="mk-MK"/>
        </w:rPr>
        <w:t>Academic Complete</w:t>
      </w:r>
      <w:r w:rsidR="007947BF" w:rsidRPr="008662BF">
        <w:rPr>
          <w:lang w:val="mk-MK"/>
        </w:rPr>
        <w:t xml:space="preserve">. </w:t>
      </w:r>
      <w:r w:rsidRPr="008662BF">
        <w:rPr>
          <w:lang w:val="mk-MK"/>
        </w:rPr>
        <w:t>Со ова се обезбеди пристап до 14 бази на податоци на електронски научни списанија со фактор на влијание („импакт фактор“) со вкупно над 57.000 списанија, од кои над 22.000 се електронски списанија со целосен текст во PDF формат, а над 5.000 се најмногу цитирани списанија со фактор на влијание, кои</w:t>
      </w:r>
      <w:r w:rsidR="001969A5">
        <w:rPr>
          <w:lang w:val="mk-MK"/>
        </w:rPr>
        <w:t>што</w:t>
      </w:r>
      <w:r w:rsidRPr="008662BF">
        <w:rPr>
          <w:lang w:val="mk-MK"/>
        </w:rPr>
        <w:t xml:space="preserve"> им се достапни </w:t>
      </w:r>
      <w:r w:rsidR="001969A5">
        <w:rPr>
          <w:lang w:val="mk-MK"/>
        </w:rPr>
        <w:t>н</w:t>
      </w:r>
      <w:r w:rsidRPr="008662BF">
        <w:rPr>
          <w:lang w:val="mk-MK"/>
        </w:rPr>
        <w:t>а истражувачите и студентите од високообразовните институции и</w:t>
      </w:r>
      <w:r w:rsidR="001969A5">
        <w:rPr>
          <w:lang w:val="mk-MK"/>
        </w:rPr>
        <w:t xml:space="preserve"> од</w:t>
      </w:r>
      <w:r w:rsidRPr="008662BF">
        <w:rPr>
          <w:lang w:val="mk-MK"/>
        </w:rPr>
        <w:t xml:space="preserve"> јавните научни институции во </w:t>
      </w:r>
      <w:r w:rsidR="00417197">
        <w:rPr>
          <w:lang w:val="mk-MK"/>
        </w:rPr>
        <w:t>Република Северна Македонија</w:t>
      </w:r>
      <w:r w:rsidRPr="008662BF">
        <w:rPr>
          <w:lang w:val="mk-MK"/>
        </w:rPr>
        <w:t>.</w:t>
      </w:r>
    </w:p>
    <w:p w14:paraId="0D89E6A1" w14:textId="3BBB8F77" w:rsidR="00D50C78" w:rsidRPr="008662BF" w:rsidRDefault="001969A5" w:rsidP="007947BF">
      <w:pPr>
        <w:spacing w:after="0"/>
        <w:jc w:val="both"/>
        <w:rPr>
          <w:lang w:val="mk-MK"/>
        </w:rPr>
      </w:pPr>
      <w:r>
        <w:rPr>
          <w:lang w:val="mk-MK"/>
        </w:rPr>
        <w:t>Во последнав</w:t>
      </w:r>
      <w:r w:rsidRPr="008662BF">
        <w:rPr>
          <w:lang w:val="mk-MK"/>
        </w:rPr>
        <w:t>а деценија</w:t>
      </w:r>
      <w:r>
        <w:rPr>
          <w:lang w:val="mk-MK"/>
        </w:rPr>
        <w:t>,</w:t>
      </w:r>
      <w:r w:rsidRPr="008662BF">
        <w:rPr>
          <w:lang w:val="mk-MK"/>
        </w:rPr>
        <w:t xml:space="preserve"> </w:t>
      </w:r>
      <w:r>
        <w:rPr>
          <w:lang w:val="mk-MK"/>
        </w:rPr>
        <w:t>б</w:t>
      </w:r>
      <w:r w:rsidR="00D50C78" w:rsidRPr="008662BF">
        <w:rPr>
          <w:lang w:val="mk-MK"/>
        </w:rPr>
        <w:t>уџетските инвестиции во истражувачки инфраструктури (финанси</w:t>
      </w:r>
      <w:r w:rsidR="0090166E" w:rsidRPr="008662BF">
        <w:rPr>
          <w:lang w:val="mk-MK"/>
        </w:rPr>
        <w:t xml:space="preserve">ски средства </w:t>
      </w:r>
      <w:r w:rsidR="00D50C78" w:rsidRPr="008662BF">
        <w:rPr>
          <w:lang w:val="mk-MK"/>
        </w:rPr>
        <w:t>за набавка на истражувачка опрема од страна на истражувачките лаборатории) се на многу ниско ниво. Сепак, важно е да се спомене проектот „Опремување лаборатории за научно-истражувачка и апликативна дејност“ кој</w:t>
      </w:r>
      <w:r w:rsidR="00D17178">
        <w:rPr>
          <w:lang w:val="mk-MK"/>
        </w:rPr>
        <w:t>што</w:t>
      </w:r>
      <w:r w:rsidR="00D50C78" w:rsidRPr="008662BF">
        <w:rPr>
          <w:lang w:val="mk-MK"/>
        </w:rPr>
        <w:t xml:space="preserve"> </w:t>
      </w:r>
      <w:r w:rsidR="00D17178" w:rsidRPr="008662BF">
        <w:rPr>
          <w:lang w:val="mk-MK"/>
        </w:rPr>
        <w:t xml:space="preserve">во 2010 година го спроведе </w:t>
      </w:r>
      <w:r w:rsidR="00D50C78" w:rsidRPr="008662BF">
        <w:rPr>
          <w:lang w:val="mk-MK"/>
        </w:rPr>
        <w:t xml:space="preserve">Министерството за образование и наука </w:t>
      </w:r>
      <w:r w:rsidR="00D17178">
        <w:rPr>
          <w:lang w:val="mk-MK"/>
        </w:rPr>
        <w:t xml:space="preserve">за </w:t>
      </w:r>
      <w:r w:rsidR="00D50C78" w:rsidRPr="008662BF">
        <w:rPr>
          <w:lang w:val="mk-MK"/>
        </w:rPr>
        <w:t xml:space="preserve">да се подобрат капацитетите на истражувачката инфраструктура </w:t>
      </w:r>
      <w:r w:rsidR="00D17178">
        <w:rPr>
          <w:lang w:val="mk-MK"/>
        </w:rPr>
        <w:t>во</w:t>
      </w:r>
      <w:r w:rsidR="00D50C78" w:rsidRPr="008662BF">
        <w:rPr>
          <w:lang w:val="mk-MK"/>
        </w:rPr>
        <w:t xml:space="preserve"> јавните високообразовни институции и</w:t>
      </w:r>
      <w:r w:rsidR="00D17178">
        <w:rPr>
          <w:lang w:val="mk-MK"/>
        </w:rPr>
        <w:t xml:space="preserve"> во</w:t>
      </w:r>
      <w:r w:rsidR="00D50C78" w:rsidRPr="008662BF">
        <w:rPr>
          <w:lang w:val="mk-MK"/>
        </w:rPr>
        <w:t xml:space="preserve"> научните институти. Конкретните цели на овој проект беа:</w:t>
      </w:r>
    </w:p>
    <w:p w14:paraId="7E617644" w14:textId="77777777" w:rsidR="0018022C" w:rsidRPr="008662BF" w:rsidRDefault="0018022C" w:rsidP="0018022C">
      <w:pPr>
        <w:pStyle w:val="ListParagraph"/>
        <w:numPr>
          <w:ilvl w:val="0"/>
          <w:numId w:val="17"/>
        </w:numPr>
        <w:jc w:val="both"/>
        <w:rPr>
          <w:lang w:val="mk-MK"/>
        </w:rPr>
      </w:pPr>
      <w:r w:rsidRPr="008662BF">
        <w:rPr>
          <w:lang w:val="mk-MK"/>
        </w:rPr>
        <w:t xml:space="preserve">опремување и зајакнување на универзитетите и </w:t>
      </w:r>
      <w:r w:rsidR="00D17178">
        <w:rPr>
          <w:lang w:val="mk-MK"/>
        </w:rPr>
        <w:t xml:space="preserve">на </w:t>
      </w:r>
      <w:r w:rsidRPr="008662BF">
        <w:rPr>
          <w:lang w:val="mk-MK"/>
        </w:rPr>
        <w:t>другите јавни образовни институции со најсовремена техничка опрема;</w:t>
      </w:r>
    </w:p>
    <w:p w14:paraId="7C030F5A" w14:textId="77777777" w:rsidR="0018022C" w:rsidRPr="008662BF" w:rsidRDefault="0018022C" w:rsidP="0018022C">
      <w:pPr>
        <w:pStyle w:val="ListParagraph"/>
        <w:numPr>
          <w:ilvl w:val="0"/>
          <w:numId w:val="17"/>
        </w:numPr>
        <w:jc w:val="both"/>
        <w:rPr>
          <w:lang w:val="mk-MK"/>
        </w:rPr>
      </w:pPr>
      <w:r w:rsidRPr="008662BF">
        <w:rPr>
          <w:lang w:val="mk-MK"/>
        </w:rPr>
        <w:t>поддршка на истражувачките институции во спроведувањето на нивните научно-ист</w:t>
      </w:r>
      <w:r w:rsidR="0090166E" w:rsidRPr="008662BF">
        <w:rPr>
          <w:lang w:val="mk-MK"/>
        </w:rPr>
        <w:t>ражувачки проекти;</w:t>
      </w:r>
    </w:p>
    <w:p w14:paraId="1C70EB41" w14:textId="77777777" w:rsidR="0018022C" w:rsidRPr="008662BF" w:rsidRDefault="0018022C" w:rsidP="0018022C">
      <w:pPr>
        <w:pStyle w:val="ListParagraph"/>
        <w:numPr>
          <w:ilvl w:val="0"/>
          <w:numId w:val="17"/>
        </w:numPr>
        <w:jc w:val="both"/>
        <w:rPr>
          <w:lang w:val="mk-MK"/>
        </w:rPr>
      </w:pPr>
      <w:r w:rsidRPr="008662BF">
        <w:rPr>
          <w:lang w:val="mk-MK"/>
        </w:rPr>
        <w:t>поддршка на организирањето на практични часови за студенти</w:t>
      </w:r>
      <w:r w:rsidR="0090166E" w:rsidRPr="008662BF">
        <w:rPr>
          <w:lang w:val="mk-MK"/>
        </w:rPr>
        <w:t>;</w:t>
      </w:r>
    </w:p>
    <w:p w14:paraId="32FDE452" w14:textId="257B9170" w:rsidR="0018022C" w:rsidRPr="008662BF" w:rsidRDefault="0018022C" w:rsidP="0018022C">
      <w:pPr>
        <w:pStyle w:val="ListParagraph"/>
        <w:numPr>
          <w:ilvl w:val="0"/>
          <w:numId w:val="17"/>
        </w:numPr>
        <w:jc w:val="both"/>
        <w:rPr>
          <w:lang w:val="mk-MK"/>
        </w:rPr>
      </w:pPr>
      <w:r w:rsidRPr="008662BF">
        <w:rPr>
          <w:lang w:val="mk-MK"/>
        </w:rPr>
        <w:t>поттикнување на соработката со приватниот сектор и на тој начин остварување дополнителен приход за инволвираните институции со што би се гарантирала самоодржливоста на лабораториите и воопшто на институцијата.</w:t>
      </w:r>
    </w:p>
    <w:p w14:paraId="512CF11C" w14:textId="10873AED" w:rsidR="000E3434" w:rsidRPr="008662BF" w:rsidRDefault="000E3434" w:rsidP="007947BF">
      <w:pPr>
        <w:jc w:val="both"/>
        <w:rPr>
          <w:lang w:val="mk-MK"/>
        </w:rPr>
      </w:pPr>
      <w:r w:rsidRPr="008662BF">
        <w:rPr>
          <w:lang w:val="mk-MK"/>
        </w:rPr>
        <w:lastRenderedPageBreak/>
        <w:t>Како резултат на овој проект, вкупно 80 истражувачки лаборатории се опремени со истражувачка опрема со вкупна вредност од приближно 23 милиони евра. Крајните корисници на проектот беа од следни</w:t>
      </w:r>
      <w:r w:rsidR="00D17178">
        <w:rPr>
          <w:lang w:val="mk-MK"/>
        </w:rPr>
        <w:t>в</w:t>
      </w:r>
      <w:r w:rsidRPr="008662BF">
        <w:rPr>
          <w:lang w:val="mk-MK"/>
        </w:rPr>
        <w:t>е истражувачки области: информатички науки; технички и технолошки науки; медицински науки; природни науки и математика; биотехнички науки; хуманистички и општествени науки.</w:t>
      </w:r>
    </w:p>
    <w:p w14:paraId="442A9869" w14:textId="71CEA4EA" w:rsidR="002C3101" w:rsidRPr="008662BF" w:rsidRDefault="002C3101" w:rsidP="007947BF">
      <w:pPr>
        <w:jc w:val="both"/>
        <w:rPr>
          <w:lang w:val="mk-MK"/>
        </w:rPr>
      </w:pPr>
      <w:r w:rsidRPr="008662BF">
        <w:rPr>
          <w:lang w:val="mk-MK"/>
        </w:rPr>
        <w:t>Истражувачки</w:t>
      </w:r>
      <w:r w:rsidR="004251F2" w:rsidRPr="008662BF">
        <w:rPr>
          <w:lang w:val="mk-MK"/>
        </w:rPr>
        <w:t>те</w:t>
      </w:r>
      <w:r w:rsidRPr="008662BF">
        <w:rPr>
          <w:lang w:val="mk-MK"/>
        </w:rPr>
        <w:t xml:space="preserve"> лаборатории </w:t>
      </w:r>
      <w:r w:rsidR="00D17178">
        <w:rPr>
          <w:lang w:val="mk-MK"/>
        </w:rPr>
        <w:t>што</w:t>
      </w:r>
      <w:r w:rsidR="00D17178" w:rsidRPr="008662BF">
        <w:rPr>
          <w:lang w:val="mk-MK"/>
        </w:rPr>
        <w:t xml:space="preserve"> </w:t>
      </w:r>
      <w:r w:rsidRPr="008662BF">
        <w:rPr>
          <w:lang w:val="mk-MK"/>
        </w:rPr>
        <w:t xml:space="preserve">работат во рамките на Универзитетот </w:t>
      </w:r>
      <w:r w:rsidR="004251F2" w:rsidRPr="008662BF">
        <w:rPr>
          <w:lang w:val="mk-MK"/>
        </w:rPr>
        <w:t>„</w:t>
      </w:r>
      <w:r w:rsidRPr="008662BF">
        <w:rPr>
          <w:lang w:val="mk-MK"/>
        </w:rPr>
        <w:t>Св. Кирил и Методиј</w:t>
      </w:r>
      <w:r w:rsidR="004251F2" w:rsidRPr="008662BF">
        <w:rPr>
          <w:lang w:val="mk-MK"/>
        </w:rPr>
        <w:t>“</w:t>
      </w:r>
      <w:r w:rsidRPr="008662BF">
        <w:rPr>
          <w:lang w:val="mk-MK"/>
        </w:rPr>
        <w:t xml:space="preserve"> во Скопје доби</w:t>
      </w:r>
      <w:r w:rsidR="004251F2" w:rsidRPr="008662BF">
        <w:rPr>
          <w:lang w:val="mk-MK"/>
        </w:rPr>
        <w:t>ја</w:t>
      </w:r>
      <w:r w:rsidRPr="008662BF">
        <w:rPr>
          <w:lang w:val="mk-MK"/>
        </w:rPr>
        <w:t xml:space="preserve"> најголем дел од финансиските средства за истражувачки лаборатории/институти (77%), што беше очекувано со оглед на тоа што овој Универзитет е најголемата и најважната високообразовна институција во </w:t>
      </w:r>
      <w:r w:rsidR="00417197">
        <w:rPr>
          <w:lang w:val="mk-MK"/>
        </w:rPr>
        <w:t>Република Северна Македонија</w:t>
      </w:r>
      <w:r w:rsidRPr="008662BF">
        <w:rPr>
          <w:lang w:val="mk-MK"/>
        </w:rPr>
        <w:t xml:space="preserve">. Околу 11% од средствата беа доделени на Универзитетот </w:t>
      </w:r>
      <w:r w:rsidR="004251F2" w:rsidRPr="008662BF">
        <w:rPr>
          <w:lang w:val="mk-MK"/>
        </w:rPr>
        <w:t>„</w:t>
      </w:r>
      <w:r w:rsidRPr="008662BF">
        <w:rPr>
          <w:lang w:val="mk-MK"/>
        </w:rPr>
        <w:t>Гоце Делчев</w:t>
      </w:r>
      <w:r w:rsidR="004251F2" w:rsidRPr="008662BF">
        <w:rPr>
          <w:lang w:val="mk-MK"/>
        </w:rPr>
        <w:t>“</w:t>
      </w:r>
      <w:r w:rsidRPr="008662BF">
        <w:rPr>
          <w:lang w:val="mk-MK"/>
        </w:rPr>
        <w:t>, а другите униве</w:t>
      </w:r>
      <w:r w:rsidR="00BB06AC">
        <w:rPr>
          <w:lang w:val="mk-MK"/>
        </w:rPr>
        <w:t>рзитети добија 5% или помалку (Г</w:t>
      </w:r>
      <w:r w:rsidRPr="008662BF">
        <w:rPr>
          <w:lang w:val="mk-MK"/>
        </w:rPr>
        <w:t>рафикон 1).</w:t>
      </w:r>
    </w:p>
    <w:p w14:paraId="3125DACC" w14:textId="77777777" w:rsidR="007947BF" w:rsidRPr="008662BF" w:rsidRDefault="002C3101" w:rsidP="007947BF">
      <w:pPr>
        <w:spacing w:after="0"/>
        <w:jc w:val="both"/>
        <w:rPr>
          <w:lang w:val="mk-MK"/>
        </w:rPr>
      </w:pPr>
      <w:r w:rsidRPr="008662BF">
        <w:rPr>
          <w:b/>
          <w:lang w:val="mk-MK"/>
        </w:rPr>
        <w:t>Графикон 1:</w:t>
      </w:r>
      <w:r w:rsidRPr="008662BF">
        <w:rPr>
          <w:lang w:val="mk-MK"/>
        </w:rPr>
        <w:t xml:space="preserve"> Удел на доделени</w:t>
      </w:r>
      <w:r w:rsidR="00BB06AC">
        <w:rPr>
          <w:lang w:val="mk-MK"/>
        </w:rPr>
        <w:t>те</w:t>
      </w:r>
      <w:r w:rsidRPr="008662BF">
        <w:rPr>
          <w:lang w:val="mk-MK"/>
        </w:rPr>
        <w:t xml:space="preserve"> средства по </w:t>
      </w:r>
      <w:r w:rsidR="004251F2" w:rsidRPr="008662BF">
        <w:rPr>
          <w:lang w:val="mk-MK"/>
        </w:rPr>
        <w:t>у</w:t>
      </w:r>
      <w:r w:rsidRPr="008662BF">
        <w:rPr>
          <w:lang w:val="mk-MK"/>
        </w:rPr>
        <w:t>ниверзитет во рамки на проектот „Опремување лаборатории за научно-истражувачка и апликативна дејност“</w:t>
      </w:r>
    </w:p>
    <w:p w14:paraId="1447981B" w14:textId="77777777" w:rsidR="007947BF" w:rsidRPr="008662BF" w:rsidRDefault="007947BF" w:rsidP="007947BF">
      <w:pPr>
        <w:spacing w:after="0"/>
        <w:jc w:val="both"/>
        <w:rPr>
          <w:lang w:val="mk-MK"/>
        </w:rPr>
      </w:pPr>
      <w:r w:rsidRPr="008662BF">
        <w:rPr>
          <w:noProof/>
        </w:rPr>
        <w:drawing>
          <wp:inline distT="0" distB="0" distL="0" distR="0" wp14:anchorId="05A5FA80" wp14:editId="4B87B52D">
            <wp:extent cx="5318760" cy="3329940"/>
            <wp:effectExtent l="0" t="0" r="1524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A30F0A" w14:textId="77777777" w:rsidR="007947BF" w:rsidRPr="008662BF" w:rsidRDefault="004251F2" w:rsidP="007947BF">
      <w:pPr>
        <w:rPr>
          <w:sz w:val="20"/>
          <w:szCs w:val="20"/>
          <w:lang w:val="mk-MK"/>
        </w:rPr>
      </w:pPr>
      <w:r w:rsidRPr="008662BF">
        <w:rPr>
          <w:sz w:val="20"/>
          <w:szCs w:val="20"/>
          <w:lang w:val="mk-MK"/>
        </w:rPr>
        <w:t xml:space="preserve">Извор: сопствени пресметки врз основа на податоците дадени од </w:t>
      </w:r>
      <w:r w:rsidR="00A94FBB" w:rsidRPr="008662BF">
        <w:rPr>
          <w:sz w:val="20"/>
          <w:szCs w:val="20"/>
          <w:lang w:val="mk-MK"/>
        </w:rPr>
        <w:t>Министерство за образование и наука</w:t>
      </w:r>
    </w:p>
    <w:p w14:paraId="1F84B433" w14:textId="77777777" w:rsidR="007947BF" w:rsidRPr="008662BF" w:rsidRDefault="007947BF" w:rsidP="007947BF">
      <w:pPr>
        <w:rPr>
          <w:sz w:val="20"/>
          <w:szCs w:val="20"/>
          <w:lang w:val="mk-MK"/>
        </w:rPr>
      </w:pPr>
    </w:p>
    <w:p w14:paraId="4101B988" w14:textId="77777777" w:rsidR="00C87BCE" w:rsidRPr="008662BF" w:rsidRDefault="00C87BCE" w:rsidP="00C87BCE">
      <w:pPr>
        <w:pStyle w:val="Heading2"/>
        <w:numPr>
          <w:ilvl w:val="1"/>
          <w:numId w:val="54"/>
        </w:numPr>
        <w:spacing w:after="240"/>
        <w:rPr>
          <w:rFonts w:asciiTheme="minorHAnsi" w:hAnsiTheme="minorHAnsi"/>
          <w:lang w:val="mk-MK"/>
        </w:rPr>
      </w:pPr>
      <w:bookmarkStart w:id="13" w:name="_Toc86916051"/>
      <w:r w:rsidRPr="008662BF">
        <w:rPr>
          <w:rFonts w:asciiTheme="minorHAnsi" w:hAnsiTheme="minorHAnsi"/>
          <w:lang w:val="mk-MK"/>
        </w:rPr>
        <w:t>Тековен статус на подготовката на Стратегијата за паметна специјализација</w:t>
      </w:r>
      <w:bookmarkEnd w:id="13"/>
    </w:p>
    <w:p w14:paraId="7A37684D" w14:textId="62742DFF" w:rsidR="008107DF" w:rsidRPr="009D131E" w:rsidRDefault="008107DF" w:rsidP="007947BF">
      <w:pPr>
        <w:jc w:val="both"/>
        <w:rPr>
          <w:lang w:val="mk-MK"/>
        </w:rPr>
      </w:pPr>
      <w:r w:rsidRPr="009D131E">
        <w:rPr>
          <w:lang w:val="mk-MK"/>
        </w:rPr>
        <w:t>Процесот на паметна специјализација (</w:t>
      </w:r>
      <w:r w:rsidR="00F272D8">
        <w:rPr>
          <w:lang w:val="mk-MK"/>
        </w:rPr>
        <w:t>С</w:t>
      </w:r>
      <w:r w:rsidRPr="009D131E">
        <w:rPr>
          <w:lang w:val="mk-MK"/>
        </w:rPr>
        <w:t xml:space="preserve">3) во </w:t>
      </w:r>
      <w:r w:rsidR="00417197">
        <w:rPr>
          <w:lang w:val="mk-MK"/>
        </w:rPr>
        <w:t>Република Северна Македонија</w:t>
      </w:r>
      <w:r w:rsidRPr="009D131E">
        <w:rPr>
          <w:lang w:val="mk-MK"/>
        </w:rPr>
        <w:t xml:space="preserve"> започна во 2018 година. Формирано е меѓуинституционално работно тело, составено од претставници на владата, </w:t>
      </w:r>
      <w:r w:rsidR="00D17178">
        <w:rPr>
          <w:lang w:val="mk-MK"/>
        </w:rPr>
        <w:t xml:space="preserve">на </w:t>
      </w:r>
      <w:r w:rsidRPr="009D131E">
        <w:rPr>
          <w:lang w:val="mk-MK"/>
        </w:rPr>
        <w:t>релевантните министерства и</w:t>
      </w:r>
      <w:r w:rsidR="00D17178">
        <w:rPr>
          <w:lang w:val="mk-MK"/>
        </w:rPr>
        <w:t xml:space="preserve"> на</w:t>
      </w:r>
      <w:r w:rsidRPr="009D131E">
        <w:rPr>
          <w:lang w:val="mk-MK"/>
        </w:rPr>
        <w:t xml:space="preserve"> академската заедница. Целиот процес на развој на </w:t>
      </w:r>
      <w:r w:rsidR="00F272D8">
        <w:rPr>
          <w:lang w:val="mk-MK"/>
        </w:rPr>
        <w:t>С</w:t>
      </w:r>
      <w:r w:rsidRPr="009D131E">
        <w:rPr>
          <w:lang w:val="mk-MK"/>
        </w:rPr>
        <w:t xml:space="preserve">3 е внимателно проследен со методолошката рамка за паметна специјализација на Заедничкиот истражувачки центар </w:t>
      </w:r>
      <w:r w:rsidR="004251F2" w:rsidRPr="009D131E">
        <w:rPr>
          <w:lang w:val="mk-MK"/>
        </w:rPr>
        <w:t xml:space="preserve">(JRC) </w:t>
      </w:r>
      <w:r w:rsidRPr="009D131E">
        <w:rPr>
          <w:lang w:val="mk-MK"/>
        </w:rPr>
        <w:t>во земјите за проширување и соседство на ЕУ (</w:t>
      </w:r>
      <w:r w:rsidR="004251F2" w:rsidRPr="009D131E">
        <w:rPr>
          <w:lang w:val="mk-MK"/>
        </w:rPr>
        <w:t xml:space="preserve">Рамка за </w:t>
      </w:r>
      <w:r w:rsidR="00F272D8">
        <w:rPr>
          <w:lang w:val="mk-MK"/>
        </w:rPr>
        <w:t>С</w:t>
      </w:r>
      <w:r w:rsidRPr="009D131E">
        <w:rPr>
          <w:lang w:val="mk-MK"/>
        </w:rPr>
        <w:t xml:space="preserve">3 </w:t>
      </w:r>
      <w:r w:rsidR="004251F2" w:rsidRPr="009D131E">
        <w:rPr>
          <w:lang w:val="mk-MK"/>
        </w:rPr>
        <w:t>на JRC</w:t>
      </w:r>
      <w:r w:rsidRPr="009D131E">
        <w:rPr>
          <w:lang w:val="mk-MK"/>
        </w:rPr>
        <w:t>).</w:t>
      </w:r>
    </w:p>
    <w:p w14:paraId="3AA94045" w14:textId="38DDE8F0" w:rsidR="00C52B57" w:rsidRPr="008662BF" w:rsidRDefault="00D17178" w:rsidP="00C52B57">
      <w:pPr>
        <w:jc w:val="both"/>
        <w:rPr>
          <w:rFonts w:ascii="Calibri" w:eastAsia="Calibri" w:hAnsi="Calibri" w:cs="Times New Roman"/>
          <w:lang w:val="mk-MK"/>
        </w:rPr>
      </w:pPr>
      <w:r>
        <w:rPr>
          <w:rFonts w:ascii="Calibri" w:eastAsia="Calibri" w:hAnsi="Calibri" w:cs="Times New Roman"/>
          <w:lang w:val="mk-MK"/>
        </w:rPr>
        <w:lastRenderedPageBreak/>
        <w:t>Во с</w:t>
      </w:r>
      <w:r w:rsidR="00C52B57" w:rsidRPr="009D131E">
        <w:rPr>
          <w:rFonts w:ascii="Calibri" w:eastAsia="Calibri" w:hAnsi="Calibri" w:cs="Times New Roman"/>
          <w:lang w:val="mk-MK"/>
        </w:rPr>
        <w:t>огласно</w:t>
      </w:r>
      <w:r>
        <w:rPr>
          <w:rFonts w:ascii="Calibri" w:eastAsia="Calibri" w:hAnsi="Calibri" w:cs="Times New Roman"/>
          <w:lang w:val="mk-MK"/>
        </w:rPr>
        <w:t>ст со</w:t>
      </w:r>
      <w:r w:rsidR="00C52B57" w:rsidRPr="009D131E">
        <w:rPr>
          <w:rFonts w:ascii="Calibri" w:eastAsia="Calibri" w:hAnsi="Calibri" w:cs="Times New Roman"/>
          <w:lang w:val="mk-MK"/>
        </w:rPr>
        <w:t xml:space="preserve"> методологијата, а со поддршка од ГИЗ, Националниот центар за развој на иновации и претприемничко учење (НЦРИПУ) спроведе к</w:t>
      </w:r>
      <w:r w:rsidR="001E0314" w:rsidRPr="009D131E">
        <w:rPr>
          <w:rFonts w:ascii="Calibri" w:eastAsia="Calibri" w:hAnsi="Calibri" w:cs="Times New Roman"/>
          <w:lang w:val="mk-MK"/>
        </w:rPr>
        <w:t>вантитативно мапирање за процен</w:t>
      </w:r>
      <w:r w:rsidR="00C52B57" w:rsidRPr="009D131E">
        <w:rPr>
          <w:rFonts w:ascii="Calibri" w:eastAsia="Calibri" w:hAnsi="Calibri" w:cs="Times New Roman"/>
          <w:lang w:val="mk-MK"/>
        </w:rPr>
        <w:t>а на потенцијалните приоритетни области врз основа на економски, иновациски и научни показатели.</w:t>
      </w:r>
    </w:p>
    <w:p w14:paraId="0A1358EF" w14:textId="3ED853F4" w:rsidR="00C52B57" w:rsidRPr="008662BF" w:rsidRDefault="00C52B57" w:rsidP="00C52B57">
      <w:pPr>
        <w:jc w:val="both"/>
        <w:rPr>
          <w:rFonts w:ascii="Calibri" w:eastAsia="Calibri" w:hAnsi="Calibri" w:cs="Times New Roman"/>
          <w:lang w:val="mk-MK"/>
        </w:rPr>
      </w:pPr>
      <w:r w:rsidRPr="008662BF">
        <w:rPr>
          <w:rFonts w:ascii="Calibri" w:eastAsia="Calibri" w:hAnsi="Calibri" w:cs="Times New Roman"/>
          <w:lang w:val="mk-MK"/>
        </w:rPr>
        <w:t xml:space="preserve">Понатаму, во периодот од септември 2020 до март 2021 година внатрешен тим на Стопанската комора на </w:t>
      </w:r>
      <w:r w:rsidR="00417197">
        <w:rPr>
          <w:rFonts w:ascii="Calibri" w:eastAsia="Calibri" w:hAnsi="Calibri" w:cs="Times New Roman"/>
          <w:lang w:val="mk-MK"/>
        </w:rPr>
        <w:t>Република Северна Македонија</w:t>
      </w:r>
      <w:r w:rsidRPr="008662BF">
        <w:rPr>
          <w:rFonts w:ascii="Calibri" w:eastAsia="Calibri" w:hAnsi="Calibri" w:cs="Times New Roman"/>
          <w:lang w:val="mk-MK"/>
        </w:rPr>
        <w:t xml:space="preserve"> (СКСМ) спроведе квалитативна анализа со поддршка на неколку надворешни домашни експерти и во тесна соработка со Работната група за паметна специјализација на </w:t>
      </w:r>
      <w:r w:rsidR="00417197">
        <w:rPr>
          <w:rFonts w:ascii="Calibri" w:eastAsia="Calibri" w:hAnsi="Calibri" w:cs="Times New Roman"/>
          <w:lang w:val="mk-MK"/>
        </w:rPr>
        <w:t>Република Северна Македонија</w:t>
      </w:r>
      <w:r w:rsidRPr="008662BF">
        <w:rPr>
          <w:rFonts w:ascii="Calibri" w:eastAsia="Calibri" w:hAnsi="Calibri" w:cs="Times New Roman"/>
          <w:lang w:val="mk-MK"/>
        </w:rPr>
        <w:t>.</w:t>
      </w:r>
    </w:p>
    <w:p w14:paraId="23476F57" w14:textId="4D643270" w:rsidR="00C52B57" w:rsidRPr="009D131E" w:rsidRDefault="00C52B57" w:rsidP="00C52B57">
      <w:pPr>
        <w:jc w:val="both"/>
        <w:rPr>
          <w:rFonts w:ascii="Calibri" w:eastAsia="Calibri" w:hAnsi="Calibri" w:cs="Times New Roman"/>
          <w:lang w:val="mk-MK"/>
        </w:rPr>
      </w:pPr>
      <w:r w:rsidRPr="009D131E">
        <w:rPr>
          <w:rFonts w:ascii="Calibri" w:eastAsia="Calibri" w:hAnsi="Calibri" w:cs="Times New Roman"/>
          <w:lang w:val="mk-MK"/>
        </w:rPr>
        <w:t>По обработката на сите информации добиени од голем број извори (спроведени интервјуа, заклучоци од состаноците на фокус</w:t>
      </w:r>
      <w:r w:rsidR="00D17178">
        <w:rPr>
          <w:rFonts w:ascii="Calibri" w:eastAsia="Calibri" w:hAnsi="Calibri" w:cs="Times New Roman"/>
          <w:lang w:val="mk-MK"/>
        </w:rPr>
        <w:t>-</w:t>
      </w:r>
      <w:r w:rsidRPr="009D131E">
        <w:rPr>
          <w:rFonts w:ascii="Calibri" w:eastAsia="Calibri" w:hAnsi="Calibri" w:cs="Times New Roman"/>
          <w:lang w:val="mk-MK"/>
        </w:rPr>
        <w:t xml:space="preserve">групите, длабинска секторска анализа и дополнителни истражувања итн.), следните вертикални приоритетни области и подобласти </w:t>
      </w:r>
      <w:r w:rsidR="001E0314" w:rsidRPr="009D131E">
        <w:rPr>
          <w:rFonts w:ascii="Calibri" w:eastAsia="Calibri" w:hAnsi="Calibri" w:cs="Times New Roman"/>
          <w:lang w:val="mk-MK"/>
        </w:rPr>
        <w:t xml:space="preserve">беа предложени </w:t>
      </w:r>
      <w:r w:rsidRPr="009D131E">
        <w:rPr>
          <w:rFonts w:ascii="Calibri" w:eastAsia="Calibri" w:hAnsi="Calibri" w:cs="Times New Roman"/>
          <w:lang w:val="mk-MK"/>
        </w:rPr>
        <w:t xml:space="preserve">како предмет на натамошна разработка во рамките на процесот на </w:t>
      </w:r>
      <w:r w:rsidR="001E0314" w:rsidRPr="009D131E">
        <w:rPr>
          <w:rFonts w:ascii="Calibri" w:eastAsia="Calibri" w:hAnsi="Calibri" w:cs="Times New Roman"/>
          <w:lang w:val="mk-MK"/>
        </w:rPr>
        <w:t xml:space="preserve">EDP </w:t>
      </w:r>
      <w:r w:rsidRPr="009D131E">
        <w:rPr>
          <w:rFonts w:ascii="Calibri" w:eastAsia="Calibri" w:hAnsi="Calibri" w:cs="Times New Roman"/>
          <w:lang w:val="mk-MK"/>
        </w:rPr>
        <w:t>(претприемнички процес на откривање):</w:t>
      </w:r>
    </w:p>
    <w:p w14:paraId="06871E06" w14:textId="77777777" w:rsidR="0092658E" w:rsidRPr="009D131E" w:rsidRDefault="0092658E" w:rsidP="0092658E">
      <w:pPr>
        <w:pStyle w:val="ListParagraph"/>
        <w:numPr>
          <w:ilvl w:val="0"/>
          <w:numId w:val="43"/>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Паметно земјоделство и преработка на храна со висока додадена вредност</w:t>
      </w:r>
    </w:p>
    <w:p w14:paraId="08976F40" w14:textId="77777777" w:rsidR="0092658E" w:rsidRPr="009D131E" w:rsidRDefault="0092658E" w:rsidP="0092658E">
      <w:pPr>
        <w:numPr>
          <w:ilvl w:val="0"/>
          <w:numId w:val="41"/>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Паметно земјоделство</w:t>
      </w:r>
    </w:p>
    <w:p w14:paraId="34939E07" w14:textId="77777777" w:rsidR="0092658E" w:rsidRPr="009D131E" w:rsidRDefault="0092658E" w:rsidP="0092658E">
      <w:pPr>
        <w:numPr>
          <w:ilvl w:val="0"/>
          <w:numId w:val="41"/>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Преработка на храна со висока додадена вредност</w:t>
      </w:r>
    </w:p>
    <w:p w14:paraId="1E2239BA" w14:textId="77777777" w:rsidR="0092658E" w:rsidRPr="009D131E" w:rsidRDefault="0092658E" w:rsidP="0092658E">
      <w:pPr>
        <w:pStyle w:val="ListParagraph"/>
        <w:numPr>
          <w:ilvl w:val="0"/>
          <w:numId w:val="43"/>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Сектор за информатички и комуникациски технологии (ИКТ)</w:t>
      </w:r>
    </w:p>
    <w:p w14:paraId="220D5D7A" w14:textId="17EFD9B7" w:rsidR="0092658E" w:rsidRPr="009D131E" w:rsidRDefault="0092658E" w:rsidP="0092658E">
      <w:pPr>
        <w:numPr>
          <w:ilvl w:val="0"/>
          <w:numId w:val="42"/>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Развој на при</w:t>
      </w:r>
      <w:r w:rsidR="00D17178">
        <w:rPr>
          <w:rFonts w:ascii="Calibri" w:eastAsia="Calibri" w:hAnsi="Calibri" w:cs="Times New Roman"/>
          <w:lang w:val="mk-MK"/>
        </w:rPr>
        <w:t>способ</w:t>
      </w:r>
      <w:r w:rsidRPr="009D131E">
        <w:rPr>
          <w:rFonts w:ascii="Calibri" w:eastAsia="Calibri" w:hAnsi="Calibri" w:cs="Times New Roman"/>
          <w:lang w:val="mk-MK"/>
        </w:rPr>
        <w:t>ен софтвер</w:t>
      </w:r>
    </w:p>
    <w:p w14:paraId="75C7E10B" w14:textId="77777777" w:rsidR="0092658E" w:rsidRPr="009D131E" w:rsidRDefault="0092658E" w:rsidP="0092658E">
      <w:pPr>
        <w:pStyle w:val="ListParagraph"/>
        <w:numPr>
          <w:ilvl w:val="0"/>
          <w:numId w:val="43"/>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Паметни/одржливи згради и материјали</w:t>
      </w:r>
    </w:p>
    <w:p w14:paraId="10114707" w14:textId="77777777" w:rsidR="0092658E" w:rsidRPr="009D131E" w:rsidRDefault="0092658E" w:rsidP="0092658E">
      <w:pPr>
        <w:pStyle w:val="ListParagraph"/>
        <w:numPr>
          <w:ilvl w:val="0"/>
          <w:numId w:val="43"/>
        </w:numPr>
        <w:autoSpaceDE w:val="0"/>
        <w:autoSpaceDN w:val="0"/>
        <w:adjustRightInd w:val="0"/>
        <w:spacing w:after="25" w:line="240" w:lineRule="auto"/>
        <w:jc w:val="both"/>
        <w:rPr>
          <w:rFonts w:ascii="Calibri" w:eastAsia="Calibri" w:hAnsi="Calibri" w:cs="Times New Roman"/>
          <w:lang w:val="mk-MK"/>
        </w:rPr>
      </w:pPr>
      <w:r w:rsidRPr="009D131E">
        <w:rPr>
          <w:rFonts w:ascii="Calibri" w:eastAsia="Calibri" w:hAnsi="Calibri" w:cs="Times New Roman"/>
          <w:lang w:val="mk-MK"/>
        </w:rPr>
        <w:t>Електрична опрема и делови за машини</w:t>
      </w:r>
    </w:p>
    <w:p w14:paraId="01DE9DE8" w14:textId="77777777" w:rsidR="007947BF" w:rsidRPr="008662BF" w:rsidRDefault="007947BF" w:rsidP="007947BF">
      <w:pPr>
        <w:pStyle w:val="ListParagraph"/>
        <w:autoSpaceDE w:val="0"/>
        <w:autoSpaceDN w:val="0"/>
        <w:adjustRightInd w:val="0"/>
        <w:spacing w:after="0" w:line="240" w:lineRule="auto"/>
        <w:jc w:val="both"/>
        <w:rPr>
          <w:rFonts w:ascii="Calibri" w:eastAsia="Calibri" w:hAnsi="Calibri" w:cs="Times New Roman"/>
          <w:lang w:val="mk-MK"/>
        </w:rPr>
      </w:pPr>
    </w:p>
    <w:p w14:paraId="545C6FE6" w14:textId="678011F4" w:rsidR="00A33CBE" w:rsidRPr="008662BF" w:rsidRDefault="00A33CBE" w:rsidP="00A33CBE">
      <w:pPr>
        <w:autoSpaceDE w:val="0"/>
        <w:autoSpaceDN w:val="0"/>
        <w:adjustRightInd w:val="0"/>
        <w:spacing w:after="0" w:line="240" w:lineRule="auto"/>
        <w:jc w:val="both"/>
        <w:rPr>
          <w:rFonts w:ascii="Calibri" w:eastAsia="Calibri" w:hAnsi="Calibri" w:cs="Arial"/>
          <w:color w:val="000000"/>
          <w:lang w:val="mk-MK"/>
        </w:rPr>
      </w:pPr>
      <w:r w:rsidRPr="008662BF">
        <w:rPr>
          <w:rFonts w:ascii="Calibri" w:eastAsia="Calibri" w:hAnsi="Calibri" w:cs="Arial"/>
          <w:color w:val="000000"/>
          <w:lang w:val="mk-MK"/>
        </w:rPr>
        <w:t xml:space="preserve">Овие четири области се предложени како вертикални области за паметна специјализација, со економски капацитети, како и научни и иновативни потенцијали </w:t>
      </w:r>
      <w:r w:rsidR="00D17178">
        <w:rPr>
          <w:rFonts w:ascii="Calibri" w:eastAsia="Calibri" w:hAnsi="Calibri" w:cs="Arial"/>
          <w:color w:val="000000"/>
          <w:lang w:val="mk-MK"/>
        </w:rPr>
        <w:t>што</w:t>
      </w:r>
      <w:r w:rsidR="00D17178" w:rsidRPr="008662BF">
        <w:rPr>
          <w:rFonts w:ascii="Calibri" w:eastAsia="Calibri" w:hAnsi="Calibri" w:cs="Arial"/>
          <w:color w:val="000000"/>
          <w:lang w:val="mk-MK"/>
        </w:rPr>
        <w:t xml:space="preserve"> </w:t>
      </w:r>
      <w:r w:rsidRPr="008662BF">
        <w:rPr>
          <w:rFonts w:ascii="Calibri" w:eastAsia="Calibri" w:hAnsi="Calibri" w:cs="Arial"/>
          <w:color w:val="000000"/>
          <w:lang w:val="mk-MK"/>
        </w:rPr>
        <w:t>треба дополнително да се елаборираат за да се формира нова пазарна ниша за нивна специјализација.</w:t>
      </w:r>
    </w:p>
    <w:p w14:paraId="793DA13F" w14:textId="77777777" w:rsidR="00A33CBE" w:rsidRPr="008662BF" w:rsidRDefault="00A33CBE" w:rsidP="00A33CBE">
      <w:pPr>
        <w:autoSpaceDE w:val="0"/>
        <w:autoSpaceDN w:val="0"/>
        <w:adjustRightInd w:val="0"/>
        <w:spacing w:after="0" w:line="240" w:lineRule="auto"/>
        <w:jc w:val="both"/>
        <w:rPr>
          <w:rFonts w:ascii="Calibri" w:eastAsia="Calibri" w:hAnsi="Calibri" w:cs="Arial"/>
          <w:color w:val="000000"/>
          <w:lang w:val="mk-MK"/>
        </w:rPr>
      </w:pPr>
    </w:p>
    <w:p w14:paraId="4C5FE4CC" w14:textId="77777777" w:rsidR="00A33CBE" w:rsidRPr="008662BF" w:rsidRDefault="00A33CBE" w:rsidP="00A33CBE">
      <w:pPr>
        <w:autoSpaceDE w:val="0"/>
        <w:autoSpaceDN w:val="0"/>
        <w:adjustRightInd w:val="0"/>
        <w:spacing w:after="0" w:line="240" w:lineRule="auto"/>
        <w:jc w:val="both"/>
        <w:rPr>
          <w:rFonts w:ascii="Calibri" w:eastAsia="Calibri" w:hAnsi="Calibri" w:cs="Arial"/>
          <w:color w:val="000000"/>
          <w:lang w:val="mk-MK"/>
        </w:rPr>
      </w:pPr>
      <w:r w:rsidRPr="008662BF">
        <w:rPr>
          <w:rFonts w:ascii="Calibri" w:eastAsia="Calibri" w:hAnsi="Calibri" w:cs="Arial"/>
          <w:color w:val="000000"/>
          <w:lang w:val="mk-MK"/>
        </w:rPr>
        <w:t>Областа за паметна специјализација „</w:t>
      </w:r>
      <w:r w:rsidRPr="008662BF">
        <w:rPr>
          <w:rFonts w:ascii="Calibri" w:eastAsia="Calibri" w:hAnsi="Calibri" w:cs="Arial"/>
          <w:b/>
          <w:color w:val="000000"/>
          <w:lang w:val="mk-MK"/>
        </w:rPr>
        <w:t>Енергија за иднината</w:t>
      </w:r>
      <w:r w:rsidRPr="008662BF">
        <w:rPr>
          <w:rFonts w:ascii="Calibri" w:eastAsia="Calibri" w:hAnsi="Calibri" w:cs="Arial"/>
          <w:color w:val="000000"/>
          <w:lang w:val="mk-MK"/>
        </w:rPr>
        <w:t>“ се смета за хоризонтална, бидејќи има силни меѓусекторски врски со другите предложени приоритетни области и е во согласност со процесот на зазеленување на индустријата и заштита на животната средина.</w:t>
      </w:r>
    </w:p>
    <w:p w14:paraId="15D94A24" w14:textId="77777777" w:rsidR="00A33CBE" w:rsidRPr="008662BF" w:rsidRDefault="00A33CBE" w:rsidP="00A33CBE">
      <w:pPr>
        <w:autoSpaceDE w:val="0"/>
        <w:autoSpaceDN w:val="0"/>
        <w:adjustRightInd w:val="0"/>
        <w:spacing w:after="0" w:line="240" w:lineRule="auto"/>
        <w:jc w:val="both"/>
        <w:rPr>
          <w:rFonts w:ascii="Calibri" w:eastAsia="Calibri" w:hAnsi="Calibri" w:cs="Arial"/>
          <w:color w:val="000000"/>
          <w:lang w:val="mk-MK"/>
        </w:rPr>
      </w:pPr>
    </w:p>
    <w:p w14:paraId="4BFE0D5C" w14:textId="77777777" w:rsidR="00A33CBE" w:rsidRPr="008662BF" w:rsidRDefault="00A33CBE" w:rsidP="00A33CBE">
      <w:pPr>
        <w:autoSpaceDE w:val="0"/>
        <w:autoSpaceDN w:val="0"/>
        <w:adjustRightInd w:val="0"/>
        <w:spacing w:after="0" w:line="240" w:lineRule="auto"/>
        <w:jc w:val="both"/>
        <w:rPr>
          <w:rFonts w:ascii="Calibri" w:eastAsia="Calibri" w:hAnsi="Calibri" w:cs="Arial"/>
          <w:color w:val="000000"/>
          <w:lang w:val="mk-MK"/>
        </w:rPr>
      </w:pPr>
      <w:r w:rsidRPr="008662BF">
        <w:rPr>
          <w:rFonts w:ascii="Calibri" w:eastAsia="Calibri" w:hAnsi="Calibri" w:cs="Arial"/>
          <w:color w:val="000000"/>
          <w:lang w:val="mk-MK"/>
        </w:rPr>
        <w:t>Исто така, „</w:t>
      </w:r>
      <w:r w:rsidRPr="008662BF">
        <w:rPr>
          <w:rFonts w:ascii="Calibri" w:eastAsia="Calibri" w:hAnsi="Calibri" w:cs="Arial"/>
          <w:b/>
          <w:color w:val="000000"/>
          <w:lang w:val="mk-MK"/>
        </w:rPr>
        <w:t>Одржливиот туризам и угостителството</w:t>
      </w:r>
      <w:r w:rsidRPr="008662BF">
        <w:rPr>
          <w:rFonts w:ascii="Calibri" w:eastAsia="Calibri" w:hAnsi="Calibri" w:cs="Arial"/>
          <w:color w:val="000000"/>
          <w:lang w:val="mk-MK"/>
        </w:rPr>
        <w:t xml:space="preserve">“, како </w:t>
      </w:r>
      <w:r w:rsidR="00967DA0" w:rsidRPr="008662BF">
        <w:rPr>
          <w:rFonts w:ascii="Calibri" w:eastAsia="Calibri" w:hAnsi="Calibri" w:cs="Arial"/>
          <w:color w:val="000000"/>
          <w:lang w:val="mk-MK"/>
        </w:rPr>
        <w:t xml:space="preserve">прелиминарна </w:t>
      </w:r>
      <w:r w:rsidRPr="008662BF">
        <w:rPr>
          <w:rFonts w:ascii="Calibri" w:eastAsia="Calibri" w:hAnsi="Calibri" w:cs="Arial"/>
          <w:color w:val="000000"/>
          <w:lang w:val="mk-MK"/>
        </w:rPr>
        <w:t>предложена област со значаен придонес за македонската економија и</w:t>
      </w:r>
      <w:r w:rsidR="00D17178">
        <w:rPr>
          <w:rFonts w:ascii="Calibri" w:eastAsia="Calibri" w:hAnsi="Calibri" w:cs="Arial"/>
          <w:color w:val="000000"/>
          <w:lang w:val="mk-MK"/>
        </w:rPr>
        <w:t xml:space="preserve"> за</w:t>
      </w:r>
      <w:r w:rsidRPr="008662BF">
        <w:rPr>
          <w:rFonts w:ascii="Calibri" w:eastAsia="Calibri" w:hAnsi="Calibri" w:cs="Arial"/>
          <w:color w:val="000000"/>
          <w:lang w:val="mk-MK"/>
        </w:rPr>
        <w:t xml:space="preserve"> критична</w:t>
      </w:r>
      <w:r w:rsidR="00D17178">
        <w:rPr>
          <w:rFonts w:ascii="Calibri" w:eastAsia="Calibri" w:hAnsi="Calibri" w:cs="Arial"/>
          <w:color w:val="000000"/>
          <w:lang w:val="mk-MK"/>
        </w:rPr>
        <w:t>та</w:t>
      </w:r>
      <w:r w:rsidRPr="008662BF">
        <w:rPr>
          <w:rFonts w:ascii="Calibri" w:eastAsia="Calibri" w:hAnsi="Calibri" w:cs="Arial"/>
          <w:color w:val="000000"/>
          <w:lang w:val="mk-MK"/>
        </w:rPr>
        <w:t xml:space="preserve"> маса на фирми со развојни потенцијали, дополнително ќе се истражува во текот на процесот на </w:t>
      </w:r>
      <w:r w:rsidR="001E0314" w:rsidRPr="008662BF">
        <w:rPr>
          <w:rFonts w:ascii="Calibri" w:eastAsia="Calibri" w:hAnsi="Calibri" w:cs="Arial"/>
          <w:color w:val="000000"/>
          <w:lang w:val="mk-MK"/>
        </w:rPr>
        <w:t xml:space="preserve">EDP </w:t>
      </w:r>
      <w:r w:rsidRPr="008662BF">
        <w:rPr>
          <w:rFonts w:ascii="Calibri" w:eastAsia="Calibri" w:hAnsi="Calibri" w:cs="Arial"/>
          <w:color w:val="000000"/>
          <w:lang w:val="mk-MK"/>
        </w:rPr>
        <w:t xml:space="preserve">за да се добие појасна слика дали оваа прелиминарна област има доволно потенцијали за паметна специјализација. Процесот на </w:t>
      </w:r>
      <w:r w:rsidR="00967DA0" w:rsidRPr="008662BF">
        <w:rPr>
          <w:rFonts w:ascii="Calibri" w:eastAsia="Calibri" w:hAnsi="Calibri" w:cs="Arial"/>
          <w:color w:val="000000"/>
          <w:lang w:val="mk-MK"/>
        </w:rPr>
        <w:t xml:space="preserve">EDP </w:t>
      </w:r>
      <w:r w:rsidRPr="008662BF">
        <w:rPr>
          <w:rFonts w:ascii="Calibri" w:eastAsia="Calibri" w:hAnsi="Calibri" w:cs="Arial"/>
          <w:color w:val="000000"/>
          <w:lang w:val="mk-MK"/>
        </w:rPr>
        <w:t>се очекува да започне во средината на 2021 година.</w:t>
      </w:r>
    </w:p>
    <w:p w14:paraId="6C536ACB" w14:textId="77777777" w:rsidR="00A33CBE" w:rsidRPr="008662BF" w:rsidRDefault="00A33CBE" w:rsidP="00A33CBE">
      <w:pPr>
        <w:autoSpaceDE w:val="0"/>
        <w:autoSpaceDN w:val="0"/>
        <w:adjustRightInd w:val="0"/>
        <w:spacing w:after="0" w:line="240" w:lineRule="auto"/>
        <w:jc w:val="both"/>
        <w:rPr>
          <w:rFonts w:ascii="Calibri" w:eastAsia="Calibri" w:hAnsi="Calibri" w:cs="Arial"/>
          <w:color w:val="000000"/>
          <w:lang w:val="mk-MK"/>
        </w:rPr>
      </w:pPr>
    </w:p>
    <w:p w14:paraId="5734EEEC" w14:textId="3A701178" w:rsidR="00A33CBE" w:rsidRPr="008662BF" w:rsidRDefault="00A33CBE" w:rsidP="00A33CBE">
      <w:pPr>
        <w:autoSpaceDE w:val="0"/>
        <w:autoSpaceDN w:val="0"/>
        <w:adjustRightInd w:val="0"/>
        <w:spacing w:after="0" w:line="240" w:lineRule="auto"/>
        <w:jc w:val="both"/>
        <w:rPr>
          <w:lang w:val="mk-MK"/>
        </w:rPr>
      </w:pPr>
      <w:r w:rsidRPr="008662BF">
        <w:rPr>
          <w:lang w:val="mk-MK"/>
        </w:rPr>
        <w:t xml:space="preserve">Имајќи предвид дека </w:t>
      </w:r>
      <w:r w:rsidR="00417197">
        <w:rPr>
          <w:lang w:val="mk-MK"/>
        </w:rPr>
        <w:t>Република Северна Македонија</w:t>
      </w:r>
      <w:r w:rsidRPr="008662BF">
        <w:rPr>
          <w:lang w:val="mk-MK"/>
        </w:rPr>
        <w:t xml:space="preserve"> е во процес</w:t>
      </w:r>
      <w:r w:rsidR="00255A94">
        <w:rPr>
          <w:lang w:val="mk-MK"/>
        </w:rPr>
        <w:t>от</w:t>
      </w:r>
      <w:r w:rsidRPr="008662BF">
        <w:rPr>
          <w:lang w:val="mk-MK"/>
        </w:rPr>
        <w:t xml:space="preserve"> на утврдување на приоритетните области за иднината, мапирањето на истражувачките инфраструктури добива важна улога бидејќи обезбедува рамка за анализа на истражувачкиот потенцијал и укажува како клучните национални истражувачки инфраструктури можат да влијаат врз зајакнувањето на истражувањето и иновациите како критички важни елементи на националниот развој. Затоа, процесот на мапирање на истражувачките инфраструктури и подготовката на Патоказ за ИИ претставува важен елемент на процесот на подготовка на </w:t>
      </w:r>
      <w:r w:rsidR="00F272D8">
        <w:rPr>
          <w:lang w:val="mk-MK"/>
        </w:rPr>
        <w:t>С</w:t>
      </w:r>
      <w:r w:rsidRPr="008662BF">
        <w:rPr>
          <w:lang w:val="mk-MK"/>
        </w:rPr>
        <w:t>3 и исто така претставува основа за подготовката на идните активности на инструментите во оваа област.</w:t>
      </w:r>
    </w:p>
    <w:p w14:paraId="24BEB345" w14:textId="77777777" w:rsidR="007947BF" w:rsidRPr="008662BF" w:rsidRDefault="007947BF" w:rsidP="007947BF">
      <w:pPr>
        <w:jc w:val="both"/>
        <w:rPr>
          <w:lang w:val="mk-MK"/>
        </w:rPr>
      </w:pPr>
    </w:p>
    <w:p w14:paraId="42F0283F" w14:textId="77777777" w:rsidR="007947BF" w:rsidRPr="008662BF" w:rsidRDefault="007947BF" w:rsidP="007947BF">
      <w:pPr>
        <w:jc w:val="both"/>
        <w:rPr>
          <w:lang w:val="mk-MK"/>
        </w:rPr>
      </w:pPr>
    </w:p>
    <w:p w14:paraId="1244CBFC" w14:textId="77777777" w:rsidR="007947BF" w:rsidRPr="008662BF" w:rsidRDefault="007947BF" w:rsidP="007947BF">
      <w:pPr>
        <w:jc w:val="both"/>
        <w:rPr>
          <w:lang w:val="mk-MK"/>
        </w:rPr>
      </w:pPr>
    </w:p>
    <w:p w14:paraId="745246E1" w14:textId="77777777" w:rsidR="007947BF" w:rsidRPr="008662BF" w:rsidRDefault="007947BF" w:rsidP="007947BF">
      <w:pPr>
        <w:jc w:val="both"/>
        <w:rPr>
          <w:lang w:val="mk-MK"/>
        </w:rPr>
      </w:pPr>
    </w:p>
    <w:p w14:paraId="137618C2" w14:textId="77777777" w:rsidR="007947BF" w:rsidRPr="008662BF" w:rsidRDefault="007947BF" w:rsidP="007947BF">
      <w:pPr>
        <w:jc w:val="both"/>
        <w:rPr>
          <w:lang w:val="mk-MK"/>
        </w:rPr>
      </w:pPr>
    </w:p>
    <w:p w14:paraId="34A0770F" w14:textId="09E99042" w:rsidR="00F86A2E" w:rsidRPr="008662BF" w:rsidRDefault="00F86A2E" w:rsidP="00F86A2E">
      <w:pPr>
        <w:pStyle w:val="Heading1"/>
        <w:numPr>
          <w:ilvl w:val="0"/>
          <w:numId w:val="54"/>
        </w:numPr>
        <w:spacing w:after="240"/>
        <w:rPr>
          <w:rFonts w:asciiTheme="minorHAnsi" w:hAnsiTheme="minorHAnsi"/>
          <w:shd w:val="clear" w:color="auto" w:fill="FFFFFF"/>
          <w:lang w:val="mk-MK"/>
        </w:rPr>
      </w:pPr>
      <w:bookmarkStart w:id="14" w:name="_Toc86916052"/>
      <w:r w:rsidRPr="008662BF">
        <w:rPr>
          <w:rFonts w:asciiTheme="minorHAnsi" w:hAnsiTheme="minorHAnsi"/>
          <w:shd w:val="clear" w:color="auto" w:fill="FFFFFF"/>
          <w:lang w:val="mk-MK"/>
        </w:rPr>
        <w:t xml:space="preserve">Учество на </w:t>
      </w:r>
      <w:r w:rsidR="00417197">
        <w:rPr>
          <w:rFonts w:asciiTheme="minorHAnsi" w:hAnsiTheme="minorHAnsi"/>
          <w:shd w:val="clear" w:color="auto" w:fill="FFFFFF"/>
          <w:lang w:val="mk-MK"/>
        </w:rPr>
        <w:t>Република Северна Македонија</w:t>
      </w:r>
      <w:r w:rsidRPr="008662BF">
        <w:rPr>
          <w:rFonts w:asciiTheme="minorHAnsi" w:hAnsiTheme="minorHAnsi"/>
          <w:shd w:val="clear" w:color="auto" w:fill="FFFFFF"/>
          <w:lang w:val="mk-MK"/>
        </w:rPr>
        <w:t xml:space="preserve"> во истражувачките програми на ЕУ</w:t>
      </w:r>
      <w:bookmarkEnd w:id="14"/>
    </w:p>
    <w:p w14:paraId="0B045737" w14:textId="0FB5CCF6" w:rsidR="006070C5" w:rsidRPr="008662BF" w:rsidRDefault="00417197" w:rsidP="006070C5">
      <w:pPr>
        <w:jc w:val="both"/>
        <w:rPr>
          <w:lang w:val="mk-MK"/>
        </w:rPr>
      </w:pPr>
      <w:r>
        <w:rPr>
          <w:lang w:val="mk-MK"/>
        </w:rPr>
        <w:t>Република Северна Македонија</w:t>
      </w:r>
      <w:r w:rsidR="006070C5" w:rsidRPr="008662BF">
        <w:rPr>
          <w:lang w:val="mk-MK"/>
        </w:rPr>
        <w:t xml:space="preserve"> веќе долго време учествува во Рамковната програма на ЕУ за истражување, технолошки развој и иновации, почнувајќи од програмата FP4-INCO COPERNICUS (1994-1998). Според податоците од март 2021 година, организациите од </w:t>
      </w:r>
      <w:r>
        <w:rPr>
          <w:lang w:val="mk-MK"/>
        </w:rPr>
        <w:t>Република Северна Македонија</w:t>
      </w:r>
      <w:r w:rsidR="006070C5" w:rsidRPr="008662BF">
        <w:rPr>
          <w:lang w:val="mk-MK"/>
        </w:rPr>
        <w:t xml:space="preserve"> доставија 853 предлози во рамките на Н2020, од кои 705 беа прифатливи, а </w:t>
      </w:r>
      <w:r w:rsidR="0031585B" w:rsidRPr="008662BF">
        <w:rPr>
          <w:lang w:val="mk-MK"/>
        </w:rPr>
        <w:t xml:space="preserve">се </w:t>
      </w:r>
      <w:r w:rsidR="006070C5" w:rsidRPr="008662BF">
        <w:rPr>
          <w:lang w:val="mk-MK"/>
        </w:rPr>
        <w:t>финансира</w:t>
      </w:r>
      <w:r w:rsidR="0031585B" w:rsidRPr="008662BF">
        <w:rPr>
          <w:lang w:val="mk-MK"/>
        </w:rPr>
        <w:t xml:space="preserve">а </w:t>
      </w:r>
      <w:r w:rsidR="006070C5" w:rsidRPr="008662BF">
        <w:rPr>
          <w:lang w:val="mk-MK"/>
        </w:rPr>
        <w:t>79. Ова одговара на просечната стапка на успех од 11,63 проценти, наспроти 13,44 проценти кај другите поврзани економии.</w:t>
      </w:r>
      <w:r w:rsidR="004C3494">
        <w:t xml:space="preserve"> </w:t>
      </w:r>
      <w:r w:rsidR="006070C5" w:rsidRPr="008662BF">
        <w:rPr>
          <w:lang w:val="mk-MK"/>
        </w:rPr>
        <w:t xml:space="preserve">Организациите од </w:t>
      </w:r>
      <w:r>
        <w:rPr>
          <w:lang w:val="mk-MK"/>
        </w:rPr>
        <w:t>Република Северна Македонија</w:t>
      </w:r>
      <w:r w:rsidR="006070C5" w:rsidRPr="008662BF">
        <w:rPr>
          <w:lang w:val="mk-MK"/>
        </w:rPr>
        <w:t xml:space="preserve"> добија 12,95 милиони евра </w:t>
      </w:r>
      <w:r w:rsidR="00C91B77" w:rsidRPr="008662BF">
        <w:rPr>
          <w:lang w:val="mk-MK"/>
        </w:rPr>
        <w:t xml:space="preserve">средства од </w:t>
      </w:r>
      <w:r w:rsidR="006070C5" w:rsidRPr="008662BF">
        <w:rPr>
          <w:lang w:val="mk-MK"/>
        </w:rPr>
        <w:t>ЕК. Најуспешните органи</w:t>
      </w:r>
      <w:r w:rsidR="00A20B77" w:rsidRPr="008662BF">
        <w:rPr>
          <w:lang w:val="mk-MK"/>
        </w:rPr>
        <w:t>зации во рамките на програмата H</w:t>
      </w:r>
      <w:r w:rsidR="006070C5" w:rsidRPr="008662BF">
        <w:rPr>
          <w:lang w:val="mk-MK"/>
        </w:rPr>
        <w:t xml:space="preserve">2020 се: Универзитетот </w:t>
      </w:r>
      <w:r w:rsidR="00A20B77" w:rsidRPr="008662BF">
        <w:rPr>
          <w:lang w:val="mk-MK"/>
        </w:rPr>
        <w:t>„</w:t>
      </w:r>
      <w:r w:rsidR="006070C5" w:rsidRPr="008662BF">
        <w:rPr>
          <w:lang w:val="mk-MK"/>
        </w:rPr>
        <w:t>Св. Кирил и Методиј</w:t>
      </w:r>
      <w:r w:rsidR="00A20B77" w:rsidRPr="008662BF">
        <w:rPr>
          <w:lang w:val="mk-MK"/>
        </w:rPr>
        <w:t>“</w:t>
      </w:r>
      <w:r w:rsidR="006070C5" w:rsidRPr="008662BF">
        <w:rPr>
          <w:lang w:val="mk-MK"/>
        </w:rPr>
        <w:t xml:space="preserve"> - Скопје (23 проекти), Град Скопје (5 проекти), Стопанската комора на </w:t>
      </w:r>
      <w:r>
        <w:rPr>
          <w:lang w:val="mk-MK"/>
        </w:rPr>
        <w:t>Република Северна Македонија</w:t>
      </w:r>
      <w:r w:rsidR="006070C5" w:rsidRPr="008662BF">
        <w:rPr>
          <w:lang w:val="mk-MK"/>
        </w:rPr>
        <w:t xml:space="preserve"> (5 проекти), Институтот за јавно здравје на </w:t>
      </w:r>
      <w:r>
        <w:rPr>
          <w:lang w:val="mk-MK"/>
        </w:rPr>
        <w:t>Република Северна Македонија</w:t>
      </w:r>
      <w:r w:rsidR="006070C5" w:rsidRPr="008662BF">
        <w:rPr>
          <w:lang w:val="mk-MK"/>
        </w:rPr>
        <w:t xml:space="preserve"> (5 проекти) и Македонската академска истражувачка мрежа (5 проекти).</w:t>
      </w:r>
    </w:p>
    <w:p w14:paraId="40928783" w14:textId="1AA2583A" w:rsidR="007947BF" w:rsidRPr="008662BF" w:rsidRDefault="00EC7A66" w:rsidP="00EC7A66">
      <w:pPr>
        <w:jc w:val="both"/>
        <w:rPr>
          <w:lang w:val="mk-MK"/>
        </w:rPr>
      </w:pPr>
      <w:r w:rsidRPr="008662BF">
        <w:rPr>
          <w:lang w:val="mk-MK"/>
        </w:rPr>
        <w:t xml:space="preserve">Клучните силни страни на </w:t>
      </w:r>
      <w:r w:rsidR="00417197">
        <w:rPr>
          <w:lang w:val="mk-MK"/>
        </w:rPr>
        <w:t>Република Северна Македонија</w:t>
      </w:r>
      <w:r w:rsidRPr="008662BF">
        <w:rPr>
          <w:lang w:val="mk-MK"/>
        </w:rPr>
        <w:t xml:space="preserve"> во Хоризонт 2020 се во областите </w:t>
      </w:r>
      <w:r w:rsidR="00A20B77" w:rsidRPr="008662BF">
        <w:rPr>
          <w:lang w:val="mk-MK"/>
        </w:rPr>
        <w:t xml:space="preserve">на </w:t>
      </w:r>
      <w:r w:rsidRPr="008662BF">
        <w:rPr>
          <w:lang w:val="mk-MK"/>
        </w:rPr>
        <w:t>енергија</w:t>
      </w:r>
      <w:r w:rsidR="00A20B77" w:rsidRPr="008662BF">
        <w:rPr>
          <w:lang w:val="mk-MK"/>
        </w:rPr>
        <w:t>та</w:t>
      </w:r>
      <w:r w:rsidRPr="008662BF">
        <w:rPr>
          <w:lang w:val="mk-MK"/>
        </w:rPr>
        <w:t xml:space="preserve"> и здравство</w:t>
      </w:r>
      <w:r w:rsidR="00A20B77" w:rsidRPr="008662BF">
        <w:rPr>
          <w:lang w:val="mk-MK"/>
        </w:rPr>
        <w:t>то</w:t>
      </w:r>
      <w:r w:rsidRPr="008662BF">
        <w:rPr>
          <w:lang w:val="mk-MK"/>
        </w:rPr>
        <w:t xml:space="preserve">. Во </w:t>
      </w:r>
      <w:r w:rsidR="00A20B77" w:rsidRPr="008662BF">
        <w:rPr>
          <w:lang w:val="mk-MK"/>
        </w:rPr>
        <w:t xml:space="preserve">поглед </w:t>
      </w:r>
      <w:r w:rsidRPr="008662BF">
        <w:rPr>
          <w:lang w:val="mk-MK"/>
        </w:rPr>
        <w:t>на вкупниот број проекти во рамките на H2020, значителен број проекти беа реализирани во рамките на тематскиот приоритет „Истражувачка инфраструктура“ (Табела 1).</w:t>
      </w:r>
    </w:p>
    <w:p w14:paraId="50657EB6" w14:textId="0DBD9B0C" w:rsidR="007947BF" w:rsidRPr="009D131E" w:rsidRDefault="00A20B77" w:rsidP="007947BF">
      <w:pPr>
        <w:spacing w:after="0"/>
        <w:jc w:val="both"/>
        <w:rPr>
          <w:rFonts w:cs="Times New Roman"/>
          <w:lang w:val="mk-MK"/>
        </w:rPr>
      </w:pPr>
      <w:r w:rsidRPr="009D131E">
        <w:rPr>
          <w:rFonts w:cs="Times New Roman"/>
          <w:b/>
          <w:lang w:val="mk-MK"/>
        </w:rPr>
        <w:t xml:space="preserve">Табела 1: </w:t>
      </w:r>
      <w:r w:rsidR="00417197">
        <w:rPr>
          <w:rFonts w:cs="Times New Roman"/>
          <w:lang w:val="mk-MK"/>
        </w:rPr>
        <w:t>Република Северна Македонија</w:t>
      </w:r>
      <w:r w:rsidRPr="009D131E">
        <w:rPr>
          <w:rFonts w:cs="Times New Roman"/>
          <w:lang w:val="mk-MK"/>
        </w:rPr>
        <w:t xml:space="preserve"> во H2020: Учество и нето</w:t>
      </w:r>
      <w:r w:rsidR="004C3494">
        <w:rPr>
          <w:rFonts w:cs="Times New Roman"/>
        </w:rPr>
        <w:t>-</w:t>
      </w:r>
      <w:r w:rsidRPr="009D131E">
        <w:rPr>
          <w:rFonts w:cs="Times New Roman"/>
          <w:lang w:val="mk-MK"/>
        </w:rPr>
        <w:t>придонес на ЕУ по приоритетна област</w:t>
      </w:r>
    </w:p>
    <w:tbl>
      <w:tblPr>
        <w:tblStyle w:val="LightGrid-Accent11"/>
        <w:tblW w:w="5000" w:type="pct"/>
        <w:tblCellMar>
          <w:left w:w="28" w:type="dxa"/>
          <w:right w:w="0" w:type="dxa"/>
        </w:tblCellMar>
        <w:tblLook w:val="04A0" w:firstRow="1" w:lastRow="0" w:firstColumn="1" w:lastColumn="0" w:noHBand="0" w:noVBand="1"/>
      </w:tblPr>
      <w:tblGrid>
        <w:gridCol w:w="6227"/>
        <w:gridCol w:w="1291"/>
        <w:gridCol w:w="1534"/>
      </w:tblGrid>
      <w:tr w:rsidR="007947BF" w:rsidRPr="009D131E" w14:paraId="4656A992" w14:textId="77777777" w:rsidTr="004B2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60BAE8F4" w14:textId="77777777" w:rsidR="007947BF" w:rsidRPr="009D131E" w:rsidRDefault="007947BF" w:rsidP="004B2AB0">
            <w:pPr>
              <w:rPr>
                <w:rFonts w:asciiTheme="minorHAnsi" w:eastAsia="Times New Roman" w:hAnsiTheme="minorHAnsi" w:cs="Times New Roman"/>
                <w:color w:val="000000"/>
                <w:lang w:val="mk-MK"/>
              </w:rPr>
            </w:pPr>
            <w:r w:rsidRPr="009D131E">
              <w:rPr>
                <w:rFonts w:asciiTheme="minorHAnsi" w:eastAsia="Times New Roman" w:hAnsiTheme="minorHAnsi" w:cs="Times New Roman"/>
                <w:color w:val="000000"/>
                <w:lang w:val="mk-MK"/>
              </w:rPr>
              <w:t> </w:t>
            </w:r>
          </w:p>
        </w:tc>
        <w:tc>
          <w:tcPr>
            <w:tcW w:w="1291" w:type="dxa"/>
            <w:noWrap/>
            <w:hideMark/>
          </w:tcPr>
          <w:p w14:paraId="7D87B480" w14:textId="77777777" w:rsidR="007947BF" w:rsidRPr="009D131E" w:rsidRDefault="00B44C38" w:rsidP="00B44C3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mk-MK"/>
              </w:rPr>
            </w:pPr>
            <w:r w:rsidRPr="009D131E">
              <w:rPr>
                <w:rFonts w:asciiTheme="minorHAnsi" w:eastAsia="Times New Roman" w:hAnsiTheme="minorHAnsi" w:cs="Times New Roman"/>
                <w:color w:val="000000"/>
                <w:lang w:val="mk-MK"/>
              </w:rPr>
              <w:t xml:space="preserve">Учество </w:t>
            </w:r>
          </w:p>
        </w:tc>
        <w:tc>
          <w:tcPr>
            <w:tcW w:w="1534" w:type="dxa"/>
            <w:noWrap/>
            <w:hideMark/>
          </w:tcPr>
          <w:p w14:paraId="5A2486DD" w14:textId="77777777" w:rsidR="007947BF" w:rsidRPr="009D131E" w:rsidRDefault="00B44C38" w:rsidP="00B44C3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lang w:val="mk-MK"/>
              </w:rPr>
            </w:pPr>
            <w:r w:rsidRPr="009D131E">
              <w:rPr>
                <w:rFonts w:asciiTheme="minorHAnsi" w:eastAsia="Times New Roman" w:hAnsiTheme="minorHAnsi" w:cs="Times New Roman"/>
                <w:color w:val="000000"/>
                <w:lang w:val="mk-MK"/>
              </w:rPr>
              <w:t>Средства од ЕУ</w:t>
            </w:r>
            <w:r w:rsidR="007947BF" w:rsidRPr="009D131E">
              <w:rPr>
                <w:rFonts w:asciiTheme="minorHAnsi" w:eastAsia="Times New Roman" w:hAnsiTheme="minorHAnsi" w:cs="Times New Roman"/>
                <w:color w:val="000000"/>
                <w:lang w:val="mk-MK"/>
              </w:rPr>
              <w:t xml:space="preserve"> (</w:t>
            </w:r>
            <w:r w:rsidRPr="009D131E">
              <w:rPr>
                <w:rFonts w:asciiTheme="minorHAnsi" w:eastAsia="Times New Roman" w:hAnsiTheme="minorHAnsi" w:cs="Times New Roman"/>
                <w:color w:val="000000"/>
                <w:lang w:val="mk-MK"/>
              </w:rPr>
              <w:t>евра</w:t>
            </w:r>
            <w:r w:rsidR="007947BF" w:rsidRPr="009D131E">
              <w:rPr>
                <w:rFonts w:asciiTheme="minorHAnsi" w:eastAsia="Times New Roman" w:hAnsiTheme="minorHAnsi" w:cs="Times New Roman"/>
                <w:color w:val="000000"/>
                <w:lang w:val="mk-MK"/>
              </w:rPr>
              <w:t>)</w:t>
            </w:r>
          </w:p>
        </w:tc>
      </w:tr>
      <w:tr w:rsidR="00045BF3" w:rsidRPr="008662BF" w14:paraId="6ECF81F2"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05B4255A" w14:textId="77777777" w:rsidR="00045BF3" w:rsidRPr="009D131E" w:rsidRDefault="00045BF3" w:rsidP="00AC762D">
            <w:pPr>
              <w:rPr>
                <w:rFonts w:asciiTheme="minorHAnsi" w:hAnsiTheme="minorHAnsi" w:cstheme="minorHAnsi"/>
                <w:lang w:val="mk-MK"/>
              </w:rPr>
            </w:pPr>
            <w:r w:rsidRPr="009D131E">
              <w:rPr>
                <w:rFonts w:asciiTheme="minorHAnsi" w:hAnsiTheme="minorHAnsi" w:cstheme="minorHAnsi"/>
                <w:lang w:val="mk-MK"/>
              </w:rPr>
              <w:t>Сигурна, чиста и ефикасна енергија</w:t>
            </w:r>
          </w:p>
        </w:tc>
        <w:tc>
          <w:tcPr>
            <w:tcW w:w="1291" w:type="dxa"/>
            <w:noWrap/>
            <w:hideMark/>
          </w:tcPr>
          <w:p w14:paraId="6B09A2F8" w14:textId="77777777" w:rsidR="00045BF3" w:rsidRPr="009D131E" w:rsidRDefault="00045BF3" w:rsidP="00045B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9D131E">
              <w:rPr>
                <w:rFonts w:eastAsia="Times New Roman" w:cs="Times New Roman"/>
                <w:color w:val="000000"/>
                <w:lang w:val="mk-MK"/>
              </w:rPr>
              <w:t>22</w:t>
            </w:r>
          </w:p>
        </w:tc>
        <w:tc>
          <w:tcPr>
            <w:tcW w:w="1534" w:type="dxa"/>
            <w:noWrap/>
          </w:tcPr>
          <w:p w14:paraId="6BBDE38D" w14:textId="77777777" w:rsidR="00045BF3" w:rsidRPr="008662BF" w:rsidRDefault="00045BF3"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9D131E">
              <w:rPr>
                <w:rFonts w:eastAsia="Times New Roman" w:cs="Times New Roman"/>
                <w:color w:val="000000"/>
                <w:lang w:val="mk-MK"/>
              </w:rPr>
              <w:t xml:space="preserve">3.04 </w:t>
            </w:r>
            <w:r w:rsidR="00AC762D" w:rsidRPr="009D131E">
              <w:rPr>
                <w:rFonts w:eastAsia="Times New Roman" w:cs="Times New Roman"/>
                <w:color w:val="000000"/>
                <w:lang w:val="mk-MK"/>
              </w:rPr>
              <w:t>мил.</w:t>
            </w:r>
          </w:p>
        </w:tc>
      </w:tr>
      <w:tr w:rsidR="00045BF3" w:rsidRPr="008662BF" w14:paraId="4759F215"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29B90625"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Истражувачки инфраструктури</w:t>
            </w:r>
          </w:p>
        </w:tc>
        <w:tc>
          <w:tcPr>
            <w:tcW w:w="1291" w:type="dxa"/>
            <w:noWrap/>
          </w:tcPr>
          <w:p w14:paraId="3A2D7C34" w14:textId="77777777" w:rsidR="00045BF3" w:rsidRPr="008662BF" w:rsidRDefault="00045BF3" w:rsidP="00045BF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15</w:t>
            </w:r>
          </w:p>
        </w:tc>
        <w:tc>
          <w:tcPr>
            <w:tcW w:w="1534" w:type="dxa"/>
            <w:noWrap/>
          </w:tcPr>
          <w:p w14:paraId="7E02AAA8" w14:textId="77777777" w:rsidR="00045BF3" w:rsidRPr="008662BF" w:rsidRDefault="00045BF3"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 xml:space="preserve">1.66 </w:t>
            </w:r>
            <w:r w:rsidR="00AC762D" w:rsidRPr="008662BF">
              <w:rPr>
                <w:rFonts w:eastAsia="Times New Roman" w:cs="Times New Roman"/>
                <w:color w:val="000000"/>
                <w:lang w:val="mk-MK"/>
              </w:rPr>
              <w:t>мил.</w:t>
            </w:r>
          </w:p>
        </w:tc>
      </w:tr>
      <w:tr w:rsidR="00045BF3" w:rsidRPr="008662BF" w14:paraId="34AE0AE8"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60A8DDA1"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Иновации во МСП</w:t>
            </w:r>
          </w:p>
        </w:tc>
        <w:tc>
          <w:tcPr>
            <w:tcW w:w="1291" w:type="dxa"/>
            <w:noWrap/>
          </w:tcPr>
          <w:p w14:paraId="494B46B3" w14:textId="77777777" w:rsidR="00045BF3" w:rsidRPr="008662BF" w:rsidRDefault="00045BF3" w:rsidP="00045B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14</w:t>
            </w:r>
          </w:p>
        </w:tc>
        <w:tc>
          <w:tcPr>
            <w:tcW w:w="1534" w:type="dxa"/>
            <w:noWrap/>
          </w:tcPr>
          <w:p w14:paraId="67E4195E" w14:textId="77777777" w:rsidR="00045BF3" w:rsidRPr="008662BF" w:rsidRDefault="00045BF3"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899.14</w:t>
            </w:r>
            <w:r w:rsidR="00AC762D" w:rsidRPr="008662BF">
              <w:rPr>
                <w:rFonts w:eastAsia="Times New Roman" w:cs="Times New Roman"/>
                <w:color w:val="000000"/>
                <w:lang w:val="mk-MK"/>
              </w:rPr>
              <w:t xml:space="preserve"> илј.</w:t>
            </w:r>
          </w:p>
        </w:tc>
      </w:tr>
      <w:tr w:rsidR="00045BF3" w:rsidRPr="008662BF" w14:paraId="082AA267"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13E5455E"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Здравје, демографски промени и благосостојба</w:t>
            </w:r>
          </w:p>
        </w:tc>
        <w:tc>
          <w:tcPr>
            <w:tcW w:w="1291" w:type="dxa"/>
            <w:noWrap/>
            <w:hideMark/>
          </w:tcPr>
          <w:p w14:paraId="5DA2EDE1" w14:textId="77777777" w:rsidR="00045BF3" w:rsidRPr="008662BF" w:rsidRDefault="00045BF3" w:rsidP="00045BF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8</w:t>
            </w:r>
          </w:p>
        </w:tc>
        <w:tc>
          <w:tcPr>
            <w:tcW w:w="1534" w:type="dxa"/>
            <w:noWrap/>
          </w:tcPr>
          <w:p w14:paraId="4E8CBC8F" w14:textId="77777777" w:rsidR="00045BF3" w:rsidRPr="008662BF" w:rsidRDefault="00045BF3" w:rsidP="00045BF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 xml:space="preserve">1.43 </w:t>
            </w:r>
            <w:r w:rsidR="00AC762D" w:rsidRPr="008662BF">
              <w:rPr>
                <w:rFonts w:eastAsia="Times New Roman" w:cs="Times New Roman"/>
                <w:color w:val="000000"/>
                <w:lang w:val="mk-MK"/>
              </w:rPr>
              <w:t>мил.</w:t>
            </w:r>
          </w:p>
        </w:tc>
      </w:tr>
      <w:tr w:rsidR="00045BF3" w:rsidRPr="008662BF" w14:paraId="47514991"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66A504D6"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Информатички и комуникациски технологии</w:t>
            </w:r>
          </w:p>
        </w:tc>
        <w:tc>
          <w:tcPr>
            <w:tcW w:w="1291" w:type="dxa"/>
            <w:noWrap/>
          </w:tcPr>
          <w:p w14:paraId="63B76127" w14:textId="77777777" w:rsidR="00045BF3" w:rsidRPr="008662BF" w:rsidRDefault="00045BF3" w:rsidP="00045B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8</w:t>
            </w:r>
          </w:p>
        </w:tc>
        <w:tc>
          <w:tcPr>
            <w:tcW w:w="1534" w:type="dxa"/>
            <w:noWrap/>
          </w:tcPr>
          <w:p w14:paraId="0D170617" w14:textId="77777777" w:rsidR="00045BF3" w:rsidRPr="008662BF" w:rsidRDefault="00045BF3" w:rsidP="00045B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 xml:space="preserve">1.35 </w:t>
            </w:r>
            <w:r w:rsidR="00AC762D" w:rsidRPr="008662BF">
              <w:rPr>
                <w:rFonts w:eastAsia="Times New Roman" w:cs="Times New Roman"/>
                <w:color w:val="000000"/>
                <w:lang w:val="mk-MK"/>
              </w:rPr>
              <w:t>мил.</w:t>
            </w:r>
          </w:p>
        </w:tc>
      </w:tr>
      <w:tr w:rsidR="00045BF3" w:rsidRPr="008662BF" w14:paraId="6381310A"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148015C5"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Безбедност на храната, одржливо земјоделство и шумарство, истражување на морски, поморски и внатрешни води</w:t>
            </w:r>
          </w:p>
        </w:tc>
        <w:tc>
          <w:tcPr>
            <w:tcW w:w="1291" w:type="dxa"/>
            <w:noWrap/>
          </w:tcPr>
          <w:p w14:paraId="10CFF518" w14:textId="77777777" w:rsidR="00045BF3" w:rsidRPr="008662BF" w:rsidRDefault="00045BF3" w:rsidP="00045BF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7</w:t>
            </w:r>
          </w:p>
        </w:tc>
        <w:tc>
          <w:tcPr>
            <w:tcW w:w="1534" w:type="dxa"/>
            <w:noWrap/>
          </w:tcPr>
          <w:p w14:paraId="14FA5AFC" w14:textId="77777777" w:rsidR="00045BF3" w:rsidRPr="008662BF" w:rsidRDefault="00045BF3"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769.51</w:t>
            </w:r>
            <w:r w:rsidR="00AC762D" w:rsidRPr="008662BF">
              <w:rPr>
                <w:rFonts w:eastAsia="Times New Roman" w:cs="Times New Roman"/>
                <w:color w:val="000000"/>
                <w:lang w:val="mk-MK"/>
              </w:rPr>
              <w:t xml:space="preserve"> илј.</w:t>
            </w:r>
          </w:p>
        </w:tc>
      </w:tr>
      <w:tr w:rsidR="00045BF3" w:rsidRPr="008662BF" w14:paraId="4D423B14"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6E432F03"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Европа во светот што се менува - инклузивни, иновативни и рефлексивни општества</w:t>
            </w:r>
          </w:p>
        </w:tc>
        <w:tc>
          <w:tcPr>
            <w:tcW w:w="1291" w:type="dxa"/>
            <w:noWrap/>
          </w:tcPr>
          <w:p w14:paraId="226F72E3" w14:textId="77777777" w:rsidR="00045BF3" w:rsidRPr="008662BF" w:rsidRDefault="00045BF3" w:rsidP="00045B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7</w:t>
            </w:r>
          </w:p>
        </w:tc>
        <w:tc>
          <w:tcPr>
            <w:tcW w:w="1534" w:type="dxa"/>
            <w:noWrap/>
          </w:tcPr>
          <w:p w14:paraId="28973E6A" w14:textId="77777777" w:rsidR="00045BF3" w:rsidRPr="008662BF" w:rsidRDefault="00045BF3"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817.23</w:t>
            </w:r>
            <w:r w:rsidR="00AC762D" w:rsidRPr="008662BF">
              <w:rPr>
                <w:rFonts w:eastAsia="Times New Roman" w:cs="Times New Roman"/>
                <w:color w:val="000000"/>
                <w:lang w:val="mk-MK"/>
              </w:rPr>
              <w:t xml:space="preserve"> илј.</w:t>
            </w:r>
          </w:p>
        </w:tc>
      </w:tr>
      <w:tr w:rsidR="00045BF3" w:rsidRPr="008662BF" w14:paraId="28CCB908"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00E14E8D" w14:textId="77777777" w:rsidR="00045BF3" w:rsidRPr="004C3494" w:rsidRDefault="00045BF3" w:rsidP="00AC762D">
            <w:pPr>
              <w:rPr>
                <w:rFonts w:asciiTheme="minorHAnsi" w:hAnsiTheme="minorHAnsi" w:cstheme="minorHAnsi"/>
                <w:lang w:val="mk-MK"/>
              </w:rPr>
            </w:pPr>
            <w:r w:rsidRPr="008662BF">
              <w:rPr>
                <w:rFonts w:asciiTheme="minorHAnsi" w:hAnsiTheme="minorHAnsi" w:cstheme="minorHAnsi"/>
                <w:lang w:val="mk-MK"/>
              </w:rPr>
              <w:t>Климатска акција, животна средина, ефикасност на ресурсите и суровини</w:t>
            </w:r>
            <w:r w:rsidR="004C3494">
              <w:rPr>
                <w:rFonts w:asciiTheme="minorHAnsi" w:hAnsiTheme="minorHAnsi" w:cstheme="minorHAnsi"/>
                <w:lang w:val="mk-MK"/>
              </w:rPr>
              <w:t>те</w:t>
            </w:r>
          </w:p>
        </w:tc>
        <w:tc>
          <w:tcPr>
            <w:tcW w:w="1291" w:type="dxa"/>
            <w:noWrap/>
            <w:hideMark/>
          </w:tcPr>
          <w:p w14:paraId="5E8F3A5B" w14:textId="77777777" w:rsidR="00045BF3" w:rsidRPr="008662BF" w:rsidRDefault="00045BF3" w:rsidP="00045BF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6</w:t>
            </w:r>
          </w:p>
        </w:tc>
        <w:tc>
          <w:tcPr>
            <w:tcW w:w="1534" w:type="dxa"/>
            <w:noWrap/>
          </w:tcPr>
          <w:p w14:paraId="37BEABAC" w14:textId="77777777" w:rsidR="00045BF3" w:rsidRPr="008662BF" w:rsidRDefault="00045BF3"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 xml:space="preserve">1.28 </w:t>
            </w:r>
            <w:r w:rsidR="00AC762D" w:rsidRPr="008662BF">
              <w:rPr>
                <w:rFonts w:eastAsia="Times New Roman" w:cs="Times New Roman"/>
                <w:color w:val="000000"/>
                <w:lang w:val="mk-MK"/>
              </w:rPr>
              <w:t>мил.</w:t>
            </w:r>
          </w:p>
        </w:tc>
      </w:tr>
      <w:tr w:rsidR="00045BF3" w:rsidRPr="008662BF" w14:paraId="7F903B76"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50E32FB0"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Акции Мари Склодовска-Кири</w:t>
            </w:r>
          </w:p>
        </w:tc>
        <w:tc>
          <w:tcPr>
            <w:tcW w:w="1291" w:type="dxa"/>
            <w:noWrap/>
            <w:hideMark/>
          </w:tcPr>
          <w:p w14:paraId="36A94D3A" w14:textId="77777777" w:rsidR="00045BF3" w:rsidRPr="008662BF" w:rsidRDefault="00045BF3" w:rsidP="00045BF3">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4</w:t>
            </w:r>
          </w:p>
        </w:tc>
        <w:tc>
          <w:tcPr>
            <w:tcW w:w="1534" w:type="dxa"/>
            <w:noWrap/>
          </w:tcPr>
          <w:p w14:paraId="18047F31" w14:textId="77777777" w:rsidR="00045BF3" w:rsidRPr="008662BF" w:rsidRDefault="00045BF3"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277.80</w:t>
            </w:r>
            <w:r w:rsidR="00AC762D" w:rsidRPr="008662BF">
              <w:rPr>
                <w:rFonts w:eastAsia="Times New Roman" w:cs="Times New Roman"/>
                <w:color w:val="000000"/>
                <w:lang w:val="mk-MK"/>
              </w:rPr>
              <w:t xml:space="preserve"> илј.</w:t>
            </w:r>
          </w:p>
        </w:tc>
      </w:tr>
      <w:tr w:rsidR="00045BF3" w:rsidRPr="008662BF" w14:paraId="47298C63"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5B4614B4" w14:textId="77777777" w:rsidR="00045BF3"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Интегрирање на општеството во науката и иновациите</w:t>
            </w:r>
          </w:p>
        </w:tc>
        <w:tc>
          <w:tcPr>
            <w:tcW w:w="1291" w:type="dxa"/>
            <w:noWrap/>
            <w:hideMark/>
          </w:tcPr>
          <w:p w14:paraId="2A951A87" w14:textId="77777777" w:rsidR="00045BF3" w:rsidRPr="008662BF" w:rsidRDefault="00045BF3" w:rsidP="00045BF3">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3</w:t>
            </w:r>
          </w:p>
        </w:tc>
        <w:tc>
          <w:tcPr>
            <w:tcW w:w="1534" w:type="dxa"/>
            <w:noWrap/>
          </w:tcPr>
          <w:p w14:paraId="35277E6B" w14:textId="77777777" w:rsidR="00045BF3" w:rsidRPr="008662BF" w:rsidRDefault="00045BF3"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632.45</w:t>
            </w:r>
            <w:r w:rsidR="00AC762D" w:rsidRPr="008662BF">
              <w:rPr>
                <w:rFonts w:eastAsia="Times New Roman" w:cs="Times New Roman"/>
                <w:color w:val="000000"/>
                <w:lang w:val="mk-MK"/>
              </w:rPr>
              <w:t xml:space="preserve"> илј.</w:t>
            </w:r>
          </w:p>
        </w:tc>
      </w:tr>
      <w:tr w:rsidR="00AC762D" w:rsidRPr="008662BF" w14:paraId="347A43CE"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1FFB90AD" w14:textId="77777777" w:rsidR="00AC762D" w:rsidRPr="008662BF" w:rsidRDefault="00AC762D" w:rsidP="00AC762D">
            <w:pPr>
              <w:rPr>
                <w:rFonts w:asciiTheme="minorHAnsi" w:hAnsiTheme="minorHAnsi" w:cstheme="minorHAnsi"/>
                <w:lang w:val="mk-MK"/>
              </w:rPr>
            </w:pPr>
            <w:r w:rsidRPr="008662BF">
              <w:rPr>
                <w:rFonts w:asciiTheme="minorHAnsi" w:hAnsiTheme="minorHAnsi" w:cstheme="minorHAnsi"/>
                <w:lang w:val="mk-MK"/>
              </w:rPr>
              <w:t>Привлекување на младите кон кариера во областа на науката и технологијата</w:t>
            </w:r>
          </w:p>
        </w:tc>
        <w:tc>
          <w:tcPr>
            <w:tcW w:w="1291" w:type="dxa"/>
            <w:noWrap/>
            <w:hideMark/>
          </w:tcPr>
          <w:p w14:paraId="10EA071B" w14:textId="77777777" w:rsidR="00AC762D" w:rsidRPr="008662BF" w:rsidRDefault="00AC762D"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3</w:t>
            </w:r>
          </w:p>
        </w:tc>
        <w:tc>
          <w:tcPr>
            <w:tcW w:w="1534" w:type="dxa"/>
            <w:noWrap/>
          </w:tcPr>
          <w:p w14:paraId="7D1F4A81" w14:textId="77777777" w:rsidR="00AC762D" w:rsidRPr="008662BF" w:rsidRDefault="00AC762D"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164.97 илј.</w:t>
            </w:r>
          </w:p>
        </w:tc>
      </w:tr>
      <w:tr w:rsidR="00AC762D" w:rsidRPr="008662BF" w14:paraId="10FE6F83"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518802F0" w14:textId="77777777" w:rsidR="00AC762D" w:rsidRPr="008662BF" w:rsidRDefault="00AC762D" w:rsidP="00AC762D">
            <w:pPr>
              <w:rPr>
                <w:rFonts w:asciiTheme="minorHAnsi" w:hAnsiTheme="minorHAnsi" w:cstheme="minorHAnsi"/>
                <w:lang w:val="mk-MK"/>
              </w:rPr>
            </w:pPr>
            <w:r w:rsidRPr="008662BF">
              <w:rPr>
                <w:rFonts w:asciiTheme="minorHAnsi" w:hAnsiTheme="minorHAnsi" w:cstheme="minorHAnsi"/>
                <w:lang w:val="mk-MK"/>
              </w:rPr>
              <w:t>Безбедни општества - Заштита на слободата и безбедноста на Европа и нејзините граѓаниe</w:t>
            </w:r>
          </w:p>
        </w:tc>
        <w:tc>
          <w:tcPr>
            <w:tcW w:w="1291" w:type="dxa"/>
            <w:noWrap/>
          </w:tcPr>
          <w:p w14:paraId="69E58781" w14:textId="77777777" w:rsidR="00AC762D" w:rsidRPr="008662BF" w:rsidRDefault="00AC762D"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2</w:t>
            </w:r>
          </w:p>
        </w:tc>
        <w:tc>
          <w:tcPr>
            <w:tcW w:w="1534" w:type="dxa"/>
            <w:noWrap/>
          </w:tcPr>
          <w:p w14:paraId="258C434C" w14:textId="77777777" w:rsidR="00AC762D" w:rsidRPr="008662BF" w:rsidRDefault="00AC762D"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105.25 илј.</w:t>
            </w:r>
          </w:p>
        </w:tc>
      </w:tr>
      <w:tr w:rsidR="00AC762D" w:rsidRPr="008662BF" w14:paraId="3A0704AC"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hideMark/>
          </w:tcPr>
          <w:p w14:paraId="0C08B136" w14:textId="77777777" w:rsidR="00AC762D" w:rsidRPr="008662BF" w:rsidRDefault="00AC762D" w:rsidP="00AC762D">
            <w:pPr>
              <w:rPr>
                <w:rFonts w:asciiTheme="minorHAnsi" w:hAnsiTheme="minorHAnsi" w:cstheme="minorHAnsi"/>
                <w:lang w:val="mk-MK"/>
              </w:rPr>
            </w:pPr>
            <w:r w:rsidRPr="008662BF">
              <w:rPr>
                <w:rFonts w:asciiTheme="minorHAnsi" w:hAnsiTheme="minorHAnsi" w:cstheme="minorHAnsi"/>
                <w:lang w:val="mk-MK"/>
              </w:rPr>
              <w:lastRenderedPageBreak/>
              <w:t>Паметен, зелен и интегриран транспорт</w:t>
            </w:r>
          </w:p>
        </w:tc>
        <w:tc>
          <w:tcPr>
            <w:tcW w:w="1291" w:type="dxa"/>
            <w:noWrap/>
            <w:hideMark/>
          </w:tcPr>
          <w:p w14:paraId="44831612" w14:textId="77777777" w:rsidR="00AC762D" w:rsidRPr="008662BF" w:rsidRDefault="00AC762D"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2</w:t>
            </w:r>
          </w:p>
        </w:tc>
        <w:tc>
          <w:tcPr>
            <w:tcW w:w="1534" w:type="dxa"/>
            <w:noWrap/>
          </w:tcPr>
          <w:p w14:paraId="73F285E1" w14:textId="77777777" w:rsidR="00AC762D" w:rsidRPr="008662BF" w:rsidRDefault="00AC762D"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117.58 илј.</w:t>
            </w:r>
          </w:p>
        </w:tc>
      </w:tr>
      <w:tr w:rsidR="007947BF" w:rsidRPr="008662BF" w14:paraId="10143ED4"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3A4AFEBF" w14:textId="77777777" w:rsidR="007947BF" w:rsidRPr="008662BF" w:rsidRDefault="00AC762D" w:rsidP="00AC762D">
            <w:pPr>
              <w:rPr>
                <w:rFonts w:asciiTheme="minorHAnsi" w:hAnsiTheme="minorHAnsi" w:cstheme="minorHAnsi"/>
                <w:lang w:val="mk-MK"/>
              </w:rPr>
            </w:pPr>
            <w:r w:rsidRPr="008662BF">
              <w:rPr>
                <w:rFonts w:asciiTheme="minorHAnsi" w:hAnsiTheme="minorHAnsi" w:cstheme="minorHAnsi"/>
                <w:lang w:val="mk-MK"/>
              </w:rPr>
              <w:t xml:space="preserve">Напредно производство и преработка </w:t>
            </w:r>
          </w:p>
        </w:tc>
        <w:tc>
          <w:tcPr>
            <w:tcW w:w="1291" w:type="dxa"/>
            <w:noWrap/>
          </w:tcPr>
          <w:p w14:paraId="6A1BAB11" w14:textId="77777777" w:rsidR="007947BF" w:rsidRPr="008662BF" w:rsidRDefault="007947BF" w:rsidP="004B2AB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w:t>
            </w:r>
          </w:p>
        </w:tc>
        <w:tc>
          <w:tcPr>
            <w:tcW w:w="1534" w:type="dxa"/>
            <w:noWrap/>
          </w:tcPr>
          <w:p w14:paraId="427EA888" w14:textId="77777777" w:rsidR="007947BF" w:rsidRPr="008662BF" w:rsidRDefault="007947BF"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221.23</w:t>
            </w:r>
            <w:r w:rsidR="00AC762D" w:rsidRPr="008662BF">
              <w:rPr>
                <w:rFonts w:eastAsia="Times New Roman" w:cs="Times New Roman"/>
                <w:color w:val="000000"/>
                <w:lang w:val="mk-MK"/>
              </w:rPr>
              <w:t xml:space="preserve"> илј.</w:t>
            </w:r>
          </w:p>
        </w:tc>
      </w:tr>
      <w:tr w:rsidR="007947BF" w:rsidRPr="008662BF" w14:paraId="5041AB1A"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73BB0130" w14:textId="77777777" w:rsidR="007947BF" w:rsidRPr="008662BF" w:rsidRDefault="00AC762D" w:rsidP="00AC762D">
            <w:pPr>
              <w:rPr>
                <w:rFonts w:asciiTheme="minorHAnsi" w:hAnsiTheme="minorHAnsi" w:cstheme="minorHAnsi"/>
                <w:lang w:val="mk-MK"/>
              </w:rPr>
            </w:pPr>
            <w:r w:rsidRPr="008662BF">
              <w:rPr>
                <w:rFonts w:asciiTheme="minorHAnsi" w:hAnsiTheme="minorHAnsi" w:cstheme="minorHAnsi"/>
                <w:lang w:val="mk-MK"/>
              </w:rPr>
              <w:t xml:space="preserve">Вселена </w:t>
            </w:r>
          </w:p>
        </w:tc>
        <w:tc>
          <w:tcPr>
            <w:tcW w:w="1291" w:type="dxa"/>
            <w:noWrap/>
          </w:tcPr>
          <w:p w14:paraId="682974CA" w14:textId="77777777" w:rsidR="007947BF" w:rsidRPr="008662BF" w:rsidRDefault="007947BF" w:rsidP="004B2AB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w:t>
            </w:r>
          </w:p>
        </w:tc>
        <w:tc>
          <w:tcPr>
            <w:tcW w:w="1534" w:type="dxa"/>
            <w:noWrap/>
          </w:tcPr>
          <w:p w14:paraId="19724805" w14:textId="77777777" w:rsidR="007947BF" w:rsidRPr="008662BF" w:rsidRDefault="007947BF" w:rsidP="004B2AB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0</w:t>
            </w:r>
          </w:p>
        </w:tc>
      </w:tr>
      <w:tr w:rsidR="007947BF" w:rsidRPr="008662BF" w14:paraId="18D0DDC9"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024DE2A2" w14:textId="77777777" w:rsidR="007947BF" w:rsidRPr="008662BF" w:rsidRDefault="00AC762D" w:rsidP="00AC762D">
            <w:pPr>
              <w:rPr>
                <w:rFonts w:asciiTheme="minorHAnsi" w:hAnsiTheme="minorHAnsi" w:cstheme="minorHAnsi"/>
                <w:lang w:val="mk-MK"/>
              </w:rPr>
            </w:pPr>
            <w:r w:rsidRPr="008662BF">
              <w:rPr>
                <w:rFonts w:asciiTheme="minorHAnsi" w:hAnsiTheme="minorHAnsi" w:cstheme="minorHAnsi"/>
                <w:lang w:val="mk-MK"/>
              </w:rPr>
              <w:t xml:space="preserve">Биотехнологија </w:t>
            </w:r>
          </w:p>
        </w:tc>
        <w:tc>
          <w:tcPr>
            <w:tcW w:w="1291" w:type="dxa"/>
            <w:noWrap/>
          </w:tcPr>
          <w:p w14:paraId="00FC20B2" w14:textId="77777777" w:rsidR="007947BF" w:rsidRPr="008662BF" w:rsidRDefault="007947BF" w:rsidP="004B2AB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w:t>
            </w:r>
          </w:p>
        </w:tc>
        <w:tc>
          <w:tcPr>
            <w:tcW w:w="1534" w:type="dxa"/>
            <w:noWrap/>
          </w:tcPr>
          <w:p w14:paraId="637EF6D9" w14:textId="77777777" w:rsidR="007947BF" w:rsidRPr="008662BF" w:rsidRDefault="007947BF" w:rsidP="00AC762D">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181.5</w:t>
            </w:r>
            <w:r w:rsidR="00AC762D" w:rsidRPr="008662BF">
              <w:rPr>
                <w:rFonts w:eastAsia="Times New Roman" w:cs="Times New Roman"/>
                <w:color w:val="000000"/>
                <w:lang w:val="mk-MK"/>
              </w:rPr>
              <w:t xml:space="preserve"> илј.</w:t>
            </w:r>
          </w:p>
        </w:tc>
      </w:tr>
      <w:tr w:rsidR="007947BF" w:rsidRPr="008662BF" w14:paraId="7A3718B1" w14:textId="77777777" w:rsidTr="004B2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1FD93187" w14:textId="5161D5EC" w:rsidR="007947BF" w:rsidRPr="008662BF" w:rsidRDefault="00AC762D" w:rsidP="00AC762D">
            <w:pPr>
              <w:rPr>
                <w:rFonts w:asciiTheme="minorHAnsi" w:hAnsiTheme="minorHAnsi" w:cstheme="minorHAnsi"/>
                <w:lang w:val="mk-MK"/>
              </w:rPr>
            </w:pPr>
            <w:r w:rsidRPr="008662BF">
              <w:rPr>
                <w:rFonts w:asciiTheme="minorHAnsi" w:hAnsiTheme="minorHAnsi" w:cstheme="minorHAnsi"/>
                <w:lang w:val="mk-MK"/>
              </w:rPr>
              <w:t>Транснационални мрежи на националните контакт</w:t>
            </w:r>
            <w:r w:rsidR="004C3494">
              <w:rPr>
                <w:rFonts w:asciiTheme="minorHAnsi" w:hAnsiTheme="minorHAnsi" w:cstheme="minorHAnsi"/>
                <w:lang w:val="mk-MK"/>
              </w:rPr>
              <w:t>-</w:t>
            </w:r>
            <w:r w:rsidRPr="008662BF">
              <w:rPr>
                <w:rFonts w:asciiTheme="minorHAnsi" w:hAnsiTheme="minorHAnsi" w:cstheme="minorHAnsi"/>
                <w:lang w:val="mk-MK"/>
              </w:rPr>
              <w:t xml:space="preserve">точки </w:t>
            </w:r>
          </w:p>
        </w:tc>
        <w:tc>
          <w:tcPr>
            <w:tcW w:w="1291" w:type="dxa"/>
            <w:noWrap/>
          </w:tcPr>
          <w:p w14:paraId="6A4DC2C9" w14:textId="77777777" w:rsidR="007947BF" w:rsidRPr="008662BF" w:rsidRDefault="007947BF" w:rsidP="004B2AB0">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w:t>
            </w:r>
          </w:p>
        </w:tc>
        <w:tc>
          <w:tcPr>
            <w:tcW w:w="1534" w:type="dxa"/>
            <w:noWrap/>
          </w:tcPr>
          <w:p w14:paraId="44368272" w14:textId="77777777" w:rsidR="007947BF" w:rsidRPr="008662BF" w:rsidRDefault="007947BF" w:rsidP="00AC762D">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39.19</w:t>
            </w:r>
            <w:r w:rsidR="00AC762D" w:rsidRPr="008662BF">
              <w:rPr>
                <w:rFonts w:eastAsia="Times New Roman" w:cs="Times New Roman"/>
                <w:color w:val="000000"/>
                <w:lang w:val="mk-MK"/>
              </w:rPr>
              <w:t xml:space="preserve"> илј.</w:t>
            </w:r>
          </w:p>
        </w:tc>
      </w:tr>
      <w:tr w:rsidR="007947BF" w:rsidRPr="008662BF" w14:paraId="2F02A11C" w14:textId="77777777" w:rsidTr="004B2A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27" w:type="dxa"/>
            <w:noWrap/>
          </w:tcPr>
          <w:p w14:paraId="2EBB30DE" w14:textId="77777777" w:rsidR="007947BF" w:rsidRPr="008662BF" w:rsidRDefault="00045BF3" w:rsidP="00AC762D">
            <w:pPr>
              <w:rPr>
                <w:rFonts w:asciiTheme="minorHAnsi" w:hAnsiTheme="minorHAnsi" w:cstheme="minorHAnsi"/>
                <w:lang w:val="mk-MK"/>
              </w:rPr>
            </w:pPr>
            <w:r w:rsidRPr="008662BF">
              <w:rPr>
                <w:rFonts w:asciiTheme="minorHAnsi" w:hAnsiTheme="minorHAnsi" w:cstheme="minorHAnsi"/>
                <w:lang w:val="mk-MK"/>
              </w:rPr>
              <w:t>Поврзување на истражувачки институции</w:t>
            </w:r>
          </w:p>
        </w:tc>
        <w:tc>
          <w:tcPr>
            <w:tcW w:w="1291" w:type="dxa"/>
            <w:noWrap/>
          </w:tcPr>
          <w:p w14:paraId="5E4E8425" w14:textId="77777777" w:rsidR="007947BF" w:rsidRPr="008662BF" w:rsidRDefault="007947BF" w:rsidP="004B2AB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1</w:t>
            </w:r>
          </w:p>
        </w:tc>
        <w:tc>
          <w:tcPr>
            <w:tcW w:w="1534" w:type="dxa"/>
            <w:noWrap/>
          </w:tcPr>
          <w:p w14:paraId="053074EF" w14:textId="77777777" w:rsidR="007947BF" w:rsidRPr="008662BF" w:rsidRDefault="007947BF" w:rsidP="004B2AB0">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lang w:val="mk-MK"/>
              </w:rPr>
            </w:pPr>
            <w:r w:rsidRPr="008662BF">
              <w:rPr>
                <w:rFonts w:eastAsia="Times New Roman" w:cs="Times New Roman"/>
                <w:color w:val="000000"/>
                <w:lang w:val="mk-MK"/>
              </w:rPr>
              <w:t>238.</w:t>
            </w:r>
            <w:r w:rsidR="00AC762D" w:rsidRPr="008662BF">
              <w:rPr>
                <w:rFonts w:eastAsia="Times New Roman" w:cs="Times New Roman"/>
                <w:color w:val="000000"/>
                <w:lang w:val="mk-MK"/>
              </w:rPr>
              <w:t>7 илј.</w:t>
            </w:r>
          </w:p>
        </w:tc>
      </w:tr>
    </w:tbl>
    <w:p w14:paraId="12EB7010" w14:textId="77777777" w:rsidR="007947BF" w:rsidRPr="008662BF" w:rsidRDefault="00AC762D" w:rsidP="007947BF">
      <w:pPr>
        <w:jc w:val="both"/>
        <w:rPr>
          <w:rFonts w:cs="Times New Roman"/>
          <w:lang w:val="mk-MK"/>
        </w:rPr>
      </w:pPr>
      <w:r w:rsidRPr="008662BF">
        <w:rPr>
          <w:rFonts w:cs="Times New Roman"/>
          <w:sz w:val="20"/>
          <w:lang w:val="mk-MK"/>
        </w:rPr>
        <w:t>Извор</w:t>
      </w:r>
      <w:r w:rsidR="007947BF" w:rsidRPr="008662BF">
        <w:rPr>
          <w:rFonts w:cs="Times New Roman"/>
          <w:sz w:val="20"/>
          <w:lang w:val="mk-MK"/>
        </w:rPr>
        <w:t xml:space="preserve">: </w:t>
      </w:r>
      <w:r w:rsidRPr="008662BF">
        <w:rPr>
          <w:rFonts w:cs="Times New Roman"/>
          <w:sz w:val="20"/>
          <w:lang w:val="mk-MK"/>
        </w:rPr>
        <w:t>Сопствени пресметки врз основа на</w:t>
      </w:r>
      <w:r w:rsidR="007947BF" w:rsidRPr="008662BF">
        <w:rPr>
          <w:rFonts w:cs="Times New Roman"/>
          <w:sz w:val="20"/>
          <w:lang w:val="mk-MK"/>
        </w:rPr>
        <w:t xml:space="preserve">: </w:t>
      </w:r>
      <w:hyperlink r:id="rId9" w:history="1">
        <w:r w:rsidR="007947BF" w:rsidRPr="008662BF">
          <w:rPr>
            <w:rStyle w:val="Hyperlink"/>
            <w:rFonts w:cs="Times New Roman"/>
            <w:sz w:val="20"/>
            <w:lang w:val="mk-MK"/>
          </w:rPr>
          <w:t>http://cordis.europa.eu</w:t>
        </w:r>
      </w:hyperlink>
    </w:p>
    <w:p w14:paraId="6D36D4D3" w14:textId="0372D892" w:rsidR="007947BF" w:rsidRPr="008662BF" w:rsidRDefault="00C91B77" w:rsidP="007947BF">
      <w:pPr>
        <w:jc w:val="both"/>
        <w:rPr>
          <w:rFonts w:eastAsiaTheme="majorEastAsia" w:cstheme="majorBidi"/>
          <w:b/>
          <w:bCs/>
          <w:color w:val="365F91" w:themeColor="accent1" w:themeShade="BF"/>
          <w:sz w:val="28"/>
          <w:szCs w:val="28"/>
          <w:shd w:val="clear" w:color="auto" w:fill="FFFFFF"/>
          <w:lang w:val="mk-MK"/>
        </w:rPr>
      </w:pPr>
      <w:r w:rsidRPr="008662BF">
        <w:rPr>
          <w:lang w:val="mk-MK"/>
        </w:rPr>
        <w:t xml:space="preserve">Што се однесува до учеството на </w:t>
      </w:r>
      <w:r w:rsidR="00417197">
        <w:rPr>
          <w:lang w:val="mk-MK"/>
        </w:rPr>
        <w:t>Република Северна Македонија</w:t>
      </w:r>
      <w:r w:rsidRPr="008662BF">
        <w:rPr>
          <w:lang w:val="mk-MK"/>
        </w:rPr>
        <w:t xml:space="preserve"> во FP7, вкупно 105 институции учествуваа во програмата како дел од 89 проекти одобрени за финансирање. Вкупниот буџет на проектот (средства од ЕУ) изнесуваше 11,93 милиони евра.</w:t>
      </w:r>
      <w:bookmarkStart w:id="15" w:name="_Toc61096328"/>
      <w:r w:rsidR="007947BF" w:rsidRPr="008662BF">
        <w:rPr>
          <w:shd w:val="clear" w:color="auto" w:fill="FFFFFF"/>
          <w:lang w:val="mk-MK"/>
        </w:rPr>
        <w:br w:type="page"/>
      </w:r>
    </w:p>
    <w:p w14:paraId="6B8F99A3" w14:textId="3D970948" w:rsidR="004618BD" w:rsidRPr="008662BF" w:rsidRDefault="004618BD" w:rsidP="004618BD">
      <w:pPr>
        <w:pStyle w:val="Heading1"/>
        <w:numPr>
          <w:ilvl w:val="0"/>
          <w:numId w:val="54"/>
        </w:numPr>
        <w:spacing w:after="240"/>
        <w:rPr>
          <w:rFonts w:asciiTheme="minorHAnsi" w:hAnsiTheme="minorHAnsi"/>
          <w:shd w:val="clear" w:color="auto" w:fill="FFFFFF"/>
          <w:lang w:val="mk-MK"/>
        </w:rPr>
      </w:pPr>
      <w:bookmarkStart w:id="16" w:name="_Toc86916053"/>
      <w:r w:rsidRPr="008662BF">
        <w:rPr>
          <w:rFonts w:asciiTheme="minorHAnsi" w:hAnsiTheme="minorHAnsi"/>
          <w:shd w:val="clear" w:color="auto" w:fill="FFFFFF"/>
          <w:lang w:val="mk-MK"/>
        </w:rPr>
        <w:lastRenderedPageBreak/>
        <w:t xml:space="preserve">Анализа на постојните истражувачки инфраструктури во </w:t>
      </w:r>
      <w:r w:rsidR="00417197">
        <w:rPr>
          <w:rFonts w:asciiTheme="minorHAnsi" w:hAnsiTheme="minorHAnsi"/>
          <w:shd w:val="clear" w:color="auto" w:fill="FFFFFF"/>
          <w:lang w:val="mk-MK"/>
        </w:rPr>
        <w:t>Република Северна Македонија</w:t>
      </w:r>
      <w:bookmarkEnd w:id="16"/>
    </w:p>
    <w:bookmarkEnd w:id="15"/>
    <w:p w14:paraId="7F05ED22" w14:textId="25B21EA0" w:rsidR="004618BD" w:rsidRPr="008662BF" w:rsidRDefault="004618BD" w:rsidP="007947BF">
      <w:pPr>
        <w:spacing w:after="360"/>
        <w:jc w:val="both"/>
        <w:rPr>
          <w:lang w:val="mk-MK"/>
        </w:rPr>
      </w:pPr>
      <w:r w:rsidRPr="008662BF">
        <w:rPr>
          <w:lang w:val="mk-MK"/>
        </w:rPr>
        <w:t xml:space="preserve">Министерството за образование и наука испрати прашалник за доставување податоци за истражувачките инфраструктури до сите релевантни истражувачки институции во </w:t>
      </w:r>
      <w:r w:rsidR="00417197">
        <w:rPr>
          <w:lang w:val="mk-MK"/>
        </w:rPr>
        <w:t>Република Северна Македонија</w:t>
      </w:r>
      <w:r w:rsidRPr="008662BF">
        <w:rPr>
          <w:lang w:val="mk-MK"/>
        </w:rPr>
        <w:t xml:space="preserve"> во декември 2020 година. Прашалниците беа пополнети на ниво на истражувачки лаборатории и институти кои работат во рамките на јавните факултети и приватните универзитети. </w:t>
      </w:r>
      <w:r w:rsidR="00B86C70" w:rsidRPr="008662BF">
        <w:rPr>
          <w:lang w:val="mk-MK"/>
        </w:rPr>
        <w:t xml:space="preserve">Процентот </w:t>
      </w:r>
      <w:r w:rsidRPr="008662BF">
        <w:rPr>
          <w:lang w:val="mk-MK"/>
        </w:rPr>
        <w:t>на одговор беше на многу задоволително ниво бидејќи повеќето истражувачки институции одговорија на барањето. Очекувано, најголем број одговори пристигнаа од Унив</w:t>
      </w:r>
      <w:r w:rsidR="00406AAD" w:rsidRPr="008662BF">
        <w:rPr>
          <w:lang w:val="mk-MK"/>
        </w:rPr>
        <w:t xml:space="preserve">ерзитетот „Св. Кирил и Методиј“ </w:t>
      </w:r>
      <w:r w:rsidRPr="008662BF">
        <w:rPr>
          <w:lang w:val="mk-MK"/>
        </w:rPr>
        <w:t>во Скопје бидејќи тој е најзначајниот универзитет во земјата. Во поглавје 4.1 е даден преглед на истражувачките инфраструктури врз основа на пополнетите прашалници.</w:t>
      </w:r>
    </w:p>
    <w:p w14:paraId="21673959" w14:textId="77777777" w:rsidR="004618BD" w:rsidRPr="008662BF" w:rsidRDefault="004618BD" w:rsidP="004618BD">
      <w:pPr>
        <w:pStyle w:val="Heading2"/>
        <w:numPr>
          <w:ilvl w:val="1"/>
          <w:numId w:val="54"/>
        </w:numPr>
        <w:spacing w:after="240"/>
        <w:rPr>
          <w:rFonts w:asciiTheme="minorHAnsi" w:hAnsiTheme="minorHAnsi"/>
          <w:shd w:val="clear" w:color="auto" w:fill="FFFFFF"/>
          <w:lang w:val="mk-MK"/>
        </w:rPr>
      </w:pPr>
      <w:bookmarkStart w:id="17" w:name="_Toc86916054"/>
      <w:bookmarkStart w:id="18" w:name="_Toc61096329"/>
      <w:r w:rsidRPr="008662BF">
        <w:rPr>
          <w:rFonts w:asciiTheme="minorHAnsi" w:hAnsiTheme="minorHAnsi"/>
          <w:shd w:val="clear" w:color="auto" w:fill="FFFFFF"/>
          <w:lang w:val="mk-MK"/>
        </w:rPr>
        <w:t>Преглед на истражувачките инфраструктури</w:t>
      </w:r>
      <w:bookmarkEnd w:id="17"/>
    </w:p>
    <w:bookmarkEnd w:id="18"/>
    <w:p w14:paraId="100FD8E3" w14:textId="66C4EE5A" w:rsidR="007947BF" w:rsidRPr="008662BF" w:rsidRDefault="00E65DC7" w:rsidP="00E65DC7">
      <w:pPr>
        <w:jc w:val="both"/>
        <w:rPr>
          <w:lang w:val="mk-MK"/>
        </w:rPr>
      </w:pPr>
      <w:r w:rsidRPr="008662BF">
        <w:rPr>
          <w:lang w:val="mk-MK"/>
        </w:rPr>
        <w:t xml:space="preserve">И покрај фактот што универзитетите во </w:t>
      </w:r>
      <w:r w:rsidR="00417197">
        <w:rPr>
          <w:lang w:val="mk-MK"/>
        </w:rPr>
        <w:t>Република Северна Македонија</w:t>
      </w:r>
      <w:r w:rsidRPr="008662BF">
        <w:rPr>
          <w:lang w:val="mk-MK"/>
        </w:rPr>
        <w:t xml:space="preserve"> се претежно фокусирани на образованието, постојат докази дека универзитетите се занимаваат и со истражувачка дејност, во која главно учествуваат јавните универзитети. Од вкупно 70 истражувачки лаборатории/институти што одговорија на прашалникот, 20 поседуваат единечна капитална истражувачка опрема во вредност од над 50.000 евра. Што се однесува до јавните универзитети, капиталната истражувачка опрема главно се наоѓа во Универзитетот „Св. Кирил и Методиј“ во Скопје. Институтот за современи композити и роботика во Прилеп е единствената приватна истражувачка институција </w:t>
      </w:r>
      <w:r w:rsidR="004C3494">
        <w:rPr>
          <w:lang w:val="mk-MK"/>
        </w:rPr>
        <w:t>што</w:t>
      </w:r>
      <w:r w:rsidR="004C3494" w:rsidRPr="008662BF">
        <w:rPr>
          <w:lang w:val="mk-MK"/>
        </w:rPr>
        <w:t xml:space="preserve"> </w:t>
      </w:r>
      <w:r w:rsidRPr="008662BF">
        <w:rPr>
          <w:lang w:val="mk-MK"/>
        </w:rPr>
        <w:t>поседува капитална истражувачка опрема со вредност над 50.000 евра. Вкупната набавна вредност на целата евидентирана капитална истражувачка опрема (вредна над 50.000 евра) се проценува на околу 15 милиони евра (Табела 2). Сепак, треба да се забележи дека сегашната вредност на опремата е значително пониска земајќи ја предвид амортизацијата. Целосн</w:t>
      </w:r>
      <w:r w:rsidR="00B86C70" w:rsidRPr="008662BF">
        <w:rPr>
          <w:lang w:val="mk-MK"/>
        </w:rPr>
        <w:t xml:space="preserve">иот список </w:t>
      </w:r>
      <w:r w:rsidRPr="008662BF">
        <w:rPr>
          <w:lang w:val="mk-MK"/>
        </w:rPr>
        <w:t xml:space="preserve">на капиталната истражувачка опрема е претставена во </w:t>
      </w:r>
      <w:r w:rsidR="004753FD" w:rsidRPr="008662BF">
        <w:rPr>
          <w:lang w:val="mk-MK"/>
        </w:rPr>
        <w:t>Прилог 1</w:t>
      </w:r>
      <w:r w:rsidRPr="008662BF">
        <w:rPr>
          <w:lang w:val="mk-MK"/>
        </w:rPr>
        <w:t xml:space="preserve">. </w:t>
      </w:r>
    </w:p>
    <w:p w14:paraId="4B002FDE" w14:textId="043949C0" w:rsidR="00E65DC7" w:rsidRPr="008662BF" w:rsidRDefault="00E65DC7" w:rsidP="007947BF">
      <w:pPr>
        <w:jc w:val="both"/>
        <w:rPr>
          <w:lang w:val="mk-MK"/>
        </w:rPr>
      </w:pPr>
      <w:r w:rsidRPr="008662BF">
        <w:rPr>
          <w:lang w:val="mk-MK"/>
        </w:rPr>
        <w:t>Просечната старост на истражувачката опрема е 9 години. Најчестите извори на средства</w:t>
      </w:r>
      <w:r w:rsidR="004C3494">
        <w:rPr>
          <w:lang w:val="mk-MK"/>
        </w:rPr>
        <w:t>та</w:t>
      </w:r>
      <w:r w:rsidRPr="008662BF">
        <w:rPr>
          <w:lang w:val="mk-MK"/>
        </w:rPr>
        <w:t xml:space="preserve"> за набавка на опрема се Министерството за образование и наука, меѓународни</w:t>
      </w:r>
      <w:r w:rsidR="004C3494">
        <w:rPr>
          <w:lang w:val="mk-MK"/>
        </w:rPr>
        <w:t>те</w:t>
      </w:r>
      <w:r w:rsidRPr="008662BF">
        <w:rPr>
          <w:lang w:val="mk-MK"/>
        </w:rPr>
        <w:t xml:space="preserve"> донации и сопствени</w:t>
      </w:r>
      <w:r w:rsidR="004C3494">
        <w:rPr>
          <w:lang w:val="mk-MK"/>
        </w:rPr>
        <w:t>те</w:t>
      </w:r>
      <w:r w:rsidRPr="008662BF">
        <w:rPr>
          <w:lang w:val="mk-MK"/>
        </w:rPr>
        <w:t xml:space="preserve"> средства.</w:t>
      </w:r>
    </w:p>
    <w:p w14:paraId="6139225A" w14:textId="07B0BD0F" w:rsidR="00E65DC7" w:rsidRPr="008662BF" w:rsidRDefault="00E65DC7" w:rsidP="007947BF">
      <w:pPr>
        <w:spacing w:after="0"/>
        <w:jc w:val="both"/>
        <w:rPr>
          <w:lang w:val="mk-MK"/>
        </w:rPr>
      </w:pPr>
      <w:r w:rsidRPr="008662BF">
        <w:rPr>
          <w:b/>
          <w:lang w:val="mk-MK"/>
        </w:rPr>
        <w:t>Табела 2:</w:t>
      </w:r>
      <w:r w:rsidRPr="008662BF">
        <w:rPr>
          <w:lang w:val="mk-MK"/>
        </w:rPr>
        <w:t xml:space="preserve"> Општ преглед на состојбата на капиталната истражувачка опрема во истражувачките институции во </w:t>
      </w:r>
      <w:r w:rsidR="00417197">
        <w:rPr>
          <w:lang w:val="mk-MK"/>
        </w:rPr>
        <w:t>Република Северна Македонија</w:t>
      </w: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1"/>
        <w:gridCol w:w="1984"/>
        <w:gridCol w:w="2127"/>
        <w:gridCol w:w="1303"/>
      </w:tblGrid>
      <w:tr w:rsidR="007947BF" w:rsidRPr="008662BF" w14:paraId="1EEBC6B4" w14:textId="77777777" w:rsidTr="004B2AB0">
        <w:trPr>
          <w:tblHeader/>
        </w:trPr>
        <w:tc>
          <w:tcPr>
            <w:tcW w:w="3691" w:type="dxa"/>
            <w:shd w:val="clear" w:color="auto" w:fill="D9D9D9" w:themeFill="background1" w:themeFillShade="D9"/>
          </w:tcPr>
          <w:p w14:paraId="67E7B434" w14:textId="77777777" w:rsidR="007947BF" w:rsidRPr="008662BF" w:rsidRDefault="00E65DC7" w:rsidP="004B2AB0">
            <w:pPr>
              <w:spacing w:after="0" w:line="240" w:lineRule="auto"/>
              <w:rPr>
                <w:rFonts w:cstheme="minorHAnsi"/>
                <w:b/>
                <w:sz w:val="20"/>
                <w:szCs w:val="20"/>
                <w:lang w:val="mk-MK"/>
              </w:rPr>
            </w:pPr>
            <w:r w:rsidRPr="008662BF">
              <w:rPr>
                <w:rFonts w:cstheme="minorHAnsi"/>
                <w:b/>
                <w:sz w:val="20"/>
                <w:szCs w:val="20"/>
                <w:lang w:val="mk-MK"/>
              </w:rPr>
              <w:t>Универзитети/научни институции</w:t>
            </w:r>
          </w:p>
        </w:tc>
        <w:tc>
          <w:tcPr>
            <w:tcW w:w="1984" w:type="dxa"/>
            <w:shd w:val="clear" w:color="auto" w:fill="D9D9D9" w:themeFill="background1" w:themeFillShade="D9"/>
          </w:tcPr>
          <w:p w14:paraId="3EF9231B" w14:textId="77777777" w:rsidR="007947BF" w:rsidRPr="008662BF" w:rsidRDefault="00E65DC7" w:rsidP="004B2AB0">
            <w:pPr>
              <w:spacing w:after="0" w:line="240" w:lineRule="auto"/>
              <w:jc w:val="center"/>
              <w:rPr>
                <w:rFonts w:cstheme="minorHAnsi"/>
                <w:b/>
                <w:sz w:val="20"/>
                <w:szCs w:val="20"/>
                <w:lang w:val="mk-MK"/>
              </w:rPr>
            </w:pPr>
            <w:r w:rsidRPr="008662BF">
              <w:rPr>
                <w:rFonts w:cstheme="minorHAnsi"/>
                <w:b/>
                <w:sz w:val="20"/>
                <w:szCs w:val="20"/>
                <w:lang w:val="mk-MK"/>
              </w:rPr>
              <w:t>Број на истражувачки лаборатории/институти кои го пополниле прашалникот</w:t>
            </w:r>
          </w:p>
        </w:tc>
        <w:tc>
          <w:tcPr>
            <w:tcW w:w="2127" w:type="dxa"/>
            <w:shd w:val="clear" w:color="auto" w:fill="D9D9D9" w:themeFill="background1" w:themeFillShade="D9"/>
          </w:tcPr>
          <w:p w14:paraId="76C49214" w14:textId="77777777" w:rsidR="007947BF" w:rsidRPr="008662BF" w:rsidRDefault="00E65DC7" w:rsidP="004B2AB0">
            <w:pPr>
              <w:spacing w:after="0" w:line="240" w:lineRule="auto"/>
              <w:jc w:val="center"/>
              <w:rPr>
                <w:rFonts w:cstheme="minorHAnsi"/>
                <w:b/>
                <w:sz w:val="20"/>
                <w:szCs w:val="20"/>
                <w:lang w:val="mk-MK"/>
              </w:rPr>
            </w:pPr>
            <w:r w:rsidRPr="008662BF">
              <w:rPr>
                <w:rFonts w:cstheme="minorHAnsi"/>
                <w:b/>
                <w:sz w:val="20"/>
                <w:szCs w:val="20"/>
                <w:lang w:val="mk-MK"/>
              </w:rPr>
              <w:t>Број на истражувачки лаборатории/институти со опрема релевантна за Патоказот</w:t>
            </w:r>
          </w:p>
        </w:tc>
        <w:tc>
          <w:tcPr>
            <w:tcW w:w="1303" w:type="dxa"/>
            <w:shd w:val="clear" w:color="auto" w:fill="D9D9D9" w:themeFill="background1" w:themeFillShade="D9"/>
          </w:tcPr>
          <w:p w14:paraId="6E251036" w14:textId="77777777" w:rsidR="007947BF" w:rsidRPr="008662BF" w:rsidRDefault="00E65DC7" w:rsidP="004B2AB0">
            <w:pPr>
              <w:spacing w:after="0" w:line="240" w:lineRule="auto"/>
              <w:jc w:val="center"/>
              <w:rPr>
                <w:rFonts w:cstheme="minorHAnsi"/>
                <w:b/>
                <w:sz w:val="20"/>
                <w:szCs w:val="20"/>
                <w:lang w:val="mk-MK"/>
              </w:rPr>
            </w:pPr>
            <w:r w:rsidRPr="008662BF">
              <w:rPr>
                <w:rFonts w:cstheme="minorHAnsi"/>
                <w:b/>
                <w:sz w:val="20"/>
                <w:szCs w:val="20"/>
                <w:lang w:val="mk-MK"/>
              </w:rPr>
              <w:t>Вкупна набавна вредност на капитална истражувачка опрема</w:t>
            </w:r>
            <w:r w:rsidR="007947BF" w:rsidRPr="008662BF">
              <w:rPr>
                <w:rFonts w:cstheme="minorHAnsi"/>
                <w:b/>
                <w:sz w:val="20"/>
                <w:szCs w:val="20"/>
                <w:lang w:val="mk-MK"/>
              </w:rPr>
              <w:t xml:space="preserve">* </w:t>
            </w:r>
          </w:p>
        </w:tc>
      </w:tr>
      <w:tr w:rsidR="00B967A3" w:rsidRPr="008662BF" w14:paraId="24CFFD03" w14:textId="77777777" w:rsidTr="004B2AB0">
        <w:tc>
          <w:tcPr>
            <w:tcW w:w="3691" w:type="dxa"/>
          </w:tcPr>
          <w:p w14:paraId="5632AE32" w14:textId="24CEEE45" w:rsidR="00B967A3" w:rsidRPr="008662BF" w:rsidRDefault="00B967A3" w:rsidP="00B967A3">
            <w:pPr>
              <w:spacing w:after="0" w:line="240" w:lineRule="auto"/>
              <w:rPr>
                <w:sz w:val="20"/>
                <w:szCs w:val="20"/>
                <w:lang w:val="mk-MK"/>
              </w:rPr>
            </w:pPr>
            <w:r w:rsidRPr="008662BF">
              <w:rPr>
                <w:sz w:val="20"/>
                <w:szCs w:val="20"/>
                <w:lang w:val="mk-MK"/>
              </w:rPr>
              <w:t xml:space="preserve">Универзитет „Св. Кирил и Методиј“ </w:t>
            </w:r>
            <w:r w:rsidR="00E66F27">
              <w:rPr>
                <w:sz w:val="20"/>
                <w:szCs w:val="20"/>
                <w:lang w:val="mk-MK"/>
              </w:rPr>
              <w:t>–</w:t>
            </w:r>
            <w:r w:rsidRPr="008662BF">
              <w:rPr>
                <w:sz w:val="20"/>
                <w:szCs w:val="20"/>
                <w:lang w:val="mk-MK"/>
              </w:rPr>
              <w:t xml:space="preserve"> Скопје</w:t>
            </w:r>
          </w:p>
        </w:tc>
        <w:tc>
          <w:tcPr>
            <w:tcW w:w="1984" w:type="dxa"/>
          </w:tcPr>
          <w:p w14:paraId="7151A6F4"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44</w:t>
            </w:r>
          </w:p>
        </w:tc>
        <w:tc>
          <w:tcPr>
            <w:tcW w:w="2127" w:type="dxa"/>
          </w:tcPr>
          <w:p w14:paraId="647EC2F8"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15</w:t>
            </w:r>
          </w:p>
        </w:tc>
        <w:tc>
          <w:tcPr>
            <w:tcW w:w="1303" w:type="dxa"/>
          </w:tcPr>
          <w:p w14:paraId="6E0A8652"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10.200.000</w:t>
            </w:r>
          </w:p>
        </w:tc>
      </w:tr>
      <w:tr w:rsidR="00B967A3" w:rsidRPr="008662BF" w14:paraId="38AC44A0" w14:textId="77777777" w:rsidTr="004B2AB0">
        <w:tc>
          <w:tcPr>
            <w:tcW w:w="3691" w:type="dxa"/>
          </w:tcPr>
          <w:p w14:paraId="5A2A346E" w14:textId="3197844A" w:rsidR="00B967A3" w:rsidRPr="008662BF" w:rsidRDefault="00B967A3" w:rsidP="00B967A3">
            <w:pPr>
              <w:spacing w:after="0" w:line="240" w:lineRule="auto"/>
              <w:rPr>
                <w:sz w:val="20"/>
                <w:szCs w:val="20"/>
                <w:lang w:val="mk-MK"/>
              </w:rPr>
            </w:pPr>
            <w:r w:rsidRPr="008662BF">
              <w:rPr>
                <w:sz w:val="20"/>
                <w:szCs w:val="20"/>
                <w:lang w:val="mk-MK"/>
              </w:rPr>
              <w:t xml:space="preserve">Универзитет „Св. Климент Охридски“ </w:t>
            </w:r>
            <w:r w:rsidR="00E66F27">
              <w:rPr>
                <w:sz w:val="20"/>
                <w:szCs w:val="20"/>
                <w:lang w:val="mk-MK"/>
              </w:rPr>
              <w:t>–</w:t>
            </w:r>
            <w:r w:rsidRPr="008662BF">
              <w:rPr>
                <w:sz w:val="20"/>
                <w:szCs w:val="20"/>
                <w:lang w:val="mk-MK"/>
              </w:rPr>
              <w:t xml:space="preserve"> Битола</w:t>
            </w:r>
          </w:p>
        </w:tc>
        <w:tc>
          <w:tcPr>
            <w:tcW w:w="1984" w:type="dxa"/>
          </w:tcPr>
          <w:p w14:paraId="202A3FB9"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9</w:t>
            </w:r>
          </w:p>
        </w:tc>
        <w:tc>
          <w:tcPr>
            <w:tcW w:w="2127" w:type="dxa"/>
          </w:tcPr>
          <w:p w14:paraId="0FDB54EE"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1</w:t>
            </w:r>
          </w:p>
        </w:tc>
        <w:tc>
          <w:tcPr>
            <w:tcW w:w="1303" w:type="dxa"/>
          </w:tcPr>
          <w:p w14:paraId="6C55F531"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600.000</w:t>
            </w:r>
          </w:p>
        </w:tc>
      </w:tr>
      <w:tr w:rsidR="00B967A3" w:rsidRPr="008662BF" w14:paraId="3FEED7BF" w14:textId="77777777" w:rsidTr="004B2AB0">
        <w:tc>
          <w:tcPr>
            <w:tcW w:w="3691" w:type="dxa"/>
          </w:tcPr>
          <w:p w14:paraId="43D17049" w14:textId="77777777" w:rsidR="00B967A3" w:rsidRPr="008662BF" w:rsidRDefault="00B967A3" w:rsidP="00B967A3">
            <w:pPr>
              <w:spacing w:after="0" w:line="240" w:lineRule="auto"/>
              <w:rPr>
                <w:sz w:val="20"/>
                <w:szCs w:val="20"/>
                <w:lang w:val="mk-MK"/>
              </w:rPr>
            </w:pPr>
            <w:r w:rsidRPr="008662BF">
              <w:rPr>
                <w:sz w:val="20"/>
                <w:szCs w:val="20"/>
                <w:lang w:val="mk-MK"/>
              </w:rPr>
              <w:t>Универзитет „Гоце Делчев“</w:t>
            </w:r>
          </w:p>
        </w:tc>
        <w:tc>
          <w:tcPr>
            <w:tcW w:w="1984" w:type="dxa"/>
          </w:tcPr>
          <w:p w14:paraId="54CD8945"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3</w:t>
            </w:r>
          </w:p>
        </w:tc>
        <w:tc>
          <w:tcPr>
            <w:tcW w:w="2127" w:type="dxa"/>
          </w:tcPr>
          <w:p w14:paraId="6C17F35B"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3</w:t>
            </w:r>
          </w:p>
        </w:tc>
        <w:tc>
          <w:tcPr>
            <w:tcW w:w="1303" w:type="dxa"/>
          </w:tcPr>
          <w:p w14:paraId="6DDFDB59"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2.950.000</w:t>
            </w:r>
          </w:p>
        </w:tc>
      </w:tr>
      <w:tr w:rsidR="00B967A3" w:rsidRPr="008662BF" w14:paraId="4755D16C" w14:textId="77777777" w:rsidTr="004B2AB0">
        <w:tc>
          <w:tcPr>
            <w:tcW w:w="3691" w:type="dxa"/>
          </w:tcPr>
          <w:p w14:paraId="48D7A250" w14:textId="77777777" w:rsidR="00B967A3" w:rsidRPr="008662BF" w:rsidRDefault="00B967A3" w:rsidP="00B967A3">
            <w:pPr>
              <w:spacing w:after="0" w:line="240" w:lineRule="auto"/>
              <w:rPr>
                <w:sz w:val="20"/>
                <w:szCs w:val="20"/>
                <w:lang w:val="mk-MK"/>
              </w:rPr>
            </w:pPr>
            <w:r w:rsidRPr="008662BF">
              <w:rPr>
                <w:sz w:val="20"/>
                <w:szCs w:val="20"/>
                <w:lang w:val="mk-MK"/>
              </w:rPr>
              <w:t>Универзитет „Мајка Тереза“ - Скопје</w:t>
            </w:r>
          </w:p>
        </w:tc>
        <w:tc>
          <w:tcPr>
            <w:tcW w:w="1984" w:type="dxa"/>
          </w:tcPr>
          <w:p w14:paraId="137AAE6F"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4</w:t>
            </w:r>
          </w:p>
        </w:tc>
        <w:tc>
          <w:tcPr>
            <w:tcW w:w="2127" w:type="dxa"/>
          </w:tcPr>
          <w:p w14:paraId="648283DB"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7E0956D9"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w:t>
            </w:r>
          </w:p>
        </w:tc>
      </w:tr>
      <w:tr w:rsidR="00B967A3" w:rsidRPr="008662BF" w14:paraId="0F6D25BF" w14:textId="77777777" w:rsidTr="004B2AB0">
        <w:tc>
          <w:tcPr>
            <w:tcW w:w="3691" w:type="dxa"/>
          </w:tcPr>
          <w:p w14:paraId="424FE930" w14:textId="77777777" w:rsidR="00B967A3" w:rsidRPr="008662BF" w:rsidRDefault="00B967A3" w:rsidP="00B967A3">
            <w:pPr>
              <w:spacing w:after="0" w:line="240" w:lineRule="auto"/>
              <w:rPr>
                <w:sz w:val="20"/>
                <w:szCs w:val="20"/>
                <w:lang w:val="mk-MK"/>
              </w:rPr>
            </w:pPr>
            <w:r w:rsidRPr="008662BF">
              <w:rPr>
                <w:sz w:val="20"/>
                <w:szCs w:val="20"/>
                <w:lang w:val="mk-MK"/>
              </w:rPr>
              <w:t>Универзитет во Тетово</w:t>
            </w:r>
          </w:p>
        </w:tc>
        <w:tc>
          <w:tcPr>
            <w:tcW w:w="1984" w:type="dxa"/>
          </w:tcPr>
          <w:p w14:paraId="0EB19ED2"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4F26A399"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185EFF19"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w:t>
            </w:r>
          </w:p>
        </w:tc>
      </w:tr>
      <w:tr w:rsidR="00B967A3" w:rsidRPr="008662BF" w14:paraId="4DA8622F" w14:textId="77777777" w:rsidTr="004B2AB0">
        <w:tc>
          <w:tcPr>
            <w:tcW w:w="3691" w:type="dxa"/>
          </w:tcPr>
          <w:p w14:paraId="694DC4AF" w14:textId="77777777" w:rsidR="00B967A3" w:rsidRPr="008662BF" w:rsidRDefault="00B967A3" w:rsidP="00C6796D">
            <w:pPr>
              <w:spacing w:after="0" w:line="240" w:lineRule="auto"/>
              <w:rPr>
                <w:sz w:val="20"/>
                <w:szCs w:val="20"/>
                <w:lang w:val="mk-MK"/>
              </w:rPr>
            </w:pPr>
            <w:r w:rsidRPr="008662BF">
              <w:rPr>
                <w:sz w:val="20"/>
                <w:szCs w:val="20"/>
                <w:lang w:val="mk-MK"/>
              </w:rPr>
              <w:lastRenderedPageBreak/>
              <w:t>Македонска академија на науките и уметностите</w:t>
            </w:r>
          </w:p>
        </w:tc>
        <w:tc>
          <w:tcPr>
            <w:tcW w:w="1984" w:type="dxa"/>
          </w:tcPr>
          <w:p w14:paraId="677F6588"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1D670B31"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15252926" w14:textId="77777777" w:rsidR="00B967A3" w:rsidRPr="008662BF" w:rsidRDefault="00B967A3" w:rsidP="00B967A3">
            <w:pPr>
              <w:spacing w:after="0" w:line="240" w:lineRule="auto"/>
              <w:jc w:val="center"/>
              <w:rPr>
                <w:rFonts w:cstheme="minorHAnsi"/>
                <w:sz w:val="20"/>
                <w:szCs w:val="20"/>
                <w:lang w:val="mk-MK"/>
              </w:rPr>
            </w:pPr>
            <w:r w:rsidRPr="008662BF">
              <w:rPr>
                <w:rFonts w:cstheme="minorHAnsi"/>
                <w:sz w:val="20"/>
                <w:szCs w:val="20"/>
                <w:lang w:val="mk-MK"/>
              </w:rPr>
              <w:t>/</w:t>
            </w:r>
          </w:p>
        </w:tc>
      </w:tr>
      <w:tr w:rsidR="00B967A3" w:rsidRPr="008662BF" w14:paraId="5512F8D1" w14:textId="77777777" w:rsidTr="004B2AB0">
        <w:tc>
          <w:tcPr>
            <w:tcW w:w="3691" w:type="dxa"/>
          </w:tcPr>
          <w:p w14:paraId="4FCB7493" w14:textId="77777777" w:rsidR="00B967A3" w:rsidRPr="008662BF" w:rsidRDefault="00B967A3" w:rsidP="00C6796D">
            <w:pPr>
              <w:spacing w:after="0" w:line="240" w:lineRule="auto"/>
              <w:rPr>
                <w:sz w:val="20"/>
                <w:szCs w:val="20"/>
                <w:lang w:val="mk-MK"/>
              </w:rPr>
            </w:pPr>
            <w:r w:rsidRPr="008662BF">
              <w:rPr>
                <w:sz w:val="20"/>
                <w:szCs w:val="20"/>
                <w:lang w:val="mk-MK"/>
              </w:rPr>
              <w:t>Институт за духовно и културно наследство на Албанците - Скопје</w:t>
            </w:r>
          </w:p>
        </w:tc>
        <w:tc>
          <w:tcPr>
            <w:tcW w:w="1984" w:type="dxa"/>
          </w:tcPr>
          <w:p w14:paraId="4B43FA87"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09EEDFB1"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2C084A31"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w:t>
            </w:r>
          </w:p>
        </w:tc>
      </w:tr>
      <w:tr w:rsidR="00B967A3" w:rsidRPr="008662BF" w14:paraId="60E80353" w14:textId="77777777" w:rsidTr="004B2AB0">
        <w:tc>
          <w:tcPr>
            <w:tcW w:w="3691" w:type="dxa"/>
          </w:tcPr>
          <w:p w14:paraId="53E03A8C" w14:textId="1CBADFB4" w:rsidR="00B967A3" w:rsidRPr="008662BF" w:rsidRDefault="00B967A3" w:rsidP="00C6796D">
            <w:pPr>
              <w:spacing w:after="0" w:line="240" w:lineRule="auto"/>
              <w:rPr>
                <w:sz w:val="20"/>
                <w:szCs w:val="20"/>
                <w:lang w:val="mk-MK"/>
              </w:rPr>
            </w:pPr>
            <w:r w:rsidRPr="008662BF">
              <w:rPr>
                <w:sz w:val="20"/>
                <w:szCs w:val="20"/>
                <w:lang w:val="mk-MK"/>
              </w:rPr>
              <w:t xml:space="preserve">Институт за старословенска култура </w:t>
            </w:r>
            <w:r w:rsidR="00E66F27">
              <w:rPr>
                <w:sz w:val="20"/>
                <w:szCs w:val="20"/>
                <w:lang w:val="mk-MK"/>
              </w:rPr>
              <w:t>–</w:t>
            </w:r>
            <w:r w:rsidRPr="008662BF">
              <w:rPr>
                <w:sz w:val="20"/>
                <w:szCs w:val="20"/>
                <w:lang w:val="mk-MK"/>
              </w:rPr>
              <w:t xml:space="preserve"> Прилеп</w:t>
            </w:r>
          </w:p>
        </w:tc>
        <w:tc>
          <w:tcPr>
            <w:tcW w:w="1984" w:type="dxa"/>
          </w:tcPr>
          <w:p w14:paraId="5C32F7C8"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2A589537"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2361257D"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w:t>
            </w:r>
          </w:p>
        </w:tc>
      </w:tr>
      <w:tr w:rsidR="00B967A3" w:rsidRPr="008662BF" w14:paraId="70AC8CE7" w14:textId="77777777" w:rsidTr="004B2AB0">
        <w:tc>
          <w:tcPr>
            <w:tcW w:w="3691" w:type="dxa"/>
          </w:tcPr>
          <w:p w14:paraId="3FD47BF7" w14:textId="4824C78B" w:rsidR="00B967A3" w:rsidRPr="008662BF" w:rsidRDefault="00B967A3" w:rsidP="00C6796D">
            <w:pPr>
              <w:spacing w:after="0" w:line="240" w:lineRule="auto"/>
              <w:rPr>
                <w:sz w:val="20"/>
                <w:szCs w:val="20"/>
                <w:lang w:val="mk-MK"/>
              </w:rPr>
            </w:pPr>
            <w:r w:rsidRPr="008662BF">
              <w:rPr>
                <w:sz w:val="20"/>
                <w:szCs w:val="20"/>
                <w:lang w:val="mk-MK"/>
              </w:rPr>
              <w:t xml:space="preserve">Институт за современи композити и роботика </w:t>
            </w:r>
            <w:r w:rsidR="00E66F27">
              <w:rPr>
                <w:sz w:val="20"/>
                <w:szCs w:val="20"/>
                <w:lang w:val="mk-MK"/>
              </w:rPr>
              <w:t>–</w:t>
            </w:r>
            <w:r w:rsidRPr="008662BF">
              <w:rPr>
                <w:sz w:val="20"/>
                <w:szCs w:val="20"/>
                <w:lang w:val="mk-MK"/>
              </w:rPr>
              <w:t xml:space="preserve"> Прилеп</w:t>
            </w:r>
          </w:p>
        </w:tc>
        <w:tc>
          <w:tcPr>
            <w:tcW w:w="1984" w:type="dxa"/>
          </w:tcPr>
          <w:p w14:paraId="55A49363"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25B722F2"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1303" w:type="dxa"/>
          </w:tcPr>
          <w:p w14:paraId="7DC4598E"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 xml:space="preserve">1.200.000 </w:t>
            </w:r>
          </w:p>
        </w:tc>
      </w:tr>
      <w:tr w:rsidR="00B967A3" w:rsidRPr="008662BF" w14:paraId="60D7336B" w14:textId="77777777" w:rsidTr="004B2AB0">
        <w:tc>
          <w:tcPr>
            <w:tcW w:w="3691" w:type="dxa"/>
          </w:tcPr>
          <w:p w14:paraId="26A65E8C" w14:textId="46080074" w:rsidR="00B967A3" w:rsidRPr="008662BF" w:rsidRDefault="00B967A3" w:rsidP="00C6796D">
            <w:pPr>
              <w:spacing w:after="0" w:line="240" w:lineRule="auto"/>
              <w:rPr>
                <w:sz w:val="20"/>
                <w:szCs w:val="20"/>
                <w:lang w:val="mk-MK"/>
              </w:rPr>
            </w:pPr>
            <w:r w:rsidRPr="008662BF">
              <w:rPr>
                <w:sz w:val="20"/>
                <w:szCs w:val="20"/>
                <w:lang w:val="mk-MK"/>
              </w:rPr>
              <w:t>Факултет за бизнис</w:t>
            </w:r>
            <w:r w:rsidR="00E66F27">
              <w:rPr>
                <w:sz w:val="20"/>
                <w:szCs w:val="20"/>
                <w:lang w:val="mk-MK"/>
              </w:rPr>
              <w:t>-</w:t>
            </w:r>
            <w:r w:rsidRPr="008662BF">
              <w:rPr>
                <w:sz w:val="20"/>
                <w:szCs w:val="20"/>
                <w:lang w:val="mk-MK"/>
              </w:rPr>
              <w:t>економија</w:t>
            </w:r>
          </w:p>
        </w:tc>
        <w:tc>
          <w:tcPr>
            <w:tcW w:w="1984" w:type="dxa"/>
          </w:tcPr>
          <w:p w14:paraId="5785F899"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499EFA52"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72F5F57A" w14:textId="77777777" w:rsidR="00B967A3" w:rsidRPr="008662BF" w:rsidRDefault="00B967A3" w:rsidP="00C6796D">
            <w:pPr>
              <w:spacing w:after="0" w:line="240" w:lineRule="auto"/>
              <w:jc w:val="center"/>
              <w:rPr>
                <w:rFonts w:cstheme="minorHAnsi"/>
                <w:sz w:val="20"/>
                <w:szCs w:val="20"/>
                <w:lang w:val="mk-MK"/>
              </w:rPr>
            </w:pPr>
            <w:r w:rsidRPr="008662BF">
              <w:rPr>
                <w:rFonts w:cstheme="minorHAnsi"/>
                <w:sz w:val="20"/>
                <w:szCs w:val="20"/>
                <w:lang w:val="mk-MK"/>
              </w:rPr>
              <w:t>/</w:t>
            </w:r>
          </w:p>
        </w:tc>
      </w:tr>
      <w:tr w:rsidR="00C6796D" w:rsidRPr="008662BF" w14:paraId="2FE654A9" w14:textId="77777777" w:rsidTr="004B2AB0">
        <w:tc>
          <w:tcPr>
            <w:tcW w:w="3691" w:type="dxa"/>
          </w:tcPr>
          <w:p w14:paraId="3ADC7181" w14:textId="77777777" w:rsidR="00C6796D" w:rsidRPr="008662BF" w:rsidRDefault="00C6796D" w:rsidP="00C6796D">
            <w:pPr>
              <w:spacing w:after="0" w:line="240" w:lineRule="auto"/>
              <w:rPr>
                <w:sz w:val="20"/>
                <w:szCs w:val="20"/>
                <w:lang w:val="mk-MK"/>
              </w:rPr>
            </w:pPr>
            <w:r w:rsidRPr="008662BF">
              <w:rPr>
                <w:sz w:val="20"/>
                <w:szCs w:val="20"/>
                <w:lang w:val="mk-MK"/>
              </w:rPr>
              <w:t>Меѓународен словенски универзитет</w:t>
            </w:r>
          </w:p>
        </w:tc>
        <w:tc>
          <w:tcPr>
            <w:tcW w:w="1984" w:type="dxa"/>
          </w:tcPr>
          <w:p w14:paraId="35FB2F57"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0053EF68"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2F14113E"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w:t>
            </w:r>
          </w:p>
        </w:tc>
      </w:tr>
      <w:tr w:rsidR="00C6796D" w:rsidRPr="008662BF" w14:paraId="2DC09AD6" w14:textId="77777777" w:rsidTr="004B2AB0">
        <w:tc>
          <w:tcPr>
            <w:tcW w:w="3691" w:type="dxa"/>
          </w:tcPr>
          <w:p w14:paraId="324AB727" w14:textId="77777777" w:rsidR="00C6796D" w:rsidRPr="008662BF" w:rsidRDefault="00C6796D" w:rsidP="00C6796D">
            <w:pPr>
              <w:spacing w:after="0" w:line="240" w:lineRule="auto"/>
              <w:rPr>
                <w:sz w:val="20"/>
                <w:szCs w:val="20"/>
                <w:lang w:val="mk-MK"/>
              </w:rPr>
            </w:pPr>
            <w:r w:rsidRPr="008662BF">
              <w:rPr>
                <w:sz w:val="20"/>
                <w:szCs w:val="20"/>
                <w:lang w:val="mk-MK"/>
              </w:rPr>
              <w:t>Универзитет на Југоисточна Европа</w:t>
            </w:r>
          </w:p>
        </w:tc>
        <w:tc>
          <w:tcPr>
            <w:tcW w:w="1984" w:type="dxa"/>
          </w:tcPr>
          <w:p w14:paraId="77613240"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2</w:t>
            </w:r>
          </w:p>
        </w:tc>
        <w:tc>
          <w:tcPr>
            <w:tcW w:w="2127" w:type="dxa"/>
          </w:tcPr>
          <w:p w14:paraId="66D1AE58"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151A51CB"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w:t>
            </w:r>
          </w:p>
        </w:tc>
      </w:tr>
      <w:tr w:rsidR="00C6796D" w:rsidRPr="008662BF" w14:paraId="0D3A9889" w14:textId="77777777" w:rsidTr="004B2AB0">
        <w:tc>
          <w:tcPr>
            <w:tcW w:w="3691" w:type="dxa"/>
          </w:tcPr>
          <w:p w14:paraId="5100BF29" w14:textId="3C063DA1" w:rsidR="00C6796D" w:rsidRPr="008662BF" w:rsidRDefault="00C6796D" w:rsidP="00C6796D">
            <w:pPr>
              <w:spacing w:after="0" w:line="240" w:lineRule="auto"/>
              <w:rPr>
                <w:sz w:val="20"/>
                <w:szCs w:val="20"/>
                <w:lang w:val="mk-MK"/>
              </w:rPr>
            </w:pPr>
            <w:r w:rsidRPr="008662BF">
              <w:rPr>
                <w:sz w:val="20"/>
                <w:szCs w:val="20"/>
                <w:lang w:val="mk-MK"/>
              </w:rPr>
              <w:t>Бизнис</w:t>
            </w:r>
            <w:r w:rsidR="00E66F27">
              <w:rPr>
                <w:sz w:val="20"/>
                <w:szCs w:val="20"/>
                <w:lang w:val="mk-MK"/>
              </w:rPr>
              <w:t>-</w:t>
            </w:r>
            <w:r w:rsidRPr="008662BF">
              <w:rPr>
                <w:sz w:val="20"/>
                <w:szCs w:val="20"/>
                <w:lang w:val="mk-MK"/>
              </w:rPr>
              <w:t>академија Смилевски</w:t>
            </w:r>
          </w:p>
        </w:tc>
        <w:tc>
          <w:tcPr>
            <w:tcW w:w="1984" w:type="dxa"/>
          </w:tcPr>
          <w:p w14:paraId="24B2634F"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1</w:t>
            </w:r>
          </w:p>
        </w:tc>
        <w:tc>
          <w:tcPr>
            <w:tcW w:w="2127" w:type="dxa"/>
          </w:tcPr>
          <w:p w14:paraId="6A989840"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0</w:t>
            </w:r>
          </w:p>
        </w:tc>
        <w:tc>
          <w:tcPr>
            <w:tcW w:w="1303" w:type="dxa"/>
          </w:tcPr>
          <w:p w14:paraId="7B15C52F"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w:t>
            </w:r>
          </w:p>
        </w:tc>
      </w:tr>
      <w:tr w:rsidR="00C6796D" w:rsidRPr="008662BF" w14:paraId="4E4D80BD" w14:textId="77777777" w:rsidTr="004B2AB0">
        <w:tc>
          <w:tcPr>
            <w:tcW w:w="3691" w:type="dxa"/>
          </w:tcPr>
          <w:p w14:paraId="1BFA6802" w14:textId="77777777" w:rsidR="00C6796D" w:rsidRPr="008662BF" w:rsidRDefault="00C6796D" w:rsidP="00C6796D">
            <w:pPr>
              <w:spacing w:after="0" w:line="240" w:lineRule="auto"/>
              <w:rPr>
                <w:sz w:val="20"/>
                <w:szCs w:val="20"/>
                <w:lang w:val="mk-MK"/>
              </w:rPr>
            </w:pPr>
            <w:r w:rsidRPr="008662BF">
              <w:rPr>
                <w:sz w:val="20"/>
                <w:szCs w:val="20"/>
                <w:lang w:val="mk-MK"/>
              </w:rPr>
              <w:t>Универзитет Американ Колеџ Скопје</w:t>
            </w:r>
          </w:p>
        </w:tc>
        <w:tc>
          <w:tcPr>
            <w:tcW w:w="5414" w:type="dxa"/>
            <w:gridSpan w:val="3"/>
          </w:tcPr>
          <w:p w14:paraId="7074DCF4"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Пријавија дека немаат истражувачка опрема</w:t>
            </w:r>
          </w:p>
        </w:tc>
      </w:tr>
      <w:tr w:rsidR="00C6796D" w:rsidRPr="008662BF" w14:paraId="07082042" w14:textId="77777777" w:rsidTr="004B2AB0">
        <w:tc>
          <w:tcPr>
            <w:tcW w:w="3691" w:type="dxa"/>
          </w:tcPr>
          <w:p w14:paraId="0E50B57E" w14:textId="77777777" w:rsidR="00C6796D" w:rsidRPr="008662BF" w:rsidRDefault="00C6796D" w:rsidP="00C6796D">
            <w:pPr>
              <w:spacing w:after="0" w:line="240" w:lineRule="auto"/>
              <w:rPr>
                <w:sz w:val="20"/>
                <w:szCs w:val="20"/>
                <w:lang w:val="mk-MK"/>
              </w:rPr>
            </w:pPr>
            <w:r w:rsidRPr="008662BF">
              <w:rPr>
                <w:sz w:val="20"/>
                <w:szCs w:val="20"/>
                <w:lang w:val="mk-MK"/>
              </w:rPr>
              <w:t>Меѓународен универзитет Визион</w:t>
            </w:r>
          </w:p>
        </w:tc>
        <w:tc>
          <w:tcPr>
            <w:tcW w:w="5414" w:type="dxa"/>
            <w:gridSpan w:val="3"/>
          </w:tcPr>
          <w:p w14:paraId="494F6CA7"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 xml:space="preserve">Пријавија дека немаат истражувачка опрема </w:t>
            </w:r>
          </w:p>
        </w:tc>
      </w:tr>
      <w:tr w:rsidR="00C6796D" w:rsidRPr="008662BF" w14:paraId="0BA90448" w14:textId="77777777" w:rsidTr="004B2AB0">
        <w:tc>
          <w:tcPr>
            <w:tcW w:w="3691" w:type="dxa"/>
          </w:tcPr>
          <w:p w14:paraId="5DCA326E" w14:textId="77777777" w:rsidR="00C6796D" w:rsidRPr="008662BF" w:rsidRDefault="00C6796D" w:rsidP="00C6796D">
            <w:pPr>
              <w:spacing w:after="0" w:line="240" w:lineRule="auto"/>
              <w:rPr>
                <w:sz w:val="20"/>
                <w:szCs w:val="20"/>
                <w:lang w:val="mk-MK"/>
              </w:rPr>
            </w:pPr>
            <w:r w:rsidRPr="008662BF">
              <w:rPr>
                <w:sz w:val="20"/>
                <w:szCs w:val="20"/>
                <w:lang w:val="mk-MK"/>
              </w:rPr>
              <w:t>Институт ИНАКУ Скопје</w:t>
            </w:r>
          </w:p>
        </w:tc>
        <w:tc>
          <w:tcPr>
            <w:tcW w:w="5414" w:type="dxa"/>
            <w:gridSpan w:val="3"/>
          </w:tcPr>
          <w:p w14:paraId="30FD977B"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 xml:space="preserve">Пријавија дека немаат истражувачка опрема </w:t>
            </w:r>
          </w:p>
        </w:tc>
      </w:tr>
      <w:tr w:rsidR="00C6796D" w:rsidRPr="008662BF" w14:paraId="645EF8A9" w14:textId="77777777" w:rsidTr="004B2AB0">
        <w:tc>
          <w:tcPr>
            <w:tcW w:w="3691" w:type="dxa"/>
          </w:tcPr>
          <w:p w14:paraId="6E15F347" w14:textId="77777777" w:rsidR="00C6796D" w:rsidRPr="008662BF" w:rsidRDefault="00C6796D" w:rsidP="00C6796D">
            <w:pPr>
              <w:spacing w:after="0" w:line="240" w:lineRule="auto"/>
              <w:rPr>
                <w:sz w:val="20"/>
                <w:szCs w:val="20"/>
                <w:lang w:val="mk-MK"/>
              </w:rPr>
            </w:pPr>
            <w:r w:rsidRPr="008662BF">
              <w:rPr>
                <w:sz w:val="20"/>
                <w:szCs w:val="20"/>
                <w:lang w:val="mk-MK"/>
              </w:rPr>
              <w:t>Меѓународен балкански универзитет</w:t>
            </w:r>
          </w:p>
        </w:tc>
        <w:tc>
          <w:tcPr>
            <w:tcW w:w="5414" w:type="dxa"/>
            <w:gridSpan w:val="3"/>
          </w:tcPr>
          <w:p w14:paraId="5B22E2AD"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 xml:space="preserve">Пријавија дека немаат истражувачка опрема </w:t>
            </w:r>
          </w:p>
        </w:tc>
      </w:tr>
      <w:tr w:rsidR="00C6796D" w:rsidRPr="008662BF" w14:paraId="7C055FEB" w14:textId="77777777" w:rsidTr="004B2AB0">
        <w:tc>
          <w:tcPr>
            <w:tcW w:w="3691" w:type="dxa"/>
          </w:tcPr>
          <w:p w14:paraId="2A76683A" w14:textId="77777777" w:rsidR="00C6796D" w:rsidRPr="008662BF" w:rsidRDefault="00C6796D" w:rsidP="00C6796D">
            <w:pPr>
              <w:spacing w:after="0" w:line="240" w:lineRule="auto"/>
              <w:rPr>
                <w:sz w:val="20"/>
                <w:szCs w:val="20"/>
                <w:lang w:val="mk-MK"/>
              </w:rPr>
            </w:pPr>
            <w:r w:rsidRPr="008662BF">
              <w:rPr>
                <w:sz w:val="20"/>
                <w:szCs w:val="20"/>
                <w:lang w:val="mk-MK"/>
              </w:rPr>
              <w:t>Меѓународен универзитет Струга</w:t>
            </w:r>
          </w:p>
        </w:tc>
        <w:tc>
          <w:tcPr>
            <w:tcW w:w="5414" w:type="dxa"/>
            <w:gridSpan w:val="3"/>
          </w:tcPr>
          <w:p w14:paraId="1B894413"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 xml:space="preserve">Пријавија дека немаат истражувачка опрема </w:t>
            </w:r>
          </w:p>
        </w:tc>
      </w:tr>
      <w:tr w:rsidR="00C6796D" w:rsidRPr="008662BF" w14:paraId="65090ACE" w14:textId="77777777" w:rsidTr="004B2AB0">
        <w:tc>
          <w:tcPr>
            <w:tcW w:w="3691" w:type="dxa"/>
          </w:tcPr>
          <w:p w14:paraId="753DC476" w14:textId="77777777" w:rsidR="00C6796D" w:rsidRPr="008662BF" w:rsidRDefault="00C6796D" w:rsidP="00C6796D">
            <w:pPr>
              <w:spacing w:after="0" w:line="240" w:lineRule="auto"/>
              <w:rPr>
                <w:sz w:val="20"/>
                <w:szCs w:val="20"/>
                <w:lang w:val="mk-MK"/>
              </w:rPr>
            </w:pPr>
            <w:r w:rsidRPr="008662BF">
              <w:rPr>
                <w:sz w:val="20"/>
                <w:szCs w:val="20"/>
                <w:lang w:val="mk-MK"/>
              </w:rPr>
              <w:t>Универзитет за информатички науки и технологии „Свети Апостол Павле“</w:t>
            </w:r>
          </w:p>
        </w:tc>
        <w:tc>
          <w:tcPr>
            <w:tcW w:w="5414" w:type="dxa"/>
            <w:gridSpan w:val="3"/>
          </w:tcPr>
          <w:p w14:paraId="5DA6DA14" w14:textId="77777777" w:rsidR="00C6796D" w:rsidRPr="008662BF" w:rsidRDefault="00C6796D" w:rsidP="00C6796D">
            <w:pPr>
              <w:spacing w:after="0" w:line="240" w:lineRule="auto"/>
              <w:jc w:val="center"/>
              <w:rPr>
                <w:rFonts w:cstheme="minorHAnsi"/>
                <w:sz w:val="20"/>
                <w:szCs w:val="20"/>
                <w:lang w:val="mk-MK"/>
              </w:rPr>
            </w:pPr>
            <w:r w:rsidRPr="008662BF">
              <w:rPr>
                <w:rFonts w:cstheme="minorHAnsi"/>
                <w:sz w:val="20"/>
                <w:szCs w:val="20"/>
                <w:lang w:val="mk-MK"/>
              </w:rPr>
              <w:t xml:space="preserve">Пријавија дека немаат истражувачка опрема </w:t>
            </w:r>
          </w:p>
        </w:tc>
      </w:tr>
      <w:tr w:rsidR="007947BF" w:rsidRPr="008662BF" w14:paraId="50A40560" w14:textId="77777777" w:rsidTr="004B2AB0">
        <w:tc>
          <w:tcPr>
            <w:tcW w:w="3691" w:type="dxa"/>
          </w:tcPr>
          <w:p w14:paraId="26F05D00" w14:textId="77777777" w:rsidR="007947BF" w:rsidRPr="008662BF" w:rsidRDefault="00C6796D" w:rsidP="00C6796D">
            <w:pPr>
              <w:spacing w:after="0" w:line="240" w:lineRule="auto"/>
              <w:rPr>
                <w:rFonts w:cstheme="minorHAnsi"/>
                <w:b/>
                <w:sz w:val="20"/>
                <w:szCs w:val="20"/>
                <w:lang w:val="mk-MK"/>
              </w:rPr>
            </w:pPr>
            <w:r w:rsidRPr="008662BF">
              <w:rPr>
                <w:rFonts w:cstheme="minorHAnsi"/>
                <w:b/>
                <w:sz w:val="20"/>
                <w:szCs w:val="20"/>
                <w:lang w:val="mk-MK"/>
              </w:rPr>
              <w:t>Вкупно</w:t>
            </w:r>
          </w:p>
        </w:tc>
        <w:tc>
          <w:tcPr>
            <w:tcW w:w="1984" w:type="dxa"/>
          </w:tcPr>
          <w:p w14:paraId="6E2C8C82" w14:textId="77777777" w:rsidR="007947BF" w:rsidRPr="008662BF" w:rsidRDefault="007947BF" w:rsidP="004B2AB0">
            <w:pPr>
              <w:spacing w:after="0" w:line="240" w:lineRule="auto"/>
              <w:jc w:val="center"/>
              <w:rPr>
                <w:rFonts w:cstheme="minorHAnsi"/>
                <w:b/>
                <w:sz w:val="20"/>
                <w:szCs w:val="20"/>
                <w:lang w:val="mk-MK"/>
              </w:rPr>
            </w:pPr>
            <w:r w:rsidRPr="008662BF">
              <w:rPr>
                <w:rFonts w:cstheme="minorHAnsi"/>
                <w:b/>
                <w:sz w:val="20"/>
                <w:szCs w:val="20"/>
                <w:lang w:val="mk-MK"/>
              </w:rPr>
              <w:t>70</w:t>
            </w:r>
          </w:p>
        </w:tc>
        <w:tc>
          <w:tcPr>
            <w:tcW w:w="2127" w:type="dxa"/>
          </w:tcPr>
          <w:p w14:paraId="3E174A51" w14:textId="77777777" w:rsidR="007947BF" w:rsidRPr="008662BF" w:rsidRDefault="007947BF" w:rsidP="004B2AB0">
            <w:pPr>
              <w:spacing w:after="0" w:line="240" w:lineRule="auto"/>
              <w:jc w:val="center"/>
              <w:rPr>
                <w:rFonts w:cstheme="minorHAnsi"/>
                <w:b/>
                <w:sz w:val="20"/>
                <w:szCs w:val="20"/>
                <w:lang w:val="mk-MK"/>
              </w:rPr>
            </w:pPr>
            <w:r w:rsidRPr="008662BF">
              <w:rPr>
                <w:rFonts w:cstheme="minorHAnsi"/>
                <w:b/>
                <w:sz w:val="20"/>
                <w:szCs w:val="20"/>
                <w:lang w:val="mk-MK"/>
              </w:rPr>
              <w:t>20</w:t>
            </w:r>
          </w:p>
        </w:tc>
        <w:tc>
          <w:tcPr>
            <w:tcW w:w="1303" w:type="dxa"/>
          </w:tcPr>
          <w:p w14:paraId="1E8ADF44" w14:textId="77777777" w:rsidR="007947BF" w:rsidRPr="008662BF" w:rsidRDefault="007947BF" w:rsidP="004B2AB0">
            <w:pPr>
              <w:spacing w:after="0" w:line="240" w:lineRule="auto"/>
              <w:jc w:val="center"/>
              <w:rPr>
                <w:rFonts w:cstheme="minorHAnsi"/>
                <w:b/>
                <w:sz w:val="20"/>
                <w:szCs w:val="20"/>
                <w:lang w:val="mk-MK"/>
              </w:rPr>
            </w:pPr>
            <w:r w:rsidRPr="008662BF">
              <w:rPr>
                <w:rFonts w:cstheme="minorHAnsi"/>
                <w:b/>
                <w:sz w:val="20"/>
                <w:szCs w:val="20"/>
                <w:lang w:val="mk-MK"/>
              </w:rPr>
              <w:t>14.950.000</w:t>
            </w:r>
          </w:p>
        </w:tc>
      </w:tr>
    </w:tbl>
    <w:p w14:paraId="3F6F0D44" w14:textId="77777777" w:rsidR="007947BF" w:rsidRPr="008662BF" w:rsidRDefault="007947BF" w:rsidP="007947BF">
      <w:pPr>
        <w:spacing w:after="0"/>
        <w:jc w:val="both"/>
        <w:rPr>
          <w:sz w:val="20"/>
          <w:lang w:val="mk-MK"/>
        </w:rPr>
      </w:pPr>
      <w:r w:rsidRPr="008662BF">
        <w:rPr>
          <w:sz w:val="20"/>
          <w:lang w:val="mk-MK"/>
        </w:rPr>
        <w:t>*(</w:t>
      </w:r>
      <w:r w:rsidR="00C34016" w:rsidRPr="008662BF">
        <w:rPr>
          <w:sz w:val="20"/>
          <w:lang w:val="mk-MK"/>
        </w:rPr>
        <w:t>вклучува само опрема чија поединечна набавна вредност е најмалку 50.000 евра</w:t>
      </w:r>
      <w:r w:rsidRPr="008662BF">
        <w:rPr>
          <w:sz w:val="20"/>
          <w:lang w:val="mk-MK"/>
        </w:rPr>
        <w:t>)</w:t>
      </w:r>
    </w:p>
    <w:p w14:paraId="225CB7EE" w14:textId="77777777" w:rsidR="00C34016" w:rsidRPr="008662BF" w:rsidRDefault="00C34016" w:rsidP="007947BF">
      <w:pPr>
        <w:jc w:val="both"/>
        <w:rPr>
          <w:rFonts w:cs="Times New Roman"/>
          <w:sz w:val="20"/>
          <w:lang w:val="mk-MK"/>
        </w:rPr>
      </w:pPr>
      <w:r w:rsidRPr="008662BF">
        <w:rPr>
          <w:rFonts w:cs="Times New Roman"/>
          <w:sz w:val="20"/>
          <w:lang w:val="mk-MK"/>
        </w:rPr>
        <w:t>Извор: TE – Тим на експерти, анализа на собрани прашалници</w:t>
      </w:r>
    </w:p>
    <w:p w14:paraId="5A08F136" w14:textId="77777777" w:rsidR="007947BF" w:rsidRPr="008662BF" w:rsidRDefault="00C34016" w:rsidP="007947BF">
      <w:pPr>
        <w:jc w:val="both"/>
        <w:rPr>
          <w:lang w:val="mk-MK"/>
        </w:rPr>
      </w:pPr>
      <w:r w:rsidRPr="008662BF">
        <w:rPr>
          <w:lang w:val="mk-MK"/>
        </w:rPr>
        <w:t xml:space="preserve">Во </w:t>
      </w:r>
      <w:r w:rsidR="00E42624" w:rsidRPr="008662BF">
        <w:rPr>
          <w:lang w:val="mk-MK"/>
        </w:rPr>
        <w:t xml:space="preserve">точките </w:t>
      </w:r>
      <w:r w:rsidRPr="008662BF">
        <w:rPr>
          <w:lang w:val="mk-MK"/>
        </w:rPr>
        <w:t xml:space="preserve">во продолжение се дадени основни информации за истражувачките институции во кои е забележан најголем истражувачки потенцијал и капитална истражувачка опрема. Покрај тоа, дадени се и информации за услугите што ги </w:t>
      </w:r>
      <w:r w:rsidR="00E42624" w:rsidRPr="008662BF">
        <w:rPr>
          <w:lang w:val="mk-MK"/>
        </w:rPr>
        <w:t xml:space="preserve">обезбедува </w:t>
      </w:r>
      <w:r w:rsidRPr="008662BF">
        <w:rPr>
          <w:lang w:val="mk-MK"/>
        </w:rPr>
        <w:t>секоја од истражувачките лаборатории/институти</w:t>
      </w:r>
      <w:r w:rsidR="003F7535" w:rsidRPr="008662BF">
        <w:rPr>
          <w:lang w:val="mk-MK"/>
        </w:rPr>
        <w:t>.</w:t>
      </w:r>
    </w:p>
    <w:p w14:paraId="241A96F6" w14:textId="77777777" w:rsidR="007947BF" w:rsidRPr="008662BF" w:rsidRDefault="007947BF" w:rsidP="007947BF">
      <w:pPr>
        <w:jc w:val="both"/>
        <w:rPr>
          <w:lang w:val="mk-MK"/>
        </w:rPr>
      </w:pPr>
    </w:p>
    <w:p w14:paraId="2B1E15E3" w14:textId="77777777" w:rsidR="003F7535" w:rsidRPr="008662BF" w:rsidRDefault="003F7535" w:rsidP="003F7535">
      <w:pPr>
        <w:pStyle w:val="Heading3"/>
        <w:numPr>
          <w:ilvl w:val="2"/>
          <w:numId w:val="54"/>
        </w:numPr>
        <w:spacing w:after="240"/>
        <w:rPr>
          <w:rFonts w:asciiTheme="minorHAnsi" w:hAnsiTheme="minorHAnsi"/>
          <w:lang w:val="mk-MK"/>
        </w:rPr>
      </w:pPr>
      <w:bookmarkStart w:id="19" w:name="_Toc86916055"/>
      <w:r w:rsidRPr="008662BF">
        <w:rPr>
          <w:rFonts w:asciiTheme="minorHAnsi" w:hAnsiTheme="minorHAnsi"/>
          <w:lang w:val="mk-MK"/>
        </w:rPr>
        <w:t>Ун</w:t>
      </w:r>
      <w:r w:rsidR="007577DD" w:rsidRPr="008662BF">
        <w:rPr>
          <w:rFonts w:asciiTheme="minorHAnsi" w:hAnsiTheme="minorHAnsi"/>
          <w:lang w:val="mk-MK"/>
        </w:rPr>
        <w:t>иверзитет „Св. Кирил и Методиј“</w:t>
      </w:r>
      <w:r w:rsidR="009E2032" w:rsidRPr="008662BF">
        <w:rPr>
          <w:rFonts w:asciiTheme="minorHAnsi" w:hAnsiTheme="minorHAnsi"/>
          <w:lang w:val="mk-MK"/>
        </w:rPr>
        <w:t xml:space="preserve"> - </w:t>
      </w:r>
      <w:r w:rsidRPr="008662BF">
        <w:rPr>
          <w:rFonts w:asciiTheme="minorHAnsi" w:hAnsiTheme="minorHAnsi"/>
          <w:lang w:val="mk-MK"/>
        </w:rPr>
        <w:t>Скопје (УКИМ)</w:t>
      </w:r>
      <w:bookmarkEnd w:id="19"/>
    </w:p>
    <w:p w14:paraId="3C3A79FC" w14:textId="30B7DAAF" w:rsidR="007947BF" w:rsidRPr="008662BF" w:rsidRDefault="000837C4" w:rsidP="007947BF">
      <w:pPr>
        <w:jc w:val="both"/>
        <w:rPr>
          <w:lang w:val="mk-MK"/>
        </w:rPr>
      </w:pPr>
      <w:r w:rsidRPr="008662BF">
        <w:rPr>
          <w:lang w:val="mk-MK"/>
        </w:rPr>
        <w:t>Унив</w:t>
      </w:r>
      <w:r w:rsidR="007577DD" w:rsidRPr="008662BF">
        <w:rPr>
          <w:lang w:val="mk-MK"/>
        </w:rPr>
        <w:t>ерзитетот „Св. Кирил и Методиј“</w:t>
      </w:r>
      <w:r w:rsidR="00E66F27">
        <w:rPr>
          <w:lang w:val="mk-MK"/>
        </w:rPr>
        <w:t xml:space="preserve"> </w:t>
      </w:r>
      <w:r w:rsidRPr="008662BF">
        <w:rPr>
          <w:lang w:val="mk-MK"/>
        </w:rPr>
        <w:t xml:space="preserve">во Скопје е првиот државен универзитет во Република </w:t>
      </w:r>
      <w:r w:rsidR="00417197">
        <w:rPr>
          <w:lang w:val="mk-MK"/>
        </w:rPr>
        <w:t>Република Северна Македонија</w:t>
      </w:r>
      <w:r w:rsidRPr="008662BF">
        <w:rPr>
          <w:lang w:val="mk-MK"/>
        </w:rPr>
        <w:t>, формиран во 1949 година. Тој претставува заедница на 23 факултети, 5 научни институти, 4 јавни научни установи – придружни членки, 1 придружна членка – друга високообразовна установа и 7 придружни членки – други организации. На Унив</w:t>
      </w:r>
      <w:r w:rsidR="007577DD" w:rsidRPr="008662BF">
        <w:rPr>
          <w:lang w:val="mk-MK"/>
        </w:rPr>
        <w:t>ерзитетот „Св. Кирил и Методиј“</w:t>
      </w:r>
      <w:r w:rsidRPr="008662BF">
        <w:rPr>
          <w:lang w:val="mk-MK"/>
        </w:rPr>
        <w:t>во Скопје постојат студиски програми во сите научни области</w:t>
      </w:r>
      <w:r w:rsidR="00E66F27">
        <w:rPr>
          <w:lang w:val="mk-MK"/>
        </w:rPr>
        <w:t>:</w:t>
      </w:r>
      <w:r w:rsidRPr="008662BF">
        <w:rPr>
          <w:lang w:val="mk-MK"/>
        </w:rPr>
        <w:t xml:space="preserve"> природно-математичките, техничко-технолошките, медицинските науки и здравствoто, биотехничките, општествените, хуманистичките науки и во уметностите. Истражувачката работа се одвива на факултетите и на независните научни институти во состав на Универзитетот. Во реализацијата на наставно-образовниот и научниот процес на факултетите и институтите учествуваат</w:t>
      </w:r>
      <w:r w:rsidR="00E66F27">
        <w:rPr>
          <w:lang w:val="mk-MK"/>
        </w:rPr>
        <w:t xml:space="preserve"> со</w:t>
      </w:r>
      <w:r w:rsidRPr="008662BF">
        <w:rPr>
          <w:lang w:val="mk-MK"/>
        </w:rPr>
        <w:t xml:space="preserve"> над 3.100 наставно-научни и соработнички, како и административни кадри.</w:t>
      </w:r>
    </w:p>
    <w:p w14:paraId="2A668E31" w14:textId="77777777" w:rsidR="007947BF" w:rsidRPr="008662BF" w:rsidRDefault="009934B6" w:rsidP="007947BF">
      <w:pPr>
        <w:pStyle w:val="Heading4"/>
        <w:spacing w:after="240"/>
        <w:rPr>
          <w:rFonts w:asciiTheme="minorHAnsi" w:hAnsiTheme="minorHAnsi"/>
          <w:lang w:val="mk-MK"/>
        </w:rPr>
      </w:pPr>
      <w:r w:rsidRPr="008662BF">
        <w:rPr>
          <w:rFonts w:asciiTheme="minorHAnsi" w:hAnsiTheme="minorHAnsi"/>
          <w:lang w:val="mk-MK"/>
        </w:rPr>
        <w:lastRenderedPageBreak/>
        <w:t xml:space="preserve">Технолошко-металуршки факултет </w:t>
      </w:r>
    </w:p>
    <w:p w14:paraId="3B69B8E1" w14:textId="77777777" w:rsidR="007947BF" w:rsidRPr="008662BF" w:rsidRDefault="009934B6" w:rsidP="009934B6">
      <w:pPr>
        <w:pStyle w:val="Heading5"/>
        <w:spacing w:line="240" w:lineRule="auto"/>
        <w:rPr>
          <w:rFonts w:asciiTheme="minorHAnsi" w:hAnsiTheme="minorHAnsi"/>
          <w:lang w:val="mk-MK"/>
        </w:rPr>
      </w:pPr>
      <w:r w:rsidRPr="008662BF">
        <w:rPr>
          <w:rFonts w:asciiTheme="minorHAnsi" w:hAnsiTheme="minorHAnsi"/>
          <w:lang w:val="mk-MK"/>
        </w:rPr>
        <w:t xml:space="preserve">Лабораторија за анализа на материјали и наноструктура </w:t>
      </w:r>
    </w:p>
    <w:p w14:paraId="61E669BA" w14:textId="77777777" w:rsidR="009934B6" w:rsidRPr="008662BF" w:rsidRDefault="009934B6" w:rsidP="009934B6">
      <w:pPr>
        <w:spacing w:after="0"/>
        <w:rPr>
          <w:lang w:val="mk-MK"/>
        </w:rPr>
      </w:pPr>
    </w:p>
    <w:p w14:paraId="5F72E42D" w14:textId="77777777" w:rsidR="00F00D61" w:rsidRPr="008662BF" w:rsidRDefault="00F00D61" w:rsidP="007947BF">
      <w:pPr>
        <w:jc w:val="both"/>
        <w:rPr>
          <w:lang w:val="mk-MK"/>
        </w:rPr>
      </w:pPr>
      <w:r w:rsidRPr="008662BF">
        <w:rPr>
          <w:lang w:val="mk-MK"/>
        </w:rPr>
        <w:t>Во Лабораторијата за анализа на материјали и наноструктура се врши испитување и карактеризација за структурна и морфолошка анализа на сите видови материјали (неоргански: метали, керамика, композити и органски: полимери, влакна, храна, фармацевтски соединенија, природни компоненти). Лабораторијата, исто така, спроведува анализи на органска храна и биоразградливи соединенија бидејќи може да работи под низок вакуум и да скенира органски соединенија.</w:t>
      </w:r>
    </w:p>
    <w:p w14:paraId="55A889DB" w14:textId="5D9863F6" w:rsidR="00F00D61" w:rsidRPr="008662BF" w:rsidRDefault="00F00D61" w:rsidP="007947BF">
      <w:pPr>
        <w:jc w:val="both"/>
        <w:rPr>
          <w:lang w:val="mk-MK"/>
        </w:rPr>
      </w:pPr>
      <w:r w:rsidRPr="008662BF">
        <w:rPr>
          <w:lang w:val="mk-MK"/>
        </w:rPr>
        <w:t xml:space="preserve">Услугите </w:t>
      </w:r>
      <w:r w:rsidR="002F0B30" w:rsidRPr="008662BF">
        <w:rPr>
          <w:lang w:val="mk-MK"/>
        </w:rPr>
        <w:t xml:space="preserve">што ги обезбедува </w:t>
      </w:r>
      <w:r w:rsidRPr="008662BF">
        <w:rPr>
          <w:lang w:val="mk-MK"/>
        </w:rPr>
        <w:t xml:space="preserve">опфаќаат морфолошка анализа на атомско ниво на метали, пластика, керамика и сите други материјали; хемиски состав на скенираните површини; калориметриска (енергетска) вредност на масла, храна, пластика; Раман-структурна анализа на сите видови материјали; термичка анализа (термичка деградација, кристализација и топење) на сите видови материјали. </w:t>
      </w:r>
    </w:p>
    <w:p w14:paraId="3DBD8BE6" w14:textId="77777777" w:rsidR="009934B6" w:rsidRPr="008662BF" w:rsidRDefault="009934B6" w:rsidP="007947BF">
      <w:pPr>
        <w:jc w:val="both"/>
        <w:rPr>
          <w:lang w:val="mk-MK"/>
        </w:rPr>
      </w:pPr>
      <w:r w:rsidRPr="008662BF">
        <w:rPr>
          <w:lang w:val="mk-MK"/>
        </w:rPr>
        <w:t>Лабораторијата располага со капитална истражувачка опрема во вредност од над 50.000 евра. Вкупната проценета вредност на капиталната истражувачка опрема изнесува 304.000 евра (набавната вредност изнесува</w:t>
      </w:r>
      <w:r w:rsidR="00E66F27">
        <w:rPr>
          <w:lang w:val="mk-MK"/>
        </w:rPr>
        <w:t xml:space="preserve"> </w:t>
      </w:r>
      <w:r w:rsidRPr="008662BF">
        <w:rPr>
          <w:lang w:val="mk-MK"/>
        </w:rPr>
        <w:t xml:space="preserve">379.000 евра). Списокот на поединечна капитална истражувачка опрема е даден во </w:t>
      </w:r>
      <w:r w:rsidR="004753FD" w:rsidRPr="008662BF">
        <w:rPr>
          <w:lang w:val="mk-MK"/>
        </w:rPr>
        <w:t>Прилог 1</w:t>
      </w:r>
      <w:r w:rsidRPr="008662BF">
        <w:rPr>
          <w:lang w:val="mk-MK"/>
        </w:rPr>
        <w:t xml:space="preserve">. </w:t>
      </w:r>
    </w:p>
    <w:p w14:paraId="2BACBB44" w14:textId="77777777" w:rsidR="005748B9" w:rsidRPr="008662BF" w:rsidRDefault="005748B9" w:rsidP="007947BF">
      <w:pPr>
        <w:pStyle w:val="Heading5"/>
        <w:spacing w:after="240"/>
        <w:rPr>
          <w:rFonts w:asciiTheme="minorHAnsi" w:hAnsiTheme="minorHAnsi"/>
          <w:lang w:val="mk-MK"/>
        </w:rPr>
      </w:pPr>
      <w:r w:rsidRPr="008662BF">
        <w:rPr>
          <w:rFonts w:asciiTheme="minorHAnsi" w:hAnsiTheme="minorHAnsi"/>
          <w:lang w:val="mk-MK"/>
        </w:rPr>
        <w:t>Лабораторија за прехранбена технологија и биотехнологија</w:t>
      </w:r>
    </w:p>
    <w:p w14:paraId="1C98E8D6" w14:textId="77777777" w:rsidR="005748B9" w:rsidRPr="008662BF" w:rsidRDefault="005748B9" w:rsidP="005748B9">
      <w:pPr>
        <w:jc w:val="both"/>
        <w:rPr>
          <w:lang w:val="mk-MK"/>
        </w:rPr>
      </w:pPr>
      <w:r w:rsidRPr="008662BF">
        <w:rPr>
          <w:lang w:val="mk-MK"/>
        </w:rPr>
        <w:t>Лабораторијата за прехранбена технологија и биотехнологија првенствено се користи за образовниот процес. Наменета е за спроведување истражувања (национални, регионални, европски и меѓународни проекти), како и</w:t>
      </w:r>
      <w:r w:rsidR="00E66F27">
        <w:rPr>
          <w:lang w:val="mk-MK"/>
        </w:rPr>
        <w:t xml:space="preserve"> за</w:t>
      </w:r>
      <w:r w:rsidRPr="008662BF">
        <w:rPr>
          <w:lang w:val="mk-MK"/>
        </w:rPr>
        <w:t xml:space="preserve"> рутинска контрола на квалитетот на нови и иновативни прехранбени процеси, </w:t>
      </w:r>
      <w:r w:rsidR="00E66F27">
        <w:rPr>
          <w:lang w:val="mk-MK"/>
        </w:rPr>
        <w:t xml:space="preserve">на </w:t>
      </w:r>
      <w:r w:rsidRPr="008662BF">
        <w:rPr>
          <w:lang w:val="mk-MK"/>
        </w:rPr>
        <w:t>традиционални прехранбени процеси,</w:t>
      </w:r>
      <w:r w:rsidR="00E66F27">
        <w:rPr>
          <w:lang w:val="mk-MK"/>
        </w:rPr>
        <w:t xml:space="preserve"> на</w:t>
      </w:r>
      <w:r w:rsidRPr="008662BF">
        <w:rPr>
          <w:lang w:val="mk-MK"/>
        </w:rPr>
        <w:t xml:space="preserve"> прехранбени и биотехнолошки производи итн.</w:t>
      </w:r>
    </w:p>
    <w:p w14:paraId="31291802" w14:textId="77777777" w:rsidR="005748B9" w:rsidRPr="008662BF" w:rsidRDefault="005748B9" w:rsidP="005748B9">
      <w:pPr>
        <w:jc w:val="both"/>
        <w:rPr>
          <w:lang w:val="mk-MK"/>
        </w:rPr>
      </w:pPr>
      <w:r w:rsidRPr="008662BF">
        <w:rPr>
          <w:lang w:val="mk-MK"/>
        </w:rPr>
        <w:t xml:space="preserve">Услугите </w:t>
      </w:r>
      <w:r w:rsidR="002F0B30" w:rsidRPr="008662BF">
        <w:rPr>
          <w:lang w:val="mk-MK"/>
        </w:rPr>
        <w:t xml:space="preserve">што ги обезбедува </w:t>
      </w:r>
      <w:r w:rsidRPr="008662BF">
        <w:rPr>
          <w:lang w:val="mk-MK"/>
        </w:rPr>
        <w:t>опфаќаат анализа на производи (физичко-хемиски и микробиолошки својства); микроскопирање на производи; толкување и објаснување на резултати и статистичка евалуација и корелација на резултати.</w:t>
      </w:r>
    </w:p>
    <w:p w14:paraId="108ADC65" w14:textId="77777777" w:rsidR="005748B9" w:rsidRPr="008662BF" w:rsidRDefault="005748B9" w:rsidP="005748B9">
      <w:pPr>
        <w:jc w:val="both"/>
        <w:rPr>
          <w:lang w:val="mk-MK"/>
        </w:rPr>
      </w:pPr>
      <w:r w:rsidRPr="008662BF">
        <w:rPr>
          <w:lang w:val="mk-MK"/>
        </w:rPr>
        <w:t xml:space="preserve">Истражувачка опрема: во однос на капиталната истражувачка опрема, лабораторијата поседува апарат за </w:t>
      </w:r>
      <w:r w:rsidR="002F0B30" w:rsidRPr="008662BF">
        <w:rPr>
          <w:lang w:val="mk-MK"/>
        </w:rPr>
        <w:t xml:space="preserve">HPLC </w:t>
      </w:r>
      <w:r w:rsidRPr="008662BF">
        <w:rPr>
          <w:lang w:val="mk-MK"/>
        </w:rPr>
        <w:t>(течна хроматографија со високи перформанси) чија набавна цена изнесува 53.000 евра. Идните инвестиции во истражувачка опрема вклучуваат гасна хроматографија со електронски нос; флуоресцентен микроскоп; реометар и помала лабораториска опрема.</w:t>
      </w:r>
    </w:p>
    <w:p w14:paraId="3A35D619" w14:textId="77777777" w:rsidR="003F573F" w:rsidRPr="008662BF" w:rsidRDefault="003F573F" w:rsidP="007947BF">
      <w:pPr>
        <w:pStyle w:val="Heading5"/>
        <w:spacing w:after="240"/>
        <w:rPr>
          <w:rFonts w:asciiTheme="minorHAnsi" w:hAnsiTheme="minorHAnsi"/>
          <w:lang w:val="mk-MK"/>
        </w:rPr>
      </w:pPr>
      <w:r w:rsidRPr="008662BF">
        <w:rPr>
          <w:rFonts w:asciiTheme="minorHAnsi" w:hAnsiTheme="minorHAnsi"/>
          <w:lang w:val="mk-MK"/>
        </w:rPr>
        <w:t>Лабораторија за обработка на полимери</w:t>
      </w:r>
    </w:p>
    <w:p w14:paraId="3E635AE5" w14:textId="38B338B2" w:rsidR="003F573F" w:rsidRPr="008662BF" w:rsidRDefault="003F573F" w:rsidP="003F573F">
      <w:pPr>
        <w:jc w:val="both"/>
        <w:rPr>
          <w:lang w:val="mk-MK"/>
        </w:rPr>
      </w:pPr>
      <w:r w:rsidRPr="008662BF">
        <w:rPr>
          <w:lang w:val="mk-MK"/>
        </w:rPr>
        <w:t xml:space="preserve">Лабораторијата за обработка на полимери е нов објект основан во 2021 година. Поседува истражувачка инфраструктура </w:t>
      </w:r>
      <w:r w:rsidR="00036D9A">
        <w:rPr>
          <w:lang w:val="mk-MK"/>
        </w:rPr>
        <w:t>што</w:t>
      </w:r>
      <w:r w:rsidR="00036D9A" w:rsidRPr="008662BF">
        <w:rPr>
          <w:lang w:val="mk-MK"/>
        </w:rPr>
        <w:t xml:space="preserve"> </w:t>
      </w:r>
      <w:r w:rsidRPr="008662BF">
        <w:rPr>
          <w:lang w:val="mk-MK"/>
        </w:rPr>
        <w:t>се заснова на капацитети за обработка и подготовка главно наменети за обработка на полимери и композитни материјали. Главн</w:t>
      </w:r>
      <w:r w:rsidR="00036D9A">
        <w:rPr>
          <w:lang w:val="mk-MK"/>
        </w:rPr>
        <w:t>ата</w:t>
      </w:r>
      <w:r w:rsidRPr="008662BF">
        <w:rPr>
          <w:lang w:val="mk-MK"/>
        </w:rPr>
        <w:t xml:space="preserve"> цел е обезбед</w:t>
      </w:r>
      <w:r w:rsidR="00036D9A">
        <w:rPr>
          <w:lang w:val="mk-MK"/>
        </w:rPr>
        <w:t>ување</w:t>
      </w:r>
      <w:r w:rsidRPr="008662BF">
        <w:rPr>
          <w:lang w:val="mk-MK"/>
        </w:rPr>
        <w:t xml:space="preserve"> брза обработка и подготовка на различни формулации на полимерни бази за широк спектар на примена.</w:t>
      </w:r>
    </w:p>
    <w:p w14:paraId="04A2C68E" w14:textId="77777777" w:rsidR="003F573F" w:rsidRPr="008662BF" w:rsidRDefault="003F573F" w:rsidP="003F573F">
      <w:pPr>
        <w:jc w:val="both"/>
        <w:rPr>
          <w:lang w:val="mk-MK"/>
        </w:rPr>
      </w:pPr>
      <w:r w:rsidRPr="008662BF">
        <w:rPr>
          <w:lang w:val="mk-MK"/>
        </w:rPr>
        <w:lastRenderedPageBreak/>
        <w:t xml:space="preserve">Услуги што се </w:t>
      </w:r>
      <w:r w:rsidR="007C44A6" w:rsidRPr="008662BF">
        <w:rPr>
          <w:lang w:val="mk-MK"/>
        </w:rPr>
        <w:t>обезбедуваат</w:t>
      </w:r>
      <w:r w:rsidRPr="008662BF">
        <w:rPr>
          <w:lang w:val="mk-MK"/>
        </w:rPr>
        <w:t>: Корисниците се вработените лица на Технолошко-металуршкиот факултет и студентите на програмата за полимерни материјали. Намерата е да се зголеми бројот на корисници на инфраструктурата од индустријата на кои им е потребна брза подготовка на различни формулации и нивно испитување.</w:t>
      </w:r>
    </w:p>
    <w:p w14:paraId="73A7F45F" w14:textId="4E92CBEC" w:rsidR="003F573F" w:rsidRPr="008662BF" w:rsidRDefault="001E7AE5" w:rsidP="003F573F">
      <w:pPr>
        <w:jc w:val="both"/>
        <w:rPr>
          <w:lang w:val="mk-MK"/>
        </w:rPr>
      </w:pPr>
      <w:r w:rsidRPr="008662BF">
        <w:rPr>
          <w:lang w:val="mk-MK"/>
        </w:rPr>
        <w:t>Истражувачка опрема: л</w:t>
      </w:r>
      <w:r w:rsidR="003F573F" w:rsidRPr="008662BF">
        <w:rPr>
          <w:lang w:val="mk-MK"/>
        </w:rPr>
        <w:t>абораторијата е опремена со истражувачки инструменти. Средствата за набавка на опремата се обезбедени преку Програмата на НАТО - Наука за мир и безбедност. Набавена е</w:t>
      </w:r>
      <w:r w:rsidR="007C44A6" w:rsidRPr="008662BF">
        <w:rPr>
          <w:lang w:val="mk-MK"/>
        </w:rPr>
        <w:t xml:space="preserve"> следната истражувачка опрема: м</w:t>
      </w:r>
      <w:r w:rsidR="003F573F" w:rsidRPr="008662BF">
        <w:rPr>
          <w:lang w:val="mk-MK"/>
        </w:rPr>
        <w:t>ашина за електропредење, рамни и барабан</w:t>
      </w:r>
      <w:r w:rsidR="00036D9A">
        <w:rPr>
          <w:lang w:val="mk-MK"/>
        </w:rPr>
        <w:t>-</w:t>
      </w:r>
      <w:r w:rsidR="003F573F" w:rsidRPr="008662BF">
        <w:rPr>
          <w:lang w:val="mk-MK"/>
        </w:rPr>
        <w:t>колектори и коаксијално електропредење (вкупно 22.000 евра); екструдер (40.000 евра); ултразвучен процесор (5.000 евра) и ротирачки нанесувач (spin-coater) (2.200 евра).</w:t>
      </w:r>
    </w:p>
    <w:p w14:paraId="0D56E8F6" w14:textId="77777777" w:rsidR="00541F24" w:rsidRPr="008662BF" w:rsidRDefault="00C7477F" w:rsidP="007947BF">
      <w:pPr>
        <w:pStyle w:val="Heading5"/>
        <w:spacing w:after="240"/>
        <w:rPr>
          <w:rFonts w:asciiTheme="minorHAnsi" w:hAnsiTheme="minorHAnsi"/>
          <w:lang w:val="mk-MK"/>
        </w:rPr>
      </w:pPr>
      <w:r w:rsidRPr="008662BF">
        <w:rPr>
          <w:rFonts w:asciiTheme="minorHAnsi" w:hAnsiTheme="minorHAnsi"/>
          <w:lang w:val="mk-MK"/>
        </w:rPr>
        <w:t>Текстилна лабораторија</w:t>
      </w:r>
    </w:p>
    <w:p w14:paraId="5A33D000" w14:textId="77777777" w:rsidR="00541F24" w:rsidRPr="008662BF" w:rsidRDefault="00541F24" w:rsidP="00541F24">
      <w:pPr>
        <w:jc w:val="both"/>
        <w:rPr>
          <w:lang w:val="mk-MK"/>
        </w:rPr>
      </w:pPr>
      <w:r w:rsidRPr="008662BF">
        <w:rPr>
          <w:lang w:val="mk-MK"/>
        </w:rPr>
        <w:t>Текстилната лабораторија на Технолошко-металуршкиот факултет е формирана во 2012 година. Главната цел на лабораторијата е спроведува</w:t>
      </w:r>
      <w:r w:rsidR="007C44A6" w:rsidRPr="008662BF">
        <w:rPr>
          <w:lang w:val="mk-MK"/>
        </w:rPr>
        <w:t>ње</w:t>
      </w:r>
      <w:r w:rsidRPr="008662BF">
        <w:rPr>
          <w:lang w:val="mk-MK"/>
        </w:rPr>
        <w:t xml:space="preserve"> истражувања и обезбедува</w:t>
      </w:r>
      <w:r w:rsidR="007C44A6" w:rsidRPr="008662BF">
        <w:rPr>
          <w:lang w:val="mk-MK"/>
        </w:rPr>
        <w:t>ње</w:t>
      </w:r>
      <w:r w:rsidRPr="008662BF">
        <w:rPr>
          <w:lang w:val="mk-MK"/>
        </w:rPr>
        <w:t xml:space="preserve"> услуги за текстилната индустрија, како и развој на производи. Исто така, спроведува истражувачки проекти со индустријата и работи на заеднички проекти со други универзитети или субјекти во регионот и пошироко.</w:t>
      </w:r>
    </w:p>
    <w:p w14:paraId="10BF7767" w14:textId="77777777" w:rsidR="00541F24" w:rsidRPr="008662BF" w:rsidRDefault="00541F24" w:rsidP="00541F24">
      <w:pPr>
        <w:jc w:val="both"/>
        <w:rPr>
          <w:lang w:val="mk-MK"/>
        </w:rPr>
      </w:pPr>
      <w:r w:rsidRPr="008662BF">
        <w:rPr>
          <w:lang w:val="mk-MK"/>
        </w:rPr>
        <w:t xml:space="preserve">Услуги што </w:t>
      </w:r>
      <w:r w:rsidR="007C44A6" w:rsidRPr="008662BF">
        <w:rPr>
          <w:lang w:val="mk-MK"/>
        </w:rPr>
        <w:t xml:space="preserve">се </w:t>
      </w:r>
      <w:r w:rsidRPr="008662BF">
        <w:rPr>
          <w:lang w:val="mk-MK"/>
        </w:rPr>
        <w:t>обезбедува</w:t>
      </w:r>
      <w:r w:rsidR="007C44A6" w:rsidRPr="008662BF">
        <w:rPr>
          <w:lang w:val="mk-MK"/>
        </w:rPr>
        <w:t>ат</w:t>
      </w:r>
      <w:r w:rsidRPr="008662BF">
        <w:rPr>
          <w:lang w:val="mk-MK"/>
        </w:rPr>
        <w:t xml:space="preserve">: квантитативна хемиска анализа; испитување на постојаност на бојата; мерење на бојата на површината; определување на pH на воден екстракт; определување промена на димензии при перење и сушење; ткаени и плетени ткаенини - структура - методи на анализа; определување на склоност на ткаенина на развласување на површината и на пилинг; определување на отпорноста на абразија на ткаенините со метод на </w:t>
      </w:r>
      <w:r w:rsidRPr="009D131E">
        <w:rPr>
          <w:lang w:val="mk-MK"/>
        </w:rPr>
        <w:t>Мартинд</w:t>
      </w:r>
      <w:r w:rsidR="009D131E" w:rsidRPr="009D131E">
        <w:rPr>
          <w:lang w:val="mk-MK"/>
        </w:rPr>
        <w:t>ејл</w:t>
      </w:r>
      <w:r w:rsidRPr="009D131E">
        <w:rPr>
          <w:lang w:val="mk-MK"/>
        </w:rPr>
        <w:t>;</w:t>
      </w:r>
      <w:r w:rsidRPr="008662BF">
        <w:rPr>
          <w:lang w:val="mk-MK"/>
        </w:rPr>
        <w:t xml:space="preserve"> механички својства на ткаенините; механички својства на шевот на ткаенините и готови производи од текстил; определување на отпорност на лизгање на предивото во шевот на ткаенината; определување на јачина на цепење на ткаенини; определување на пропустливост на воздух на ткаенините; испитување шивливост на текстилни  материјали; итн.</w:t>
      </w:r>
    </w:p>
    <w:p w14:paraId="1C54775F" w14:textId="77777777" w:rsidR="00133AA8" w:rsidRPr="008662BF" w:rsidRDefault="00133AA8" w:rsidP="007947BF">
      <w:pPr>
        <w:jc w:val="both"/>
        <w:rPr>
          <w:lang w:val="mk-MK"/>
        </w:rPr>
      </w:pPr>
      <w:r w:rsidRPr="008662BF">
        <w:rPr>
          <w:lang w:val="mk-MK"/>
        </w:rPr>
        <w:t>Истражувачката опрема е набавена во рамките на проектот спроведен од Министерството за образование и наука во 2010 година. Вкупната набавна вредност на набавената истражувачка опрема изнесува 156.000 евра (сегашната вредност се проценува на 78.000 евра).</w:t>
      </w:r>
    </w:p>
    <w:p w14:paraId="6F743FE4" w14:textId="77777777" w:rsidR="00444EB0" w:rsidRPr="008662BF" w:rsidRDefault="00444EB0" w:rsidP="007947BF">
      <w:pPr>
        <w:spacing w:after="0"/>
        <w:jc w:val="both"/>
        <w:rPr>
          <w:lang w:val="mk-MK"/>
        </w:rPr>
      </w:pPr>
      <w:r w:rsidRPr="008662BF">
        <w:rPr>
          <w:lang w:val="mk-MK"/>
        </w:rPr>
        <w:t>Покрај споменатите истражувачки лаборатории, Технолошко-металуршкиот факултет ја поседува и следната истражувачка опрема без припишана вредност:</w:t>
      </w:r>
    </w:p>
    <w:p w14:paraId="59C3F980" w14:textId="77777777" w:rsidR="00444EB0" w:rsidRPr="008662BF" w:rsidRDefault="00444EB0" w:rsidP="00444EB0">
      <w:pPr>
        <w:pStyle w:val="ListParagraph"/>
        <w:numPr>
          <w:ilvl w:val="0"/>
          <w:numId w:val="37"/>
        </w:numPr>
        <w:jc w:val="both"/>
        <w:rPr>
          <w:lang w:val="mk-MK"/>
        </w:rPr>
      </w:pPr>
      <w:r w:rsidRPr="008662BF">
        <w:rPr>
          <w:lang w:val="mk-MK"/>
        </w:rPr>
        <w:t>Атомска апсорпциона спектроскопија - е спектроаналитичка постапка за квантитативно определување на хемиските елементи со помош на апсорпција на оптичко зрачење (светлина) од слободни атоми во гасовита состојба. Атомската апсорпциона спектроскопија се заснова на апсорпција на светлина од слободни метални јони.</w:t>
      </w:r>
    </w:p>
    <w:p w14:paraId="4E477E16" w14:textId="70A5EC9B" w:rsidR="004F361C" w:rsidRPr="008662BF" w:rsidRDefault="004F361C" w:rsidP="004F361C">
      <w:pPr>
        <w:pStyle w:val="ListParagraph"/>
        <w:numPr>
          <w:ilvl w:val="0"/>
          <w:numId w:val="37"/>
        </w:numPr>
        <w:jc w:val="both"/>
        <w:rPr>
          <w:lang w:val="mk-MK"/>
        </w:rPr>
      </w:pPr>
      <w:r w:rsidRPr="008662BF">
        <w:rPr>
          <w:lang w:val="mk-MK"/>
        </w:rPr>
        <w:t xml:space="preserve">Потенциостат/галваностат со висока струја - ова е основна опрема за современите електрохемиски истражувања </w:t>
      </w:r>
      <w:r w:rsidR="00036D9A">
        <w:rPr>
          <w:lang w:val="mk-MK"/>
        </w:rPr>
        <w:t>што</w:t>
      </w:r>
      <w:r w:rsidR="00036D9A" w:rsidRPr="008662BF">
        <w:rPr>
          <w:lang w:val="mk-MK"/>
        </w:rPr>
        <w:t xml:space="preserve"> </w:t>
      </w:r>
      <w:r w:rsidRPr="008662BF">
        <w:rPr>
          <w:lang w:val="mk-MK"/>
        </w:rPr>
        <w:t>користи три електродни системи за испитување на механизмите на реакција во оксидационо-редукциони реакции и</w:t>
      </w:r>
      <w:r w:rsidR="00036D9A">
        <w:rPr>
          <w:lang w:val="mk-MK"/>
        </w:rPr>
        <w:t xml:space="preserve"> на</w:t>
      </w:r>
      <w:r w:rsidRPr="008662BF">
        <w:rPr>
          <w:lang w:val="mk-MK"/>
        </w:rPr>
        <w:t xml:space="preserve"> други хемиски појави. </w:t>
      </w:r>
    </w:p>
    <w:p w14:paraId="27BD02FC" w14:textId="77777777" w:rsidR="00D96197" w:rsidRPr="008662BF" w:rsidRDefault="00D96197" w:rsidP="00D96197">
      <w:pPr>
        <w:pStyle w:val="ListParagraph"/>
        <w:numPr>
          <w:ilvl w:val="0"/>
          <w:numId w:val="37"/>
        </w:numPr>
        <w:jc w:val="both"/>
        <w:rPr>
          <w:lang w:val="mk-MK"/>
        </w:rPr>
      </w:pPr>
      <w:r w:rsidRPr="008662BF">
        <w:rPr>
          <w:lang w:val="mk-MK"/>
        </w:rPr>
        <w:t>Електрохемиски р</w:t>
      </w:r>
      <w:r w:rsidR="004943F1" w:rsidRPr="008662BF">
        <w:rPr>
          <w:lang w:val="mk-MK"/>
        </w:rPr>
        <w:t>еактор со висока температура - и</w:t>
      </w:r>
      <w:r w:rsidRPr="008662BF">
        <w:rPr>
          <w:lang w:val="mk-MK"/>
        </w:rPr>
        <w:t>зведување електрохемиски експерименти во растопени соли.</w:t>
      </w:r>
    </w:p>
    <w:p w14:paraId="19285417" w14:textId="77777777" w:rsidR="00D96197" w:rsidRPr="008662BF" w:rsidRDefault="00D96197" w:rsidP="007947BF">
      <w:pPr>
        <w:spacing w:after="0"/>
        <w:jc w:val="both"/>
        <w:rPr>
          <w:lang w:val="mk-MK"/>
        </w:rPr>
      </w:pPr>
      <w:r w:rsidRPr="008662BF">
        <w:rPr>
          <w:lang w:val="mk-MK"/>
        </w:rPr>
        <w:lastRenderedPageBreak/>
        <w:t xml:space="preserve">Во поглед на полимерната хемија и физика, полимерната технологија и полимерните композити, Факултетот ги обезбедува следниве услуги: </w:t>
      </w:r>
    </w:p>
    <w:p w14:paraId="3B2EC854" w14:textId="77777777" w:rsidR="005B2E0A" w:rsidRPr="008662BF" w:rsidRDefault="005B2E0A" w:rsidP="005B2E0A">
      <w:pPr>
        <w:pStyle w:val="ListParagraph"/>
        <w:numPr>
          <w:ilvl w:val="0"/>
          <w:numId w:val="38"/>
        </w:numPr>
        <w:jc w:val="both"/>
        <w:rPr>
          <w:lang w:val="mk-MK"/>
        </w:rPr>
      </w:pPr>
      <w:r w:rsidRPr="008662BF">
        <w:rPr>
          <w:lang w:val="mk-MK"/>
        </w:rPr>
        <w:t>Ласерска аблација на полимери и полимерни нанокомпозити</w:t>
      </w:r>
    </w:p>
    <w:p w14:paraId="0CC80D6B" w14:textId="77777777" w:rsidR="005B2E0A" w:rsidRPr="008662BF" w:rsidRDefault="005B2E0A" w:rsidP="005B2E0A">
      <w:pPr>
        <w:pStyle w:val="ListParagraph"/>
        <w:numPr>
          <w:ilvl w:val="0"/>
          <w:numId w:val="38"/>
        </w:numPr>
        <w:jc w:val="both"/>
        <w:rPr>
          <w:lang w:val="mk-MK"/>
        </w:rPr>
      </w:pPr>
      <w:r w:rsidRPr="008662BF">
        <w:rPr>
          <w:lang w:val="mk-MK"/>
        </w:rPr>
        <w:t>УВ/ВИС спектроскопски мерења на полимери и полимерни композити</w:t>
      </w:r>
    </w:p>
    <w:p w14:paraId="71B77F9C" w14:textId="77777777" w:rsidR="005B2E0A" w:rsidRPr="008662BF" w:rsidRDefault="005B2E0A" w:rsidP="005B2E0A">
      <w:pPr>
        <w:pStyle w:val="ListParagraph"/>
        <w:numPr>
          <w:ilvl w:val="0"/>
          <w:numId w:val="38"/>
        </w:numPr>
        <w:jc w:val="both"/>
        <w:rPr>
          <w:lang w:val="mk-MK"/>
        </w:rPr>
      </w:pPr>
      <w:r w:rsidRPr="008662BF">
        <w:rPr>
          <w:lang w:val="mk-MK"/>
        </w:rPr>
        <w:t>Мерења на контактниот агол на полимери и полимерни нанокомпозити</w:t>
      </w:r>
    </w:p>
    <w:p w14:paraId="27A7774A" w14:textId="77777777" w:rsidR="005B2E0A" w:rsidRPr="008662BF" w:rsidRDefault="005B2E0A" w:rsidP="005B2E0A">
      <w:pPr>
        <w:pStyle w:val="ListParagraph"/>
        <w:numPr>
          <w:ilvl w:val="0"/>
          <w:numId w:val="38"/>
        </w:numPr>
        <w:jc w:val="both"/>
        <w:rPr>
          <w:lang w:val="mk-MK"/>
        </w:rPr>
      </w:pPr>
      <w:r w:rsidRPr="008662BF">
        <w:rPr>
          <w:lang w:val="mk-MK"/>
        </w:rPr>
        <w:t>Механичко испитување на полимери</w:t>
      </w:r>
    </w:p>
    <w:p w14:paraId="5E980FD9" w14:textId="77777777" w:rsidR="005B2E0A" w:rsidRPr="008662BF" w:rsidRDefault="005B2E0A" w:rsidP="005B2E0A">
      <w:pPr>
        <w:pStyle w:val="ListParagraph"/>
        <w:numPr>
          <w:ilvl w:val="0"/>
          <w:numId w:val="38"/>
        </w:numPr>
        <w:jc w:val="both"/>
        <w:rPr>
          <w:lang w:val="mk-MK"/>
        </w:rPr>
      </w:pPr>
      <w:r w:rsidRPr="008662BF">
        <w:rPr>
          <w:lang w:val="mk-MK"/>
        </w:rPr>
        <w:t xml:space="preserve">Мерење на спроводливост на полимери и полимерни нанокомпозити </w:t>
      </w:r>
    </w:p>
    <w:p w14:paraId="0AA4D9FE" w14:textId="77777777" w:rsidR="005B2E0A" w:rsidRPr="008662BF" w:rsidRDefault="005B2E0A" w:rsidP="005B2E0A">
      <w:pPr>
        <w:pStyle w:val="ListParagraph"/>
        <w:numPr>
          <w:ilvl w:val="0"/>
          <w:numId w:val="38"/>
        </w:numPr>
        <w:jc w:val="both"/>
        <w:rPr>
          <w:lang w:val="mk-MK"/>
        </w:rPr>
      </w:pPr>
      <w:r w:rsidRPr="008662BF">
        <w:rPr>
          <w:lang w:val="mk-MK"/>
        </w:rPr>
        <w:t>Мерење со сензор на полимери и полимерни нанокомпозити</w:t>
      </w:r>
    </w:p>
    <w:p w14:paraId="714B96CC" w14:textId="77777777" w:rsidR="005B2E0A" w:rsidRPr="008662BF" w:rsidRDefault="005B2E0A" w:rsidP="007947BF">
      <w:pPr>
        <w:spacing w:after="0"/>
        <w:jc w:val="both"/>
        <w:rPr>
          <w:lang w:val="mk-MK"/>
        </w:rPr>
      </w:pPr>
      <w:r w:rsidRPr="008662BF">
        <w:rPr>
          <w:lang w:val="mk-MK"/>
        </w:rPr>
        <w:t xml:space="preserve">Овие услуги се обезбедуваат со користење на следниве истражувачки инструменти: </w:t>
      </w:r>
    </w:p>
    <w:p w14:paraId="7BE512C8" w14:textId="77777777" w:rsidR="005B2E0A" w:rsidRPr="008662BF" w:rsidRDefault="005B2E0A" w:rsidP="005B2E0A">
      <w:pPr>
        <w:pStyle w:val="ListParagraph"/>
        <w:numPr>
          <w:ilvl w:val="0"/>
          <w:numId w:val="25"/>
        </w:numPr>
        <w:jc w:val="both"/>
        <w:rPr>
          <w:lang w:val="mk-MK"/>
        </w:rPr>
      </w:pPr>
      <w:r w:rsidRPr="008662BF">
        <w:rPr>
          <w:lang w:val="mk-MK"/>
        </w:rPr>
        <w:t>IR CO2 ласер, LADEC LTD</w:t>
      </w:r>
    </w:p>
    <w:p w14:paraId="1E0E7A78" w14:textId="77777777" w:rsidR="005B2E0A" w:rsidRPr="008662BF" w:rsidRDefault="005B2E0A" w:rsidP="005B2E0A">
      <w:pPr>
        <w:pStyle w:val="ListParagraph"/>
        <w:numPr>
          <w:ilvl w:val="0"/>
          <w:numId w:val="25"/>
        </w:numPr>
        <w:jc w:val="both"/>
        <w:rPr>
          <w:lang w:val="mk-MK"/>
        </w:rPr>
      </w:pPr>
      <w:r w:rsidRPr="008662BF">
        <w:rPr>
          <w:lang w:val="mk-MK"/>
        </w:rPr>
        <w:t xml:space="preserve">УВ/ВИС спектрофотометар </w:t>
      </w:r>
    </w:p>
    <w:p w14:paraId="2C7D1228" w14:textId="77777777" w:rsidR="005B2E0A" w:rsidRPr="008662BF" w:rsidRDefault="005B2E0A" w:rsidP="005B2E0A">
      <w:pPr>
        <w:pStyle w:val="ListParagraph"/>
        <w:numPr>
          <w:ilvl w:val="0"/>
          <w:numId w:val="25"/>
        </w:numPr>
        <w:jc w:val="both"/>
        <w:rPr>
          <w:lang w:val="mk-MK"/>
        </w:rPr>
      </w:pPr>
      <w:r w:rsidRPr="008662BF">
        <w:rPr>
          <w:lang w:val="mk-MK"/>
        </w:rPr>
        <w:t>Инструмент за мерења на контактен агол</w:t>
      </w:r>
    </w:p>
    <w:p w14:paraId="552E43B9" w14:textId="77777777" w:rsidR="005B2E0A" w:rsidRPr="008662BF" w:rsidRDefault="005B2E0A" w:rsidP="005B2E0A">
      <w:pPr>
        <w:pStyle w:val="ListParagraph"/>
        <w:numPr>
          <w:ilvl w:val="0"/>
          <w:numId w:val="25"/>
        </w:numPr>
        <w:jc w:val="both"/>
        <w:rPr>
          <w:lang w:val="mk-MK"/>
        </w:rPr>
      </w:pPr>
      <w:r w:rsidRPr="008662BF">
        <w:rPr>
          <w:lang w:val="mk-MK"/>
        </w:rPr>
        <w:t>Инструмент за механичко испитување на полимери</w:t>
      </w:r>
    </w:p>
    <w:p w14:paraId="6AE8FD13" w14:textId="77777777" w:rsidR="005B2E0A" w:rsidRPr="008662BF" w:rsidRDefault="005B2E0A" w:rsidP="005B2E0A">
      <w:pPr>
        <w:pStyle w:val="ListParagraph"/>
        <w:numPr>
          <w:ilvl w:val="0"/>
          <w:numId w:val="25"/>
        </w:numPr>
        <w:jc w:val="both"/>
        <w:rPr>
          <w:lang w:val="mk-MK"/>
        </w:rPr>
      </w:pPr>
      <w:r w:rsidRPr="008662BF">
        <w:rPr>
          <w:lang w:val="mk-MK"/>
        </w:rPr>
        <w:t xml:space="preserve">Уред за мерење на спроводливост (мерач на отпорност со четири сонди) </w:t>
      </w:r>
    </w:p>
    <w:p w14:paraId="0741BF30" w14:textId="77777777" w:rsidR="00F564F8" w:rsidRPr="008662BF" w:rsidRDefault="00F564F8" w:rsidP="00F564F8">
      <w:pPr>
        <w:pStyle w:val="ListParagraph"/>
        <w:numPr>
          <w:ilvl w:val="0"/>
          <w:numId w:val="25"/>
        </w:numPr>
        <w:spacing w:after="240"/>
        <w:jc w:val="both"/>
        <w:rPr>
          <w:lang w:val="mk-MK"/>
        </w:rPr>
      </w:pPr>
      <w:r w:rsidRPr="008662BF">
        <w:rPr>
          <w:lang w:val="mk-MK"/>
        </w:rPr>
        <w:t>Инструмент за мерење со сензор (микровага со кварцни кристали)</w:t>
      </w:r>
    </w:p>
    <w:p w14:paraId="00503C87" w14:textId="77777777" w:rsidR="005B7AA9" w:rsidRPr="008662BF" w:rsidRDefault="005B7AA9" w:rsidP="007947BF">
      <w:pPr>
        <w:pStyle w:val="Heading4"/>
        <w:spacing w:after="240"/>
        <w:rPr>
          <w:rFonts w:asciiTheme="minorHAnsi" w:hAnsiTheme="minorHAnsi"/>
          <w:lang w:val="mk-MK"/>
        </w:rPr>
      </w:pPr>
      <w:r w:rsidRPr="008662BF">
        <w:rPr>
          <w:rFonts w:asciiTheme="minorHAnsi" w:hAnsiTheme="minorHAnsi"/>
          <w:lang w:val="mk-MK"/>
        </w:rPr>
        <w:t>Факултет за компјутерски науки и инженерство (ФИНКИ)</w:t>
      </w:r>
    </w:p>
    <w:p w14:paraId="212EC157" w14:textId="5B45A9E8" w:rsidR="005B7AA9" w:rsidRPr="008662BF" w:rsidRDefault="005B7AA9" w:rsidP="007947BF">
      <w:pPr>
        <w:spacing w:after="0"/>
        <w:jc w:val="both"/>
        <w:rPr>
          <w:lang w:val="mk-MK"/>
        </w:rPr>
      </w:pPr>
      <w:r w:rsidRPr="008662BF">
        <w:rPr>
          <w:lang w:val="mk-MK"/>
        </w:rPr>
        <w:t>Факултетот за компјутерски науки и инженерство (ФИНКИ, УКИМ) е најголемиот провајдер на е-инфраструктура во земјата. Преку учество</w:t>
      </w:r>
      <w:r w:rsidR="00843852">
        <w:rPr>
          <w:lang w:val="mk-MK"/>
        </w:rPr>
        <w:t>то</w:t>
      </w:r>
      <w:r w:rsidRPr="008662BF">
        <w:rPr>
          <w:lang w:val="mk-MK"/>
        </w:rPr>
        <w:t xml:space="preserve"> во многу меѓународни проекти за е-инфраструктура и</w:t>
      </w:r>
      <w:r w:rsidR="00843852">
        <w:rPr>
          <w:lang w:val="mk-MK"/>
        </w:rPr>
        <w:t xml:space="preserve"> со</w:t>
      </w:r>
      <w:r w:rsidRPr="008662BF">
        <w:rPr>
          <w:lang w:val="mk-MK"/>
        </w:rPr>
        <w:t xml:space="preserve"> членство</w:t>
      </w:r>
      <w:r w:rsidR="00843852">
        <w:rPr>
          <w:lang w:val="mk-MK"/>
        </w:rPr>
        <w:t>то</w:t>
      </w:r>
      <w:r w:rsidRPr="008662BF">
        <w:rPr>
          <w:lang w:val="mk-MK"/>
        </w:rPr>
        <w:t xml:space="preserve"> во големите паневропски истражувачки инфраструктури, ФИНКИ разви силен технички и човечки потенцијал за поддршка на академските и истражувачките заедници, како и </w:t>
      </w:r>
      <w:r w:rsidR="00843852">
        <w:rPr>
          <w:lang w:val="mk-MK"/>
        </w:rPr>
        <w:t xml:space="preserve">на </w:t>
      </w:r>
      <w:r w:rsidRPr="008662BF">
        <w:rPr>
          <w:lang w:val="mk-MK"/>
        </w:rPr>
        <w:t xml:space="preserve">други корисници како што се министерствата, јавниот сектор и индустријата, </w:t>
      </w:r>
      <w:r w:rsidR="00712390" w:rsidRPr="008662BF">
        <w:rPr>
          <w:lang w:val="mk-MK"/>
        </w:rPr>
        <w:t xml:space="preserve">за </w:t>
      </w:r>
      <w:r w:rsidRPr="008662BF">
        <w:rPr>
          <w:lang w:val="mk-MK"/>
        </w:rPr>
        <w:t xml:space="preserve">кои </w:t>
      </w:r>
      <w:r w:rsidR="00712390" w:rsidRPr="008662BF">
        <w:rPr>
          <w:lang w:val="mk-MK"/>
        </w:rPr>
        <w:t xml:space="preserve">обезбедува </w:t>
      </w:r>
      <w:r w:rsidRPr="008662BF">
        <w:rPr>
          <w:lang w:val="mk-MK"/>
        </w:rPr>
        <w:t>соодветни услуги. ФИНКИ е член на следни</w:t>
      </w:r>
      <w:r w:rsidR="00843852">
        <w:rPr>
          <w:lang w:val="mk-MK"/>
        </w:rPr>
        <w:t>в</w:t>
      </w:r>
      <w:r w:rsidRPr="008662BF">
        <w:rPr>
          <w:lang w:val="mk-MK"/>
        </w:rPr>
        <w:t>е големи истражувачки инфраструктури:</w:t>
      </w:r>
    </w:p>
    <w:p w14:paraId="19BBE639" w14:textId="77777777" w:rsidR="005B7AA9" w:rsidRPr="008662BF" w:rsidRDefault="005B7AA9" w:rsidP="005B7AA9">
      <w:pPr>
        <w:pStyle w:val="ListParagraph"/>
        <w:numPr>
          <w:ilvl w:val="0"/>
          <w:numId w:val="23"/>
        </w:numPr>
        <w:jc w:val="both"/>
        <w:rPr>
          <w:lang w:val="mk-MK"/>
        </w:rPr>
      </w:pPr>
      <w:r w:rsidRPr="008662BF">
        <w:rPr>
          <w:lang w:val="mk-MK"/>
        </w:rPr>
        <w:t>Федерација</w:t>
      </w:r>
      <w:r w:rsidR="00712390" w:rsidRPr="008662BF">
        <w:rPr>
          <w:lang w:val="mk-MK"/>
        </w:rPr>
        <w:t xml:space="preserve"> EGI</w:t>
      </w:r>
    </w:p>
    <w:p w14:paraId="587BE2BC" w14:textId="77777777" w:rsidR="005B7AA9" w:rsidRPr="008662BF" w:rsidRDefault="000A6C42" w:rsidP="005B7AA9">
      <w:pPr>
        <w:pStyle w:val="ListParagraph"/>
        <w:numPr>
          <w:ilvl w:val="0"/>
          <w:numId w:val="23"/>
        </w:numPr>
        <w:jc w:val="both"/>
        <w:rPr>
          <w:lang w:val="mk-MK"/>
        </w:rPr>
      </w:pPr>
      <w:r w:rsidRPr="008662BF">
        <w:rPr>
          <w:lang w:val="mk-MK"/>
        </w:rPr>
        <w:t xml:space="preserve">Euro HPC </w:t>
      </w:r>
    </w:p>
    <w:p w14:paraId="23B631D2" w14:textId="77777777" w:rsidR="005B7AA9" w:rsidRPr="008662BF" w:rsidRDefault="005B7AA9" w:rsidP="005B7AA9">
      <w:pPr>
        <w:pStyle w:val="ListParagraph"/>
        <w:numPr>
          <w:ilvl w:val="0"/>
          <w:numId w:val="23"/>
        </w:numPr>
        <w:jc w:val="both"/>
        <w:rPr>
          <w:lang w:val="mk-MK"/>
        </w:rPr>
      </w:pPr>
      <w:r w:rsidRPr="008662BF">
        <w:rPr>
          <w:lang w:val="mk-MK"/>
        </w:rPr>
        <w:t xml:space="preserve">Асоцијација </w:t>
      </w:r>
      <w:r w:rsidR="000A6C42" w:rsidRPr="008662BF">
        <w:rPr>
          <w:lang w:val="mk-MK"/>
        </w:rPr>
        <w:t>EOSC</w:t>
      </w:r>
    </w:p>
    <w:p w14:paraId="1FA211DE" w14:textId="77777777" w:rsidR="005B7AA9" w:rsidRPr="008662BF" w:rsidRDefault="005B7AA9" w:rsidP="007947BF">
      <w:pPr>
        <w:spacing w:after="0"/>
        <w:jc w:val="both"/>
        <w:rPr>
          <w:lang w:val="mk-MK"/>
        </w:rPr>
      </w:pPr>
      <w:r w:rsidRPr="008662BF">
        <w:rPr>
          <w:lang w:val="mk-MK"/>
        </w:rPr>
        <w:t xml:space="preserve">ФИНКИ учествува или учествуваше во неколку тековни и завршени европски проекти </w:t>
      </w:r>
      <w:r w:rsidR="00843852">
        <w:rPr>
          <w:lang w:val="mk-MK"/>
        </w:rPr>
        <w:t xml:space="preserve">што се </w:t>
      </w:r>
      <w:r w:rsidRPr="008662BF">
        <w:rPr>
          <w:lang w:val="mk-MK"/>
        </w:rPr>
        <w:t>насочени кон развој</w:t>
      </w:r>
      <w:r w:rsidR="00843852">
        <w:rPr>
          <w:lang w:val="mk-MK"/>
        </w:rPr>
        <w:t>от</w:t>
      </w:r>
      <w:r w:rsidRPr="008662BF">
        <w:rPr>
          <w:lang w:val="mk-MK"/>
        </w:rPr>
        <w:t xml:space="preserve"> на истражувачка</w:t>
      </w:r>
      <w:r w:rsidR="00843852">
        <w:rPr>
          <w:lang w:val="mk-MK"/>
        </w:rPr>
        <w:t>та</w:t>
      </w:r>
      <w:r w:rsidRPr="008662BF">
        <w:rPr>
          <w:lang w:val="mk-MK"/>
        </w:rPr>
        <w:t xml:space="preserve"> инфраструктура:</w:t>
      </w:r>
    </w:p>
    <w:p w14:paraId="27943D8D" w14:textId="77777777" w:rsidR="005B7AA9" w:rsidRPr="008662BF" w:rsidRDefault="005B7AA9" w:rsidP="005B7AA9">
      <w:pPr>
        <w:pStyle w:val="ListParagraph"/>
        <w:numPr>
          <w:ilvl w:val="0"/>
          <w:numId w:val="24"/>
        </w:numPr>
        <w:jc w:val="both"/>
        <w:rPr>
          <w:lang w:val="mk-MK"/>
        </w:rPr>
      </w:pPr>
      <w:r w:rsidRPr="008662BF">
        <w:rPr>
          <w:lang w:val="mk-MK"/>
        </w:rPr>
        <w:t>EGI-ACE: Напредн</w:t>
      </w:r>
      <w:r w:rsidR="00A9001D">
        <w:rPr>
          <w:lang w:val="mk-MK"/>
        </w:rPr>
        <w:t xml:space="preserve">о компјутерско пресметување </w:t>
      </w:r>
      <w:r w:rsidRPr="008662BF">
        <w:rPr>
          <w:lang w:val="mk-MK"/>
        </w:rPr>
        <w:t>за истражувањ</w:t>
      </w:r>
      <w:r w:rsidR="00D61E89">
        <w:rPr>
          <w:lang w:val="mk-MK"/>
        </w:rPr>
        <w:t>а</w:t>
      </w:r>
    </w:p>
    <w:p w14:paraId="7D0A2422" w14:textId="77777777" w:rsidR="005B7AA9" w:rsidRPr="008662BF" w:rsidRDefault="005B7AA9" w:rsidP="005B7AA9">
      <w:pPr>
        <w:pStyle w:val="ListParagraph"/>
        <w:numPr>
          <w:ilvl w:val="0"/>
          <w:numId w:val="24"/>
        </w:numPr>
        <w:jc w:val="both"/>
        <w:rPr>
          <w:lang w:val="mk-MK"/>
        </w:rPr>
      </w:pPr>
      <w:r w:rsidRPr="008662BF">
        <w:rPr>
          <w:lang w:val="mk-MK"/>
        </w:rPr>
        <w:t>NI4OS-Europe: Национални иницијативи за отворена наука во Европа</w:t>
      </w:r>
    </w:p>
    <w:p w14:paraId="09192B5C" w14:textId="77777777" w:rsidR="005B7AA9" w:rsidRPr="008662BF" w:rsidRDefault="005B7AA9" w:rsidP="005B7AA9">
      <w:pPr>
        <w:pStyle w:val="ListParagraph"/>
        <w:numPr>
          <w:ilvl w:val="0"/>
          <w:numId w:val="24"/>
        </w:numPr>
        <w:jc w:val="both"/>
        <w:rPr>
          <w:lang w:val="mk-MK"/>
        </w:rPr>
      </w:pPr>
      <w:r w:rsidRPr="008662BF">
        <w:rPr>
          <w:lang w:val="mk-MK"/>
        </w:rPr>
        <w:t>VI-SEEM: Виртуелни истражувачки околини за регионалните интердисциплинарни заедници во Југоисточна Европа и Источен Медитеран</w:t>
      </w:r>
    </w:p>
    <w:p w14:paraId="25A11767" w14:textId="1A941960" w:rsidR="005B7AA9" w:rsidRPr="008662BF" w:rsidRDefault="005B7AA9" w:rsidP="005B7AA9">
      <w:pPr>
        <w:pStyle w:val="ListParagraph"/>
        <w:numPr>
          <w:ilvl w:val="0"/>
          <w:numId w:val="24"/>
        </w:numPr>
        <w:jc w:val="both"/>
        <w:rPr>
          <w:lang w:val="mk-MK"/>
        </w:rPr>
      </w:pPr>
      <w:r w:rsidRPr="008662BF">
        <w:rPr>
          <w:lang w:val="mk-MK"/>
        </w:rPr>
        <w:t>Европска грид</w:t>
      </w:r>
      <w:r w:rsidR="00843852">
        <w:rPr>
          <w:lang w:val="mk-MK"/>
        </w:rPr>
        <w:t>-</w:t>
      </w:r>
      <w:r w:rsidRPr="008662BF">
        <w:rPr>
          <w:lang w:val="mk-MK"/>
        </w:rPr>
        <w:t>иницијатива: интегрирана одржлива паневропска инфраструктура за истражувачи во Европа: EGI-INSPIRE</w:t>
      </w:r>
    </w:p>
    <w:p w14:paraId="300B9FFD" w14:textId="77777777" w:rsidR="005B7AA9" w:rsidRPr="008662BF" w:rsidRDefault="005B7AA9" w:rsidP="005B7AA9">
      <w:pPr>
        <w:pStyle w:val="ListParagraph"/>
        <w:numPr>
          <w:ilvl w:val="0"/>
          <w:numId w:val="24"/>
        </w:numPr>
        <w:jc w:val="both"/>
        <w:rPr>
          <w:lang w:val="mk-MK"/>
        </w:rPr>
      </w:pPr>
      <w:r w:rsidRPr="008662BF">
        <w:rPr>
          <w:lang w:val="mk-MK"/>
        </w:rPr>
        <w:t xml:space="preserve">EUROCC - Национални центри за компетентност во рамките на </w:t>
      </w:r>
      <w:r w:rsidR="000A6C42" w:rsidRPr="008662BF">
        <w:rPr>
          <w:lang w:val="mk-MK"/>
        </w:rPr>
        <w:t>Euro HPC</w:t>
      </w:r>
    </w:p>
    <w:p w14:paraId="49057105" w14:textId="77777777" w:rsidR="00F676F4" w:rsidRPr="008662BF" w:rsidRDefault="00F676F4" w:rsidP="00F676F4">
      <w:pPr>
        <w:pStyle w:val="ListParagraph"/>
        <w:numPr>
          <w:ilvl w:val="0"/>
          <w:numId w:val="24"/>
        </w:numPr>
        <w:jc w:val="both"/>
        <w:rPr>
          <w:lang w:val="mk-MK"/>
        </w:rPr>
      </w:pPr>
      <w:r w:rsidRPr="008662BF">
        <w:rPr>
          <w:lang w:val="mk-MK"/>
        </w:rPr>
        <w:t>GN4-3: H2020-SGA-INFRA-GEANT-2018 (Тема [а] Вмрежување на истражувањето и образованието)</w:t>
      </w:r>
    </w:p>
    <w:p w14:paraId="70CDAAEC" w14:textId="77777777" w:rsidR="00F676F4" w:rsidRPr="008662BF" w:rsidRDefault="00F676F4" w:rsidP="00F676F4">
      <w:pPr>
        <w:pStyle w:val="ListParagraph"/>
        <w:numPr>
          <w:ilvl w:val="0"/>
          <w:numId w:val="24"/>
        </w:numPr>
        <w:jc w:val="both"/>
        <w:rPr>
          <w:lang w:val="mk-MK"/>
        </w:rPr>
      </w:pPr>
      <w:r w:rsidRPr="008662BF">
        <w:rPr>
          <w:lang w:val="mk-MK"/>
        </w:rPr>
        <w:t>GN4-2: Вмрежување на истражувањето и образованието - GÉANT</w:t>
      </w:r>
    </w:p>
    <w:p w14:paraId="1D232555" w14:textId="77777777" w:rsidR="00F676F4" w:rsidRPr="008662BF" w:rsidRDefault="00F676F4" w:rsidP="00F676F4">
      <w:pPr>
        <w:pStyle w:val="ListParagraph"/>
        <w:numPr>
          <w:ilvl w:val="0"/>
          <w:numId w:val="24"/>
        </w:numPr>
        <w:jc w:val="both"/>
        <w:rPr>
          <w:lang w:val="mk-MK"/>
        </w:rPr>
      </w:pPr>
      <w:r w:rsidRPr="008662BF">
        <w:rPr>
          <w:lang w:val="mk-MK"/>
        </w:rPr>
        <w:t>GN4-1: Вмрежување на истражувањето и образованието - GÉANT</w:t>
      </w:r>
    </w:p>
    <w:p w14:paraId="685C029F" w14:textId="77777777" w:rsidR="00F676F4" w:rsidRPr="008662BF" w:rsidRDefault="00F676F4" w:rsidP="00F676F4">
      <w:pPr>
        <w:pStyle w:val="ListParagraph"/>
        <w:numPr>
          <w:ilvl w:val="0"/>
          <w:numId w:val="24"/>
        </w:numPr>
        <w:jc w:val="both"/>
        <w:rPr>
          <w:lang w:val="mk-MK"/>
        </w:rPr>
      </w:pPr>
      <w:r w:rsidRPr="008662BF">
        <w:rPr>
          <w:lang w:val="mk-MK"/>
        </w:rPr>
        <w:t xml:space="preserve">HP-SEE Инфраструктура за </w:t>
      </w:r>
      <w:r w:rsidR="000A6C42" w:rsidRPr="008662BF">
        <w:rPr>
          <w:lang w:val="mk-MK"/>
        </w:rPr>
        <w:t xml:space="preserve">пресметување </w:t>
      </w:r>
      <w:r w:rsidRPr="008662BF">
        <w:rPr>
          <w:lang w:val="mk-MK"/>
        </w:rPr>
        <w:t>со високи перформанси за истражувачките заедници во Југоисточна Европа</w:t>
      </w:r>
    </w:p>
    <w:p w14:paraId="2CDD7850" w14:textId="77777777" w:rsidR="00F676F4" w:rsidRPr="008662BF" w:rsidRDefault="00F676F4" w:rsidP="00F676F4">
      <w:pPr>
        <w:pStyle w:val="ListParagraph"/>
        <w:numPr>
          <w:ilvl w:val="0"/>
          <w:numId w:val="24"/>
        </w:numPr>
        <w:jc w:val="both"/>
        <w:rPr>
          <w:lang w:val="mk-MK"/>
        </w:rPr>
      </w:pPr>
      <w:r w:rsidRPr="008662BF">
        <w:rPr>
          <w:lang w:val="mk-MK"/>
        </w:rPr>
        <w:t>SEE-GRID е-инфраструктура за регионална е-наука</w:t>
      </w:r>
    </w:p>
    <w:p w14:paraId="475D53C7" w14:textId="77777777" w:rsidR="00F676F4" w:rsidRPr="008662BF" w:rsidRDefault="00F676F4" w:rsidP="007947BF">
      <w:pPr>
        <w:pStyle w:val="Heading5"/>
        <w:spacing w:after="240"/>
        <w:rPr>
          <w:rFonts w:asciiTheme="minorHAnsi" w:hAnsiTheme="minorHAnsi"/>
          <w:lang w:val="mk-MK"/>
        </w:rPr>
      </w:pPr>
      <w:r w:rsidRPr="008662BF">
        <w:rPr>
          <w:rFonts w:asciiTheme="minorHAnsi" w:hAnsiTheme="minorHAnsi"/>
          <w:lang w:val="mk-MK"/>
        </w:rPr>
        <w:lastRenderedPageBreak/>
        <w:t>Национален центар за пр</w:t>
      </w:r>
      <w:r w:rsidR="000A6C42" w:rsidRPr="008662BF">
        <w:rPr>
          <w:rFonts w:asciiTheme="minorHAnsi" w:hAnsiTheme="minorHAnsi"/>
          <w:lang w:val="mk-MK"/>
        </w:rPr>
        <w:t xml:space="preserve">есметување </w:t>
      </w:r>
      <w:r w:rsidRPr="008662BF">
        <w:rPr>
          <w:rFonts w:asciiTheme="minorHAnsi" w:hAnsiTheme="minorHAnsi"/>
          <w:lang w:val="mk-MK"/>
        </w:rPr>
        <w:t>со високи перформанси и облак</w:t>
      </w:r>
    </w:p>
    <w:p w14:paraId="6263D467" w14:textId="77777777" w:rsidR="00B03E9F" w:rsidRPr="008662BF" w:rsidRDefault="00B03E9F" w:rsidP="007947BF">
      <w:pPr>
        <w:spacing w:after="0"/>
        <w:jc w:val="both"/>
        <w:rPr>
          <w:lang w:val="mk-MK"/>
        </w:rPr>
      </w:pPr>
      <w:r w:rsidRPr="008662BF">
        <w:rPr>
          <w:lang w:val="mk-MK"/>
        </w:rPr>
        <w:t>ФИНКИ е национален центар за пр</w:t>
      </w:r>
      <w:r w:rsidR="000A6C42" w:rsidRPr="008662BF">
        <w:rPr>
          <w:lang w:val="mk-MK"/>
        </w:rPr>
        <w:t xml:space="preserve">есметување </w:t>
      </w:r>
      <w:r w:rsidRPr="008662BF">
        <w:rPr>
          <w:lang w:val="mk-MK"/>
        </w:rPr>
        <w:t>со високи перформанси и облак. Услугите кои се обезбедуваат опфаќаат:</w:t>
      </w:r>
    </w:p>
    <w:p w14:paraId="2AD86ED4" w14:textId="77777777" w:rsidR="00637441" w:rsidRPr="008662BF" w:rsidRDefault="00637441" w:rsidP="00637441">
      <w:pPr>
        <w:pStyle w:val="ListParagraph"/>
        <w:numPr>
          <w:ilvl w:val="0"/>
          <w:numId w:val="22"/>
        </w:numPr>
        <w:jc w:val="both"/>
        <w:rPr>
          <w:lang w:val="mk-MK"/>
        </w:rPr>
      </w:pPr>
      <w:r w:rsidRPr="008662BF">
        <w:rPr>
          <w:lang w:val="mk-MK"/>
        </w:rPr>
        <w:t xml:space="preserve">Национални сервери на </w:t>
      </w:r>
      <w:r w:rsidR="000A6C42" w:rsidRPr="008662BF">
        <w:rPr>
          <w:lang w:val="mk-MK"/>
        </w:rPr>
        <w:t xml:space="preserve">Едуроам </w:t>
      </w:r>
      <w:r w:rsidRPr="008662BF">
        <w:rPr>
          <w:lang w:val="mk-MK"/>
        </w:rPr>
        <w:t>од највисоко ниво</w:t>
      </w:r>
    </w:p>
    <w:p w14:paraId="4C2074B6" w14:textId="77777777" w:rsidR="00637441" w:rsidRPr="008662BF" w:rsidRDefault="00637441" w:rsidP="00637441">
      <w:pPr>
        <w:pStyle w:val="ListParagraph"/>
        <w:numPr>
          <w:ilvl w:val="0"/>
          <w:numId w:val="22"/>
        </w:numPr>
        <w:jc w:val="both"/>
        <w:rPr>
          <w:lang w:val="mk-MK"/>
        </w:rPr>
      </w:pPr>
      <w:r w:rsidRPr="008662BF">
        <w:rPr>
          <w:lang w:val="mk-MK"/>
        </w:rPr>
        <w:t xml:space="preserve">Национална федерација </w:t>
      </w:r>
      <w:r w:rsidR="000A6C42" w:rsidRPr="008662BF">
        <w:rPr>
          <w:lang w:val="mk-MK"/>
        </w:rPr>
        <w:t>за И</w:t>
      </w:r>
      <w:r w:rsidRPr="008662BF">
        <w:rPr>
          <w:lang w:val="mk-MK"/>
        </w:rPr>
        <w:t>АА (Инфраструктура за автентикација и авторизација), членка на eduGAIN</w:t>
      </w:r>
    </w:p>
    <w:p w14:paraId="142A3EB7" w14:textId="77777777" w:rsidR="00637441" w:rsidRPr="008662BF" w:rsidRDefault="00637441" w:rsidP="00637441">
      <w:pPr>
        <w:pStyle w:val="ListParagraph"/>
        <w:numPr>
          <w:ilvl w:val="0"/>
          <w:numId w:val="22"/>
        </w:numPr>
        <w:jc w:val="both"/>
        <w:rPr>
          <w:lang w:val="mk-MK"/>
        </w:rPr>
      </w:pPr>
      <w:r w:rsidRPr="008662BF">
        <w:rPr>
          <w:lang w:val="mk-MK"/>
        </w:rPr>
        <w:t>Услуга за облак на ФИНКИ, услуга вклучена во EOSC</w:t>
      </w:r>
    </w:p>
    <w:p w14:paraId="33B4A8BB" w14:textId="77777777" w:rsidR="00637441" w:rsidRPr="008662BF" w:rsidRDefault="000A6C42" w:rsidP="00637441">
      <w:pPr>
        <w:pStyle w:val="ListParagraph"/>
        <w:numPr>
          <w:ilvl w:val="0"/>
          <w:numId w:val="22"/>
        </w:numPr>
        <w:jc w:val="both"/>
        <w:rPr>
          <w:lang w:val="mk-MK"/>
        </w:rPr>
      </w:pPr>
      <w:r w:rsidRPr="008662BF">
        <w:rPr>
          <w:lang w:val="mk-MK"/>
        </w:rPr>
        <w:t xml:space="preserve">Пресметување </w:t>
      </w:r>
      <w:r w:rsidR="00637441" w:rsidRPr="008662BF">
        <w:rPr>
          <w:lang w:val="mk-MK"/>
        </w:rPr>
        <w:t>со високи перформанси</w:t>
      </w:r>
    </w:p>
    <w:p w14:paraId="34B9D4E4" w14:textId="77777777" w:rsidR="00637441" w:rsidRPr="008662BF" w:rsidRDefault="00637441" w:rsidP="00637441">
      <w:pPr>
        <w:pStyle w:val="ListParagraph"/>
        <w:numPr>
          <w:ilvl w:val="0"/>
          <w:numId w:val="22"/>
        </w:numPr>
        <w:jc w:val="both"/>
        <w:rPr>
          <w:lang w:val="mk-MK"/>
        </w:rPr>
      </w:pPr>
      <w:r w:rsidRPr="008662BF">
        <w:rPr>
          <w:lang w:val="mk-MK"/>
        </w:rPr>
        <w:t>GPGPU пресметување</w:t>
      </w:r>
    </w:p>
    <w:p w14:paraId="58290931" w14:textId="77777777" w:rsidR="00637441" w:rsidRPr="008662BF" w:rsidRDefault="00637441" w:rsidP="00637441">
      <w:pPr>
        <w:pStyle w:val="ListParagraph"/>
        <w:numPr>
          <w:ilvl w:val="0"/>
          <w:numId w:val="22"/>
        </w:numPr>
        <w:jc w:val="both"/>
        <w:rPr>
          <w:lang w:val="mk-MK"/>
        </w:rPr>
      </w:pPr>
      <w:r w:rsidRPr="008662BF">
        <w:rPr>
          <w:lang w:val="mk-MK"/>
        </w:rPr>
        <w:t>Обуки за користење на HPC/Cloud/HPDA/AI</w:t>
      </w:r>
    </w:p>
    <w:p w14:paraId="395278E3" w14:textId="77777777" w:rsidR="008D19C2" w:rsidRPr="008662BF" w:rsidRDefault="00637441" w:rsidP="008D19C2">
      <w:pPr>
        <w:pStyle w:val="ListParagraph"/>
        <w:numPr>
          <w:ilvl w:val="0"/>
          <w:numId w:val="22"/>
        </w:numPr>
        <w:jc w:val="both"/>
        <w:rPr>
          <w:lang w:val="mk-MK"/>
        </w:rPr>
      </w:pPr>
      <w:r w:rsidRPr="008662BF">
        <w:rPr>
          <w:lang w:val="mk-MK"/>
        </w:rPr>
        <w:t xml:space="preserve">Национален центар за </w:t>
      </w:r>
      <w:r w:rsidR="008D19C2" w:rsidRPr="008662BF">
        <w:rPr>
          <w:lang w:val="mk-MK"/>
        </w:rPr>
        <w:t>пресметување со високи перформанси</w:t>
      </w:r>
    </w:p>
    <w:p w14:paraId="2BF47F5F" w14:textId="77777777" w:rsidR="00637441" w:rsidRPr="008662BF" w:rsidRDefault="00637441" w:rsidP="00D31CD7">
      <w:pPr>
        <w:pStyle w:val="ListParagraph"/>
        <w:ind w:left="1065"/>
        <w:jc w:val="both"/>
        <w:rPr>
          <w:lang w:val="mk-MK"/>
        </w:rPr>
      </w:pPr>
      <w:r w:rsidRPr="008662BF">
        <w:rPr>
          <w:lang w:val="mk-MK"/>
        </w:rPr>
        <w:t>и пресметување во облак</w:t>
      </w:r>
    </w:p>
    <w:p w14:paraId="5DC7305C" w14:textId="77777777" w:rsidR="00637441" w:rsidRPr="008662BF" w:rsidRDefault="00637441" w:rsidP="00637441">
      <w:pPr>
        <w:pStyle w:val="ListParagraph"/>
        <w:numPr>
          <w:ilvl w:val="0"/>
          <w:numId w:val="22"/>
        </w:numPr>
        <w:jc w:val="both"/>
        <w:rPr>
          <w:lang w:val="mk-MK"/>
        </w:rPr>
      </w:pPr>
      <w:r w:rsidRPr="008662BF">
        <w:rPr>
          <w:lang w:val="mk-MK"/>
        </w:rPr>
        <w:t>Прв академски CIRT (Тим за одговор на кибер инцидент) https://cirt.finki.ukim.mk</w:t>
      </w:r>
    </w:p>
    <w:p w14:paraId="3D9712E3" w14:textId="77777777" w:rsidR="00637441" w:rsidRPr="008662BF" w:rsidRDefault="00637441" w:rsidP="00637441">
      <w:pPr>
        <w:pStyle w:val="ListParagraph"/>
        <w:numPr>
          <w:ilvl w:val="0"/>
          <w:numId w:val="22"/>
        </w:numPr>
        <w:jc w:val="both"/>
        <w:rPr>
          <w:lang w:val="mk-MK"/>
        </w:rPr>
      </w:pPr>
      <w:r w:rsidRPr="008662BF">
        <w:rPr>
          <w:lang w:val="mk-MK"/>
        </w:rPr>
        <w:t>Национална точка за размена на интернетhttps://ixp.mk/</w:t>
      </w:r>
    </w:p>
    <w:p w14:paraId="67BC63A8" w14:textId="77777777" w:rsidR="00637441" w:rsidRPr="008662BF" w:rsidRDefault="00637441" w:rsidP="00637441">
      <w:pPr>
        <w:pStyle w:val="ListParagraph"/>
        <w:numPr>
          <w:ilvl w:val="0"/>
          <w:numId w:val="22"/>
        </w:numPr>
        <w:jc w:val="both"/>
        <w:rPr>
          <w:lang w:val="mk-MK"/>
        </w:rPr>
      </w:pPr>
      <w:r w:rsidRPr="008662BF">
        <w:rPr>
          <w:lang w:val="mk-MK"/>
        </w:rPr>
        <w:t>Склад на научни публикации и научни податоци</w:t>
      </w:r>
    </w:p>
    <w:p w14:paraId="41481207" w14:textId="592ABCBD" w:rsidR="001F4C49" w:rsidRPr="009D131E" w:rsidRDefault="001F4C49" w:rsidP="001F4C49">
      <w:pPr>
        <w:jc w:val="both"/>
        <w:rPr>
          <w:lang w:val="mk-MK"/>
        </w:rPr>
      </w:pPr>
      <w:r w:rsidRPr="009D131E">
        <w:rPr>
          <w:lang w:val="mk-MK"/>
        </w:rPr>
        <w:t xml:space="preserve">Истражувачка опрема: ФИНКИ располага со капитална истражувачка опрема во вредност од над 50.000 евра. Вкупната проценета вредност на капиталната истражувачка опрема изнесува над 1 милион евра (набавната вредност изнесуваше над 3,6 милиони евра). Најважната капитална истражувачка опрема вклучува: </w:t>
      </w:r>
      <w:r w:rsidR="000A6C42" w:rsidRPr="009D131E">
        <w:rPr>
          <w:lang w:val="mk-MK"/>
        </w:rPr>
        <w:t>HPC</w:t>
      </w:r>
      <w:r w:rsidR="00C45B70">
        <w:rPr>
          <w:lang w:val="mk-MK"/>
        </w:rPr>
        <w:t>-</w:t>
      </w:r>
      <w:r w:rsidRPr="009D131E">
        <w:rPr>
          <w:lang w:val="mk-MK"/>
        </w:rPr>
        <w:t>кластер; кластер</w:t>
      </w:r>
      <w:r w:rsidR="009D131E" w:rsidRPr="009D131E">
        <w:rPr>
          <w:lang w:val="mk-MK"/>
        </w:rPr>
        <w:t xml:space="preserve"> во </w:t>
      </w:r>
      <w:r w:rsidR="00912D2F" w:rsidRPr="009D131E">
        <w:rPr>
          <w:lang w:val="mk-MK"/>
        </w:rPr>
        <w:t>облак</w:t>
      </w:r>
      <w:r w:rsidRPr="009D131E">
        <w:rPr>
          <w:lang w:val="mk-MK"/>
        </w:rPr>
        <w:t>; GPGPU</w:t>
      </w:r>
      <w:r w:rsidR="00C45B70">
        <w:rPr>
          <w:lang w:val="mk-MK"/>
        </w:rPr>
        <w:t>-</w:t>
      </w:r>
      <w:r w:rsidRPr="009D131E">
        <w:rPr>
          <w:lang w:val="mk-MK"/>
        </w:rPr>
        <w:t>кластер; IPX (размена на интернет</w:t>
      </w:r>
      <w:r w:rsidR="000A6C42" w:rsidRPr="009D131E">
        <w:rPr>
          <w:lang w:val="mk-MK"/>
        </w:rPr>
        <w:t xml:space="preserve"> сообраќај</w:t>
      </w:r>
      <w:r w:rsidRPr="009D131E">
        <w:rPr>
          <w:lang w:val="mk-MK"/>
        </w:rPr>
        <w:t>) и Airpointer Recordum – MLU Австрија.</w:t>
      </w:r>
    </w:p>
    <w:p w14:paraId="04E862E6" w14:textId="77777777" w:rsidR="001F4C49" w:rsidRPr="009D131E" w:rsidRDefault="001F4C49" w:rsidP="001F4C49">
      <w:pPr>
        <w:jc w:val="both"/>
        <w:rPr>
          <w:lang w:val="mk-MK"/>
        </w:rPr>
      </w:pPr>
      <w:r w:rsidRPr="009D131E">
        <w:rPr>
          <w:lang w:val="mk-MK"/>
        </w:rPr>
        <w:t>Целокупната е-инфраструктура на ФИНКИ, УКИМ се заснова на</w:t>
      </w:r>
    </w:p>
    <w:p w14:paraId="6226C88D" w14:textId="57978F6D" w:rsidR="00F310B0" w:rsidRPr="009D131E" w:rsidRDefault="00A91C10" w:rsidP="00F310B0">
      <w:pPr>
        <w:pStyle w:val="ListParagraph"/>
        <w:numPr>
          <w:ilvl w:val="0"/>
          <w:numId w:val="36"/>
        </w:numPr>
        <w:jc w:val="both"/>
        <w:rPr>
          <w:lang w:val="mk-MK"/>
        </w:rPr>
      </w:pPr>
      <w:r w:rsidRPr="009D131E">
        <w:rPr>
          <w:lang w:val="mk-MK"/>
        </w:rPr>
        <w:t>HPC</w:t>
      </w:r>
      <w:r w:rsidR="00C45B70">
        <w:rPr>
          <w:lang w:val="mk-MK"/>
        </w:rPr>
        <w:t>-</w:t>
      </w:r>
      <w:r w:rsidR="00F310B0" w:rsidRPr="009D131E">
        <w:rPr>
          <w:lang w:val="mk-MK"/>
        </w:rPr>
        <w:t>кластер (1000 јадра на централ</w:t>
      </w:r>
      <w:r w:rsidRPr="009D131E">
        <w:rPr>
          <w:lang w:val="mk-MK"/>
        </w:rPr>
        <w:t xml:space="preserve">ен </w:t>
      </w:r>
      <w:r w:rsidR="00F310B0" w:rsidRPr="009D131E">
        <w:rPr>
          <w:lang w:val="mk-MK"/>
        </w:rPr>
        <w:t>процесор, 2TB меморија, интерконекција InfiniBand QDR)</w:t>
      </w:r>
    </w:p>
    <w:p w14:paraId="04E8AF81" w14:textId="27633BEB" w:rsidR="00F310B0" w:rsidRPr="009D131E" w:rsidRDefault="00F310B0" w:rsidP="00F310B0">
      <w:pPr>
        <w:pStyle w:val="ListParagraph"/>
        <w:numPr>
          <w:ilvl w:val="0"/>
          <w:numId w:val="36"/>
        </w:numPr>
        <w:jc w:val="both"/>
        <w:rPr>
          <w:lang w:val="mk-MK"/>
        </w:rPr>
      </w:pPr>
      <w:r w:rsidRPr="009D131E">
        <w:rPr>
          <w:lang w:val="mk-MK"/>
        </w:rPr>
        <w:t>GPGPU</w:t>
      </w:r>
      <w:r w:rsidR="00C45B70">
        <w:rPr>
          <w:lang w:val="mk-MK"/>
        </w:rPr>
        <w:t>-</w:t>
      </w:r>
      <w:r w:rsidRPr="009D131E">
        <w:rPr>
          <w:lang w:val="mk-MK"/>
        </w:rPr>
        <w:t>кластер (27648 јадра на графичкиот процесор, 3456 тензорски јадра, 432 RT</w:t>
      </w:r>
      <w:r w:rsidR="00C45B70">
        <w:rPr>
          <w:lang w:val="mk-MK"/>
        </w:rPr>
        <w:t xml:space="preserve"> </w:t>
      </w:r>
      <w:r w:rsidRPr="009D131E">
        <w:rPr>
          <w:lang w:val="mk-MK"/>
        </w:rPr>
        <w:t>јадра, 192 GB меморија на графички процесор)</w:t>
      </w:r>
    </w:p>
    <w:p w14:paraId="6DA19904" w14:textId="77777777" w:rsidR="00F310B0" w:rsidRPr="009D131E" w:rsidRDefault="009D131E" w:rsidP="00F310B0">
      <w:pPr>
        <w:pStyle w:val="ListParagraph"/>
        <w:numPr>
          <w:ilvl w:val="0"/>
          <w:numId w:val="36"/>
        </w:numPr>
        <w:jc w:val="both"/>
        <w:rPr>
          <w:lang w:val="mk-MK"/>
        </w:rPr>
      </w:pPr>
      <w:r w:rsidRPr="009D131E">
        <w:rPr>
          <w:lang w:val="mk-MK"/>
        </w:rPr>
        <w:t>Кластер во о</w:t>
      </w:r>
      <w:r w:rsidR="00F310B0" w:rsidRPr="009D131E">
        <w:rPr>
          <w:lang w:val="mk-MK"/>
        </w:rPr>
        <w:t>блак (384 јадра на централниот процесор, 1,5 TB меморија, 24 TB SSD меморија, 144 TB HDD меморија)</w:t>
      </w:r>
    </w:p>
    <w:p w14:paraId="6B780E49" w14:textId="77777777" w:rsidR="00F310B0" w:rsidRPr="009D131E" w:rsidRDefault="00F310B0" w:rsidP="00F310B0">
      <w:pPr>
        <w:pStyle w:val="ListParagraph"/>
        <w:numPr>
          <w:ilvl w:val="0"/>
          <w:numId w:val="36"/>
        </w:numPr>
        <w:jc w:val="both"/>
        <w:rPr>
          <w:lang w:val="mk-MK"/>
        </w:rPr>
      </w:pPr>
      <w:r w:rsidRPr="009D131E">
        <w:rPr>
          <w:lang w:val="mk-MK"/>
        </w:rPr>
        <w:t>Сервери (&gt;1200 јадра на централ</w:t>
      </w:r>
      <w:r w:rsidR="00A91C10" w:rsidRPr="009D131E">
        <w:rPr>
          <w:lang w:val="mk-MK"/>
        </w:rPr>
        <w:t xml:space="preserve">ен </w:t>
      </w:r>
      <w:r w:rsidRPr="009D131E">
        <w:rPr>
          <w:lang w:val="mk-MK"/>
        </w:rPr>
        <w:t>процесор, &gt;3 TB меморија)</w:t>
      </w:r>
    </w:p>
    <w:p w14:paraId="77C8ECA5" w14:textId="77777777" w:rsidR="00F310B0" w:rsidRPr="009D131E" w:rsidRDefault="00F310B0" w:rsidP="00F310B0">
      <w:pPr>
        <w:pStyle w:val="ListParagraph"/>
        <w:numPr>
          <w:ilvl w:val="0"/>
          <w:numId w:val="36"/>
        </w:numPr>
        <w:jc w:val="both"/>
        <w:rPr>
          <w:lang w:val="mk-MK"/>
        </w:rPr>
      </w:pPr>
      <w:r w:rsidRPr="009D131E">
        <w:rPr>
          <w:lang w:val="mk-MK"/>
        </w:rPr>
        <w:t>Меморија (290 TB HDD, 230 TB SSD)</w:t>
      </w:r>
    </w:p>
    <w:p w14:paraId="722B65F5" w14:textId="77777777" w:rsidR="00F310B0" w:rsidRPr="009D131E" w:rsidRDefault="00F310B0" w:rsidP="00F310B0">
      <w:pPr>
        <w:pStyle w:val="ListParagraph"/>
        <w:numPr>
          <w:ilvl w:val="0"/>
          <w:numId w:val="36"/>
        </w:numPr>
        <w:jc w:val="both"/>
        <w:rPr>
          <w:lang w:val="mk-MK"/>
        </w:rPr>
      </w:pPr>
      <w:r w:rsidRPr="009D131E">
        <w:rPr>
          <w:lang w:val="mk-MK"/>
        </w:rPr>
        <w:t>Оптичка мрежа на УКИМ, која се протега</w:t>
      </w:r>
      <w:r w:rsidR="00C45B70">
        <w:rPr>
          <w:lang w:val="mk-MK"/>
        </w:rPr>
        <w:t xml:space="preserve"> на</w:t>
      </w:r>
      <w:r w:rsidRPr="009D131E">
        <w:rPr>
          <w:lang w:val="mk-MK"/>
        </w:rPr>
        <w:t xml:space="preserve"> 30 километри во градот Скопје</w:t>
      </w:r>
    </w:p>
    <w:p w14:paraId="05F35720" w14:textId="24FE7439" w:rsidR="00FD397F" w:rsidRPr="008662BF" w:rsidRDefault="00FD397F" w:rsidP="00FD397F">
      <w:pPr>
        <w:jc w:val="both"/>
        <w:rPr>
          <w:lang w:val="mk-MK"/>
        </w:rPr>
      </w:pPr>
      <w:r w:rsidRPr="008662BF">
        <w:rPr>
          <w:lang w:val="mk-MK"/>
        </w:rPr>
        <w:t xml:space="preserve">Airpointer Recordum – MLU Австрија се користи за следење на квалитетот на амбиенталниот воздух. Студентите ги користат собраните податоци (заедно со податоците од МЖСПП) за предвидување и визуелизација на загаденоста на воздухот во одредени места и градови. Повеќе информации </w:t>
      </w:r>
      <w:r w:rsidR="00A91C10" w:rsidRPr="008662BF">
        <w:rPr>
          <w:lang w:val="mk-MK"/>
        </w:rPr>
        <w:t xml:space="preserve">за единечната </w:t>
      </w:r>
      <w:r w:rsidRPr="008662BF">
        <w:rPr>
          <w:lang w:val="mk-MK"/>
        </w:rPr>
        <w:t xml:space="preserve">капитална истражувачка опрема во вредност од над 50.000 евра се дадени во </w:t>
      </w:r>
      <w:r w:rsidR="004753FD" w:rsidRPr="008662BF">
        <w:rPr>
          <w:lang w:val="mk-MK"/>
        </w:rPr>
        <w:t>Прилог 1</w:t>
      </w:r>
      <w:r w:rsidRPr="008662BF">
        <w:rPr>
          <w:lang w:val="mk-MK"/>
        </w:rPr>
        <w:t>. Идните инвестиции во истражувачката опрема вклучуваат купување на поголем GPGPU</w:t>
      </w:r>
      <w:r w:rsidR="00C45B70">
        <w:rPr>
          <w:lang w:val="mk-MK"/>
        </w:rPr>
        <w:t>-</w:t>
      </w:r>
      <w:r w:rsidRPr="008662BF">
        <w:rPr>
          <w:lang w:val="mk-MK"/>
        </w:rPr>
        <w:t xml:space="preserve">кластер и </w:t>
      </w:r>
      <w:r w:rsidR="00C45B70">
        <w:rPr>
          <w:lang w:val="mk-MK"/>
        </w:rPr>
        <w:t xml:space="preserve">на </w:t>
      </w:r>
      <w:r w:rsidRPr="008662BF">
        <w:rPr>
          <w:lang w:val="mk-MK"/>
        </w:rPr>
        <w:t>поголеми системи за складирање и долгорочно архивирање.</w:t>
      </w:r>
    </w:p>
    <w:p w14:paraId="6362287C" w14:textId="50BD7DFB" w:rsidR="007947BF" w:rsidRPr="008662BF" w:rsidRDefault="00FD397F" w:rsidP="007947BF">
      <w:pPr>
        <w:jc w:val="both"/>
        <w:rPr>
          <w:lang w:val="mk-MK"/>
        </w:rPr>
      </w:pPr>
      <w:r w:rsidRPr="008662BF">
        <w:rPr>
          <w:lang w:val="mk-MK"/>
        </w:rPr>
        <w:t>Во однос на потенцијалното членство во паневропските истражувачки инфраструктури, ФИНКИ е заинтересиран да стане членка на PRACE (Партнерство за напред</w:t>
      </w:r>
      <w:r w:rsidR="00ED18EB">
        <w:rPr>
          <w:lang w:val="mk-MK"/>
        </w:rPr>
        <w:t>ни компјутерски пресметки во Европа).</w:t>
      </w:r>
    </w:p>
    <w:p w14:paraId="47B81049" w14:textId="77777777" w:rsidR="004943F1" w:rsidRPr="008662BF" w:rsidRDefault="004943F1" w:rsidP="007947BF">
      <w:pPr>
        <w:pStyle w:val="Heading4"/>
        <w:spacing w:after="240"/>
        <w:rPr>
          <w:rFonts w:asciiTheme="minorHAnsi" w:hAnsiTheme="minorHAnsi"/>
          <w:lang w:val="mk-MK"/>
        </w:rPr>
      </w:pPr>
      <w:r w:rsidRPr="008662BF">
        <w:rPr>
          <w:rFonts w:asciiTheme="minorHAnsi" w:hAnsiTheme="minorHAnsi"/>
          <w:lang w:val="mk-MK"/>
        </w:rPr>
        <w:lastRenderedPageBreak/>
        <w:t>Факултет за електротехника и информациски технологии (ФЕИТ)</w:t>
      </w:r>
    </w:p>
    <w:p w14:paraId="7B55A84B" w14:textId="77777777" w:rsidR="007947BF" w:rsidRPr="008662BF" w:rsidRDefault="00300318" w:rsidP="007947BF">
      <w:pPr>
        <w:pStyle w:val="Heading5"/>
        <w:spacing w:after="240"/>
        <w:rPr>
          <w:rFonts w:asciiTheme="minorHAnsi" w:hAnsiTheme="minorHAnsi"/>
          <w:lang w:val="mk-MK"/>
        </w:rPr>
      </w:pPr>
      <w:r w:rsidRPr="008662BF">
        <w:rPr>
          <w:rFonts w:asciiTheme="minorHAnsi" w:hAnsiTheme="minorHAnsi"/>
          <w:lang w:val="mk-MK"/>
        </w:rPr>
        <w:t>Лабораторија за електрични мерења</w:t>
      </w:r>
    </w:p>
    <w:p w14:paraId="2026350B" w14:textId="652DDF0B" w:rsidR="00300318" w:rsidRPr="008662BF" w:rsidRDefault="00300318" w:rsidP="007947BF">
      <w:pPr>
        <w:jc w:val="both"/>
        <w:rPr>
          <w:lang w:val="mk-MK"/>
        </w:rPr>
      </w:pPr>
      <w:r w:rsidRPr="008662BF">
        <w:rPr>
          <w:lang w:val="mk-MK"/>
        </w:rPr>
        <w:t xml:space="preserve">Лабораторијата за електрични мерења е единствената национална референтна лабораторија за калибрација на еталони за електрична моќност и енергија, со што се обезбедува мерна следливост и единство на мерењата во оваа област на законската метрологија. Визијата на лабораторијата е да биде врвна научна метролошка лабораторија од областа на електромагнетните величини со ниво на научна и метролошка прецизност </w:t>
      </w:r>
      <w:r w:rsidR="00C45B70">
        <w:rPr>
          <w:lang w:val="mk-MK"/>
        </w:rPr>
        <w:t>што</w:t>
      </w:r>
      <w:r w:rsidR="00C45B70" w:rsidRPr="008662BF">
        <w:rPr>
          <w:lang w:val="mk-MK"/>
        </w:rPr>
        <w:t xml:space="preserve"> </w:t>
      </w:r>
      <w:r w:rsidRPr="008662BF">
        <w:rPr>
          <w:lang w:val="mk-MK"/>
        </w:rPr>
        <w:t xml:space="preserve">ќе обезбеди домашно, регионално и меѓународно признавање. Лабораторијата врши калибрации и испитувања </w:t>
      </w:r>
      <w:r w:rsidR="00C45B70">
        <w:rPr>
          <w:lang w:val="mk-MK"/>
        </w:rPr>
        <w:t xml:space="preserve">во </w:t>
      </w:r>
      <w:r w:rsidRPr="008662BF">
        <w:rPr>
          <w:lang w:val="mk-MK"/>
        </w:rPr>
        <w:t>согласно</w:t>
      </w:r>
      <w:r w:rsidR="00C45B70">
        <w:rPr>
          <w:lang w:val="mk-MK"/>
        </w:rPr>
        <w:t>ст со</w:t>
      </w:r>
      <w:r w:rsidRPr="008662BF">
        <w:rPr>
          <w:lang w:val="mk-MK"/>
        </w:rPr>
        <w:t xml:space="preserve"> националните и меѓународните стандарди и прописи, со употреба на најсовремени научни методи и опрема и со примена на најдобрата лабораториска пракса, притоа одговарајќи на потребите и барањата на корисниците, а со тоа обезбедува континуиран синџир на мерна следливост во полето на електромагнетните величини во метролошката инфраструктура на </w:t>
      </w:r>
      <w:r w:rsidR="00417197">
        <w:rPr>
          <w:lang w:val="mk-MK"/>
        </w:rPr>
        <w:t>Република Северна Македонија</w:t>
      </w:r>
      <w:r w:rsidRPr="008662BF">
        <w:rPr>
          <w:lang w:val="mk-MK"/>
        </w:rPr>
        <w:t xml:space="preserve"> и пошироко.</w:t>
      </w:r>
    </w:p>
    <w:p w14:paraId="74CD9AC5" w14:textId="77777777" w:rsidR="00300318" w:rsidRPr="008662BF" w:rsidRDefault="001E7AE5" w:rsidP="007947BF">
      <w:pPr>
        <w:jc w:val="both"/>
        <w:rPr>
          <w:lang w:val="mk-MK"/>
        </w:rPr>
      </w:pPr>
      <w:r w:rsidRPr="008662BF">
        <w:rPr>
          <w:lang w:val="mk-MK"/>
        </w:rPr>
        <w:t>Услуги што се обезбедуваат: к</w:t>
      </w:r>
      <w:r w:rsidR="00300318" w:rsidRPr="008662BF">
        <w:rPr>
          <w:lang w:val="mk-MK"/>
        </w:rPr>
        <w:t>алибрација на инструменти и генератори за еднонасочни и наизменични напони и струи, отпорност, капацитивност, фреквенција и фазен агол; калибрација на еталони за електрична моќност и енергија; разни испитувања во областа на електротехниката и метрологијата на електрични величини.</w:t>
      </w:r>
    </w:p>
    <w:p w14:paraId="0EB7651D" w14:textId="77777777" w:rsidR="00300318" w:rsidRPr="008662BF" w:rsidRDefault="001E7AE5" w:rsidP="00300318">
      <w:pPr>
        <w:jc w:val="both"/>
        <w:rPr>
          <w:rStyle w:val="jlqj4b"/>
          <w:rFonts w:cstheme="minorHAnsi"/>
          <w:color w:val="000000"/>
          <w:lang w:val="mk-MK"/>
        </w:rPr>
      </w:pPr>
      <w:r w:rsidRPr="008662BF">
        <w:rPr>
          <w:rStyle w:val="jlqj4b"/>
          <w:rFonts w:cstheme="minorHAnsi"/>
          <w:color w:val="000000"/>
          <w:lang w:val="mk-MK"/>
        </w:rPr>
        <w:t>Истражувачка опрема: в</w:t>
      </w:r>
      <w:r w:rsidR="00300318" w:rsidRPr="008662BF">
        <w:rPr>
          <w:rStyle w:val="jlqj4b"/>
          <w:rFonts w:cstheme="minorHAnsi"/>
          <w:color w:val="000000"/>
          <w:lang w:val="mk-MK"/>
        </w:rPr>
        <w:t>купната проценета вредност на капиталната истражувачка опрема изнесува 120.000 евра (набавната вредност изнесува 165.000 евра). Меѓу најважните истражувачки инструменти спаѓаат: дигитален мултиметар Агилент, калибратор за повеќе производи, трифазен компаратор, мултифункционален мобилен калибратор, итн.</w:t>
      </w:r>
    </w:p>
    <w:p w14:paraId="2CAED297" w14:textId="77777777" w:rsidR="00EF132C" w:rsidRPr="008662BF" w:rsidRDefault="00EF132C" w:rsidP="007947BF">
      <w:pPr>
        <w:pStyle w:val="Heading5"/>
        <w:spacing w:after="240"/>
        <w:rPr>
          <w:rFonts w:asciiTheme="minorHAnsi" w:hAnsiTheme="minorHAnsi"/>
          <w:lang w:val="mk-MK"/>
        </w:rPr>
      </w:pPr>
      <w:r w:rsidRPr="008662BF">
        <w:rPr>
          <w:rFonts w:asciiTheme="minorHAnsi" w:hAnsiTheme="minorHAnsi"/>
          <w:lang w:val="mk-MK"/>
        </w:rPr>
        <w:t>Лабораторијата за контрола на храна третирана со јонизирачко зрачење</w:t>
      </w:r>
    </w:p>
    <w:p w14:paraId="49D1C884" w14:textId="77777777" w:rsidR="00EF132C" w:rsidRPr="008662BF" w:rsidRDefault="00EF132C" w:rsidP="00EF132C">
      <w:pPr>
        <w:jc w:val="both"/>
        <w:rPr>
          <w:lang w:val="mk-MK"/>
        </w:rPr>
      </w:pPr>
      <w:r w:rsidRPr="008662BF">
        <w:rPr>
          <w:lang w:val="mk-MK"/>
        </w:rPr>
        <w:t>Лабораторијата за контрола на храна третирана со јонизирачко зрачење e формирана во 2018 година на Факултетот за електротехника и информациски технологии. Лабораторијата врши контрола на храна третирана со јонизирачко зрачење како дел од владината програма за следење.</w:t>
      </w:r>
    </w:p>
    <w:p w14:paraId="10064BBE" w14:textId="46EA19BF" w:rsidR="00EF132C" w:rsidRPr="008662BF" w:rsidRDefault="0014303A" w:rsidP="00EF132C">
      <w:pPr>
        <w:jc w:val="both"/>
        <w:rPr>
          <w:lang w:val="mk-MK"/>
        </w:rPr>
      </w:pPr>
      <w:r w:rsidRPr="008662BF">
        <w:rPr>
          <w:lang w:val="mk-MK"/>
        </w:rPr>
        <w:t xml:space="preserve">Услуги што се обезбедуваат: </w:t>
      </w:r>
      <w:r w:rsidR="001E7AE5" w:rsidRPr="008662BF">
        <w:rPr>
          <w:lang w:val="mk-MK"/>
        </w:rPr>
        <w:t>о</w:t>
      </w:r>
      <w:r w:rsidR="00EF132C" w:rsidRPr="008662BF">
        <w:rPr>
          <w:lang w:val="mk-MK"/>
        </w:rPr>
        <w:t>ткривање на прехранбени производи изложени на гама</w:t>
      </w:r>
      <w:r w:rsidR="00C45B70">
        <w:rPr>
          <w:lang w:val="mk-MK"/>
        </w:rPr>
        <w:t>-</w:t>
      </w:r>
      <w:r w:rsidR="00EF132C" w:rsidRPr="008662BF">
        <w:rPr>
          <w:lang w:val="mk-MK"/>
        </w:rPr>
        <w:t xml:space="preserve">зраци од C0-60 и Cs-137, Х-зраци со енергија од максимум 5 MeV и електронски зраци со енергија од </w:t>
      </w:r>
      <w:r w:rsidRPr="008662BF">
        <w:rPr>
          <w:lang w:val="mk-MK"/>
        </w:rPr>
        <w:t xml:space="preserve">најмногу </w:t>
      </w:r>
      <w:r w:rsidR="00EF132C" w:rsidRPr="008662BF">
        <w:rPr>
          <w:lang w:val="mk-MK"/>
        </w:rPr>
        <w:t>10 MeV.</w:t>
      </w:r>
    </w:p>
    <w:p w14:paraId="5C947F0E" w14:textId="77777777" w:rsidR="00EF132C" w:rsidRPr="008662BF" w:rsidRDefault="001E7AE5" w:rsidP="00EF132C">
      <w:pPr>
        <w:jc w:val="both"/>
        <w:rPr>
          <w:lang w:val="mk-MK"/>
        </w:rPr>
      </w:pPr>
      <w:r w:rsidRPr="008662BF">
        <w:rPr>
          <w:lang w:val="mk-MK"/>
        </w:rPr>
        <w:t>Истражувачка опрема: л</w:t>
      </w:r>
      <w:r w:rsidR="00EF132C" w:rsidRPr="008662BF">
        <w:rPr>
          <w:lang w:val="mk-MK"/>
        </w:rPr>
        <w:t>абораторијата е опремена за испитување и карактеризација на материјали изложени на јонизирачко зрачење со користење на техниките на оптички стимулирана луминисценција и термолуминисценција. Сегашната вредност на истражувачката опрема се проценува на 23.000 евра.</w:t>
      </w:r>
    </w:p>
    <w:p w14:paraId="47DB1D6B" w14:textId="77777777" w:rsidR="000153E7" w:rsidRPr="008662BF" w:rsidRDefault="000153E7" w:rsidP="007947BF">
      <w:pPr>
        <w:pStyle w:val="Heading5"/>
        <w:spacing w:after="240"/>
        <w:rPr>
          <w:rFonts w:asciiTheme="minorHAnsi" w:hAnsiTheme="minorHAnsi"/>
          <w:lang w:val="mk-MK"/>
        </w:rPr>
      </w:pPr>
      <w:r w:rsidRPr="008662BF">
        <w:rPr>
          <w:rFonts w:asciiTheme="minorHAnsi" w:hAnsiTheme="minorHAnsi"/>
          <w:lang w:val="mk-MK"/>
        </w:rPr>
        <w:t>Лабораторија за физика</w:t>
      </w:r>
    </w:p>
    <w:p w14:paraId="3C0469D6" w14:textId="77777777" w:rsidR="00B95413" w:rsidRPr="008662BF" w:rsidRDefault="00B95413" w:rsidP="00B95413">
      <w:pPr>
        <w:jc w:val="both"/>
        <w:rPr>
          <w:lang w:val="mk-MK"/>
        </w:rPr>
      </w:pPr>
      <w:r w:rsidRPr="008662BF">
        <w:rPr>
          <w:lang w:val="mk-MK"/>
        </w:rPr>
        <w:t>Лабораторијата за физика ја користат студентите по физика за практични вежби и показни експерименти. Покрај наставната дејност, лабораторијата е посветена на поттикнување на соработка со засегнатите страни, компании и официјални институции во спроведувањето на различни апликативни проекти од областа на физиката на материјали,</w:t>
      </w:r>
      <w:r w:rsidR="00C45B70">
        <w:rPr>
          <w:lang w:val="mk-MK"/>
        </w:rPr>
        <w:t xml:space="preserve"> на</w:t>
      </w:r>
      <w:r w:rsidRPr="008662BF">
        <w:rPr>
          <w:lang w:val="mk-MK"/>
        </w:rPr>
        <w:t xml:space="preserve"> нуклеарната физика и </w:t>
      </w:r>
      <w:r w:rsidRPr="008662BF">
        <w:rPr>
          <w:lang w:val="mk-MK"/>
        </w:rPr>
        <w:lastRenderedPageBreak/>
        <w:t xml:space="preserve">нејзината примена, </w:t>
      </w:r>
      <w:r w:rsidR="00C45B70">
        <w:rPr>
          <w:lang w:val="mk-MK"/>
        </w:rPr>
        <w:t xml:space="preserve">на </w:t>
      </w:r>
      <w:r w:rsidRPr="008662BF">
        <w:rPr>
          <w:lang w:val="mk-MK"/>
        </w:rPr>
        <w:t>примена</w:t>
      </w:r>
      <w:r w:rsidR="00C45B70">
        <w:rPr>
          <w:lang w:val="mk-MK"/>
        </w:rPr>
        <w:t>та</w:t>
      </w:r>
      <w:r w:rsidRPr="008662BF">
        <w:rPr>
          <w:lang w:val="mk-MK"/>
        </w:rPr>
        <w:t xml:space="preserve"> на јонизирачките зрачења,</w:t>
      </w:r>
      <w:r w:rsidR="00C45B70">
        <w:rPr>
          <w:lang w:val="mk-MK"/>
        </w:rPr>
        <w:t xml:space="preserve"> на</w:t>
      </w:r>
      <w:r w:rsidRPr="008662BF">
        <w:rPr>
          <w:lang w:val="mk-MK"/>
        </w:rPr>
        <w:t xml:space="preserve"> контрола</w:t>
      </w:r>
      <w:r w:rsidR="00C45B70">
        <w:rPr>
          <w:lang w:val="mk-MK"/>
        </w:rPr>
        <w:t>та</w:t>
      </w:r>
      <w:r w:rsidRPr="008662BF">
        <w:rPr>
          <w:lang w:val="mk-MK"/>
        </w:rPr>
        <w:t xml:space="preserve"> на храна третирана со јонизирачко зрачење, таложење и проучување на тенки фолии за соларни примени, </w:t>
      </w:r>
      <w:r w:rsidR="00C45B70">
        <w:rPr>
          <w:lang w:val="mk-MK"/>
        </w:rPr>
        <w:t xml:space="preserve">на </w:t>
      </w:r>
      <w:r w:rsidRPr="008662BF">
        <w:rPr>
          <w:lang w:val="mk-MK"/>
        </w:rPr>
        <w:t xml:space="preserve">дизајнирање на фотоволтаични и соларно-термиски системи, </w:t>
      </w:r>
      <w:r w:rsidR="00C45B70">
        <w:rPr>
          <w:lang w:val="mk-MK"/>
        </w:rPr>
        <w:t xml:space="preserve">на </w:t>
      </w:r>
      <w:r w:rsidRPr="008662BF">
        <w:rPr>
          <w:lang w:val="mk-MK"/>
        </w:rPr>
        <w:t>проучување на обновливи извори на енергија итн.</w:t>
      </w:r>
    </w:p>
    <w:p w14:paraId="105D1A07" w14:textId="1DEA7DF8" w:rsidR="00B95413" w:rsidRPr="008662BF" w:rsidRDefault="001E7AE5" w:rsidP="00B95413">
      <w:pPr>
        <w:jc w:val="both"/>
        <w:rPr>
          <w:lang w:val="mk-MK"/>
        </w:rPr>
      </w:pPr>
      <w:r w:rsidRPr="008662BF">
        <w:rPr>
          <w:lang w:val="mk-MK"/>
        </w:rPr>
        <w:t>Услуги што се обезбедуваат: л</w:t>
      </w:r>
      <w:r w:rsidR="00B95413" w:rsidRPr="008662BF">
        <w:rPr>
          <w:lang w:val="mk-MK"/>
        </w:rPr>
        <w:t xml:space="preserve">абораторијата располага со опрема за прецизно мерење на должини, опрема за определување специфичен топлински капацитет на тврдо тело, вискозност кај течности, специфичен топлински капацитет на воздух, коефициент на ефикасност на сончев колектор, фокусно растојание на собирни и растурни леќи, испитување фотоелектричен ефект, Франк – Херцов експеримент, испитување дифракција на електрони, апсорпција на γ–зраци со GM бројач, ширина на забранета зона на Ge, α и β–спектроскопија, индекс на прекршување на планпаралелна стаклена плочка, полариметрија, индекс на прекршување на течности и раствори со Абеов рефрактометар, дифракција на компакт диск, оптички стимулирана луминисценција, оптичка карактеризација со UV </w:t>
      </w:r>
      <w:r w:rsidR="00B95413" w:rsidRPr="008662BF">
        <w:rPr>
          <w:rFonts w:ascii="Cambria Math" w:hAnsi="Cambria Math" w:cs="Cambria Math"/>
          <w:lang w:val="mk-MK"/>
        </w:rPr>
        <w:t>‑</w:t>
      </w:r>
      <w:r w:rsidR="00B95413" w:rsidRPr="008662BF">
        <w:rPr>
          <w:lang w:val="mk-MK"/>
        </w:rPr>
        <w:t xml:space="preserve"> Vis </w:t>
      </w:r>
      <w:r w:rsidR="00B95413" w:rsidRPr="008662BF">
        <w:rPr>
          <w:rFonts w:ascii="Calibri" w:hAnsi="Calibri" w:cs="Calibri"/>
          <w:lang w:val="mk-MK"/>
        </w:rPr>
        <w:t>спектроскопија</w:t>
      </w:r>
      <w:r w:rsidR="00B95413" w:rsidRPr="008662BF">
        <w:rPr>
          <w:lang w:val="mk-MK"/>
        </w:rPr>
        <w:t xml:space="preserve">, </w:t>
      </w:r>
      <w:r w:rsidR="00B95413" w:rsidRPr="008662BF">
        <w:rPr>
          <w:rFonts w:ascii="Calibri" w:hAnsi="Calibri" w:cs="Calibri"/>
          <w:lang w:val="mk-MK"/>
        </w:rPr>
        <w:t>како</w:t>
      </w:r>
      <w:r w:rsidR="00C45B70">
        <w:rPr>
          <w:rFonts w:ascii="Calibri" w:hAnsi="Calibri" w:cs="Calibri"/>
          <w:lang w:val="mk-MK"/>
        </w:rPr>
        <w:t xml:space="preserve"> </w:t>
      </w:r>
      <w:r w:rsidR="00B95413" w:rsidRPr="008662BF">
        <w:rPr>
          <w:rFonts w:ascii="Calibri" w:hAnsi="Calibri" w:cs="Calibri"/>
          <w:lang w:val="mk-MK"/>
        </w:rPr>
        <w:t>и</w:t>
      </w:r>
      <w:r w:rsidR="00B95413" w:rsidRPr="008662BF">
        <w:rPr>
          <w:lang w:val="mk-MK"/>
        </w:rPr>
        <w:t xml:space="preserve"> 10 </w:t>
      </w:r>
      <w:r w:rsidR="00B95413" w:rsidRPr="008662BF">
        <w:rPr>
          <w:rFonts w:ascii="Calibri" w:hAnsi="Calibri" w:cs="Calibri"/>
          <w:lang w:val="mk-MK"/>
        </w:rPr>
        <w:t>персонални</w:t>
      </w:r>
      <w:r w:rsidR="00C45B70">
        <w:rPr>
          <w:rFonts w:ascii="Calibri" w:hAnsi="Calibri" w:cs="Calibri"/>
          <w:lang w:val="mk-MK"/>
        </w:rPr>
        <w:t xml:space="preserve"> </w:t>
      </w:r>
      <w:r w:rsidR="00B95413" w:rsidRPr="008662BF">
        <w:rPr>
          <w:rFonts w:ascii="Calibri" w:hAnsi="Calibri" w:cs="Calibri"/>
          <w:lang w:val="mk-MK"/>
        </w:rPr>
        <w:t>компјутери</w:t>
      </w:r>
      <w:r w:rsidR="00C45B70">
        <w:rPr>
          <w:rFonts w:ascii="Calibri" w:hAnsi="Calibri" w:cs="Calibri"/>
          <w:lang w:val="mk-MK"/>
        </w:rPr>
        <w:t xml:space="preserve"> </w:t>
      </w:r>
      <w:r w:rsidR="00B95413" w:rsidRPr="008662BF">
        <w:rPr>
          <w:rFonts w:ascii="Calibri" w:hAnsi="Calibri" w:cs="Calibri"/>
          <w:lang w:val="mk-MK"/>
        </w:rPr>
        <w:t>и</w:t>
      </w:r>
      <w:r w:rsidR="00C45B70">
        <w:rPr>
          <w:rFonts w:ascii="Calibri" w:hAnsi="Calibri" w:cs="Calibri"/>
          <w:lang w:val="mk-MK"/>
        </w:rPr>
        <w:t xml:space="preserve"> </w:t>
      </w:r>
      <w:r w:rsidR="00B95413" w:rsidRPr="008662BF">
        <w:rPr>
          <w:rFonts w:ascii="Calibri" w:hAnsi="Calibri" w:cs="Calibri"/>
          <w:lang w:val="mk-MK"/>
        </w:rPr>
        <w:t>софтвери</w:t>
      </w:r>
      <w:r w:rsidR="00C45B70">
        <w:rPr>
          <w:rFonts w:ascii="Calibri" w:hAnsi="Calibri" w:cs="Calibri"/>
          <w:lang w:val="mk-MK"/>
        </w:rPr>
        <w:t xml:space="preserve"> </w:t>
      </w:r>
      <w:r w:rsidR="00B95413" w:rsidRPr="008662BF">
        <w:rPr>
          <w:rFonts w:ascii="Calibri" w:hAnsi="Calibri" w:cs="Calibri"/>
          <w:lang w:val="mk-MK"/>
        </w:rPr>
        <w:t>за</w:t>
      </w:r>
      <w:r w:rsidR="00C45B70">
        <w:rPr>
          <w:rFonts w:ascii="Calibri" w:hAnsi="Calibri" w:cs="Calibri"/>
          <w:lang w:val="mk-MK"/>
        </w:rPr>
        <w:t xml:space="preserve"> </w:t>
      </w:r>
      <w:r w:rsidR="00B95413" w:rsidRPr="008662BF">
        <w:rPr>
          <w:rFonts w:ascii="Calibri" w:hAnsi="Calibri" w:cs="Calibri"/>
          <w:lang w:val="mk-MK"/>
        </w:rPr>
        <w:t>симулации</w:t>
      </w:r>
      <w:r w:rsidR="00C45B70">
        <w:rPr>
          <w:rFonts w:ascii="Calibri" w:hAnsi="Calibri" w:cs="Calibri"/>
          <w:lang w:val="mk-MK"/>
        </w:rPr>
        <w:t xml:space="preserve"> </w:t>
      </w:r>
      <w:r w:rsidR="00B95413" w:rsidRPr="008662BF">
        <w:rPr>
          <w:rFonts w:ascii="Calibri" w:hAnsi="Calibri" w:cs="Calibri"/>
          <w:lang w:val="mk-MK"/>
        </w:rPr>
        <w:t>во</w:t>
      </w:r>
      <w:r w:rsidR="00B95413" w:rsidRPr="008662BF">
        <w:rPr>
          <w:lang w:val="mk-MK"/>
        </w:rPr>
        <w:t xml:space="preserve"> LabVIEW, CrystalMaker, Lumerical Software Solutions </w:t>
      </w:r>
      <w:r w:rsidR="00B95413" w:rsidRPr="008662BF">
        <w:rPr>
          <w:rFonts w:ascii="Calibri" w:hAnsi="Calibri" w:cs="Calibri"/>
          <w:lang w:val="mk-MK"/>
        </w:rPr>
        <w:t>и</w:t>
      </w:r>
      <w:r w:rsidR="00B95413" w:rsidRPr="008662BF">
        <w:rPr>
          <w:lang w:val="mk-MK"/>
        </w:rPr>
        <w:t xml:space="preserve"> Unity3D.</w:t>
      </w:r>
    </w:p>
    <w:p w14:paraId="5EBC2581" w14:textId="77777777" w:rsidR="000153E7" w:rsidRPr="008662BF" w:rsidRDefault="001E7AE5" w:rsidP="000153E7">
      <w:pPr>
        <w:jc w:val="both"/>
        <w:rPr>
          <w:lang w:val="mk-MK"/>
        </w:rPr>
      </w:pPr>
      <w:r w:rsidRPr="008662BF">
        <w:rPr>
          <w:lang w:val="mk-MK"/>
        </w:rPr>
        <w:t>Истражувачка опрема: л</w:t>
      </w:r>
      <w:r w:rsidR="000153E7" w:rsidRPr="008662BF">
        <w:rPr>
          <w:lang w:val="mk-MK"/>
        </w:rPr>
        <w:t>абораторијата за физика располага со капитална истражувачка опрема во вредност од над 50.000 евра. Вкупната проценета вредност на капиталната истражувачка опрема изнесува 25.000 евра (набавната вредност изнесува</w:t>
      </w:r>
      <w:r w:rsidRPr="008662BF">
        <w:rPr>
          <w:lang w:val="mk-MK"/>
        </w:rPr>
        <w:t xml:space="preserve"> 290.000 евра). Списокот на </w:t>
      </w:r>
      <w:r w:rsidR="000153E7" w:rsidRPr="008662BF">
        <w:rPr>
          <w:lang w:val="mk-MK"/>
        </w:rPr>
        <w:t xml:space="preserve">единечна капитална истражувачка опрема во вредност од над 50.000 евра е даден во </w:t>
      </w:r>
      <w:r w:rsidR="004753FD" w:rsidRPr="008662BF">
        <w:rPr>
          <w:lang w:val="mk-MK"/>
        </w:rPr>
        <w:t>Прилог 1</w:t>
      </w:r>
      <w:r w:rsidR="000153E7" w:rsidRPr="008662BF">
        <w:rPr>
          <w:lang w:val="mk-MK"/>
        </w:rPr>
        <w:t>. Опремата се користи во наставно</w:t>
      </w:r>
      <w:r w:rsidRPr="008662BF">
        <w:rPr>
          <w:lang w:val="mk-MK"/>
        </w:rPr>
        <w:t>-</w:t>
      </w:r>
      <w:r w:rsidR="000153E7" w:rsidRPr="008662BF">
        <w:rPr>
          <w:lang w:val="mk-MK"/>
        </w:rPr>
        <w:t>научната и истражувачката дејност, за изработка на магистерски и докторски дисертации во повеќе области на примена на јонизирачките зрачења и карактеризација на материјалите.</w:t>
      </w:r>
    </w:p>
    <w:p w14:paraId="72F7B115" w14:textId="77777777" w:rsidR="000153E7" w:rsidRPr="008662BF" w:rsidRDefault="000153E7" w:rsidP="000153E7">
      <w:pPr>
        <w:jc w:val="both"/>
        <w:rPr>
          <w:lang w:val="mk-MK"/>
        </w:rPr>
      </w:pPr>
      <w:r w:rsidRPr="008662BF">
        <w:rPr>
          <w:lang w:val="mk-MK"/>
        </w:rPr>
        <w:t>Идните инвестиции во истражувачката опрема вклучуваат надградба на истражувачката инфраструктура со дополнителна опрема за да се прошири опсегот на примена на тековната опрема, како и за одржување и обновување на постојната опрема.</w:t>
      </w:r>
    </w:p>
    <w:p w14:paraId="23517010" w14:textId="77777777" w:rsidR="00F424D2" w:rsidRPr="008662BF" w:rsidRDefault="00F424D2" w:rsidP="007947BF">
      <w:pPr>
        <w:pStyle w:val="Heading5"/>
        <w:spacing w:after="240"/>
        <w:rPr>
          <w:rFonts w:asciiTheme="minorHAnsi" w:hAnsiTheme="minorHAnsi"/>
          <w:lang w:val="mk-MK"/>
        </w:rPr>
      </w:pPr>
      <w:r w:rsidRPr="008662BF">
        <w:rPr>
          <w:rFonts w:asciiTheme="minorHAnsi" w:hAnsiTheme="minorHAnsi"/>
          <w:lang w:val="mk-MK"/>
        </w:rPr>
        <w:t>Лабораторија за безжични и мобилни мрежи</w:t>
      </w:r>
    </w:p>
    <w:p w14:paraId="0644CBFD" w14:textId="263DA449" w:rsidR="00F424D2" w:rsidRDefault="00F424D2" w:rsidP="00F424D2">
      <w:pPr>
        <w:jc w:val="both"/>
        <w:rPr>
          <w:lang w:val="mk-MK"/>
        </w:rPr>
      </w:pPr>
      <w:r w:rsidRPr="008662BF">
        <w:rPr>
          <w:lang w:val="mk-MK"/>
        </w:rPr>
        <w:t>Истражувачките активности кои се вршат во рамките на Лабораторијата за безжични и мобилни мрежи се фокусирани на теоретски</w:t>
      </w:r>
      <w:r w:rsidR="004D44EA">
        <w:rPr>
          <w:lang w:val="mk-MK"/>
        </w:rPr>
        <w:t xml:space="preserve"> развој</w:t>
      </w:r>
      <w:r w:rsidRPr="008662BF">
        <w:rPr>
          <w:lang w:val="mk-MK"/>
        </w:rPr>
        <w:t xml:space="preserve">, како и </w:t>
      </w:r>
      <w:r w:rsidR="001E7AE5" w:rsidRPr="008662BF">
        <w:rPr>
          <w:lang w:val="mk-MK"/>
        </w:rPr>
        <w:t xml:space="preserve">на </w:t>
      </w:r>
      <w:r w:rsidRPr="008662BF">
        <w:rPr>
          <w:lang w:val="mk-MK"/>
        </w:rPr>
        <w:t xml:space="preserve">развој на прототипи и системи во областа на безжичните комуникации како што се: когнитивно радио, динамички пристап кон спектар, виртуелизација на радиомрежа, пресметување на работ на мрежата, обработка на сигнали и информации, теорија на безжични мрежи, безжични сензорски мрежи и е-здравје. Лабораторијата е опремена исклучиво со средства обезбедени во рамките на истражувачки проекти (ЕУ, НАТО, билатерални и Македонски Телеком). </w:t>
      </w:r>
    </w:p>
    <w:p w14:paraId="185268E7" w14:textId="43954824" w:rsidR="00F424D2" w:rsidRPr="001910A9" w:rsidRDefault="001E7AE5" w:rsidP="00F424D2">
      <w:pPr>
        <w:jc w:val="both"/>
      </w:pPr>
      <w:r w:rsidRPr="008662BF">
        <w:rPr>
          <w:lang w:val="mk-MK"/>
        </w:rPr>
        <w:t>Услуги што се обезбедуваат: л</w:t>
      </w:r>
      <w:r w:rsidR="00F424D2" w:rsidRPr="008662BF">
        <w:rPr>
          <w:lang w:val="mk-MK"/>
        </w:rPr>
        <w:t>абораторијата нема директни корисници на инфраструктурата. Резултатите од истражувачките активности ги користи Факултетот/Универзитетот за ширење на информации и видливост, како и за вмрежување и соработка во областа на безжичните комуникации.</w:t>
      </w:r>
    </w:p>
    <w:p w14:paraId="2C8F1E0A" w14:textId="77777777" w:rsidR="00F424D2" w:rsidRPr="008662BF" w:rsidRDefault="001E7AE5" w:rsidP="00F424D2">
      <w:pPr>
        <w:jc w:val="both"/>
        <w:rPr>
          <w:lang w:val="mk-MK"/>
        </w:rPr>
      </w:pPr>
      <w:r w:rsidRPr="008662BF">
        <w:rPr>
          <w:lang w:val="mk-MK"/>
        </w:rPr>
        <w:t>Истражувачка опрема: л</w:t>
      </w:r>
      <w:r w:rsidR="00F424D2" w:rsidRPr="008662BF">
        <w:rPr>
          <w:lang w:val="mk-MK"/>
        </w:rPr>
        <w:t xml:space="preserve">абораторијата поседува капитална истражувачка опрема во вредност од над 50.000 евра. Вкупната проценета вредност на капиталната истражувачка опрема изнесува 150.000 евра (набавната вредност изнесува над 1 милион евра). Списокот на поединечната капитална истражувачка опрема во вредност од над 50.000 евра е даден во </w:t>
      </w:r>
      <w:r w:rsidR="004753FD" w:rsidRPr="008662BF">
        <w:rPr>
          <w:lang w:val="mk-MK"/>
        </w:rPr>
        <w:t>Прилог 1</w:t>
      </w:r>
      <w:r w:rsidR="00F424D2" w:rsidRPr="008662BF">
        <w:rPr>
          <w:lang w:val="mk-MK"/>
        </w:rPr>
        <w:t>.</w:t>
      </w:r>
    </w:p>
    <w:p w14:paraId="09804159" w14:textId="77777777" w:rsidR="003D6DFE" w:rsidRPr="008662BF" w:rsidRDefault="003D6DFE" w:rsidP="007947BF">
      <w:pPr>
        <w:pStyle w:val="Heading5"/>
        <w:spacing w:after="240"/>
        <w:rPr>
          <w:rFonts w:asciiTheme="minorHAnsi" w:hAnsiTheme="minorHAnsi"/>
          <w:lang w:val="mk-MK"/>
        </w:rPr>
      </w:pPr>
      <w:r w:rsidRPr="008662BF">
        <w:rPr>
          <w:rFonts w:asciiTheme="minorHAnsi" w:hAnsiTheme="minorHAnsi"/>
          <w:lang w:val="mk-MK"/>
        </w:rPr>
        <w:lastRenderedPageBreak/>
        <w:t>Институт за електрични машини, трансформатори и апарати</w:t>
      </w:r>
    </w:p>
    <w:p w14:paraId="1857B366" w14:textId="50FD56BB" w:rsidR="003D6DFE" w:rsidRPr="008662BF" w:rsidRDefault="003D6DFE" w:rsidP="003D6DFE">
      <w:pPr>
        <w:jc w:val="both"/>
        <w:rPr>
          <w:lang w:val="mk-MK"/>
        </w:rPr>
      </w:pPr>
      <w:r w:rsidRPr="008662BF">
        <w:rPr>
          <w:lang w:val="mk-MK"/>
        </w:rPr>
        <w:t xml:space="preserve">Институтот за електрични машини, трансформатори и апарати спроведува испитување на мали и специјални електрични машини, како и испитување на мали мотори </w:t>
      </w:r>
      <w:r w:rsidR="00724864">
        <w:rPr>
          <w:lang w:val="mk-MK"/>
        </w:rPr>
        <w:t>што</w:t>
      </w:r>
      <w:r w:rsidR="00724864" w:rsidRPr="008662BF">
        <w:rPr>
          <w:lang w:val="mk-MK"/>
        </w:rPr>
        <w:t xml:space="preserve"> </w:t>
      </w:r>
      <w:r w:rsidRPr="008662BF">
        <w:rPr>
          <w:lang w:val="mk-MK"/>
        </w:rPr>
        <w:t xml:space="preserve">се снабдуваат и контролираат преку енергетски конвертори. </w:t>
      </w:r>
    </w:p>
    <w:p w14:paraId="778A0F24" w14:textId="21F532FB" w:rsidR="003D6DFE" w:rsidRPr="008662BF" w:rsidRDefault="003D6DFE" w:rsidP="003D6DFE">
      <w:pPr>
        <w:jc w:val="both"/>
        <w:rPr>
          <w:lang w:val="mk-MK"/>
        </w:rPr>
      </w:pPr>
      <w:r w:rsidRPr="008662BF">
        <w:rPr>
          <w:lang w:val="mk-MK"/>
        </w:rPr>
        <w:t>Лабораторијата спроведува испитувања на сите електрични машини. Повеќето од нив мож</w:t>
      </w:r>
      <w:r w:rsidR="00724864">
        <w:rPr>
          <w:lang w:val="mk-MK"/>
        </w:rPr>
        <w:t>ат</w:t>
      </w:r>
      <w:r w:rsidRPr="008662BF">
        <w:rPr>
          <w:lang w:val="mk-MK"/>
        </w:rPr>
        <w:t xml:space="preserve"> да се испитуваат во режим на работа на мотор, како и во режим на работа на генератор. Испитувањето е првенствено наменето за студенти</w:t>
      </w:r>
      <w:r w:rsidR="00724864">
        <w:rPr>
          <w:lang w:val="mk-MK"/>
        </w:rPr>
        <w:t>те</w:t>
      </w:r>
      <w:r w:rsidRPr="008662BF">
        <w:rPr>
          <w:lang w:val="mk-MK"/>
        </w:rPr>
        <w:t xml:space="preserve"> и се врши на постојната опрема од производителите Lab-Volt (Канада) и TQ (Велика Британија).</w:t>
      </w:r>
    </w:p>
    <w:p w14:paraId="0673D609" w14:textId="77777777" w:rsidR="003D6DFE" w:rsidRPr="008662BF" w:rsidRDefault="001E7AE5" w:rsidP="003D6DFE">
      <w:pPr>
        <w:jc w:val="both"/>
        <w:rPr>
          <w:lang w:val="mk-MK"/>
        </w:rPr>
      </w:pPr>
      <w:r w:rsidRPr="008662BF">
        <w:rPr>
          <w:lang w:val="mk-MK"/>
        </w:rPr>
        <w:t xml:space="preserve">Истражувачка опрема: лабораторијата нема капитална </w:t>
      </w:r>
      <w:r w:rsidR="003D6DFE" w:rsidRPr="008662BF">
        <w:rPr>
          <w:lang w:val="mk-MK"/>
        </w:rPr>
        <w:t>истражувачка опрема со висока вредност. Вкупната вредност на инструментите за истражување се проценува на 15.000 евра, а тие се главно наменети за студенти</w:t>
      </w:r>
      <w:r w:rsidR="00724864">
        <w:rPr>
          <w:lang w:val="mk-MK"/>
        </w:rPr>
        <w:t>те</w:t>
      </w:r>
      <w:r w:rsidR="003D6DFE" w:rsidRPr="008662BF">
        <w:rPr>
          <w:lang w:val="mk-MK"/>
        </w:rPr>
        <w:t>.</w:t>
      </w:r>
    </w:p>
    <w:p w14:paraId="24E6D7C9" w14:textId="77777777" w:rsidR="00171286" w:rsidRPr="008662BF" w:rsidRDefault="00171286" w:rsidP="007947BF">
      <w:pPr>
        <w:pStyle w:val="Heading5"/>
        <w:spacing w:after="240"/>
        <w:rPr>
          <w:rFonts w:asciiTheme="minorHAnsi" w:hAnsiTheme="minorHAnsi"/>
          <w:lang w:val="mk-MK"/>
        </w:rPr>
      </w:pPr>
      <w:r w:rsidRPr="008662BF">
        <w:rPr>
          <w:rFonts w:asciiTheme="minorHAnsi" w:hAnsiTheme="minorHAnsi"/>
          <w:lang w:val="mk-MK"/>
        </w:rPr>
        <w:t>Лабораторија за пазари на електрична енергија</w:t>
      </w:r>
    </w:p>
    <w:p w14:paraId="46F0FC8E" w14:textId="56B18200" w:rsidR="00171286" w:rsidRPr="008662BF" w:rsidRDefault="00171286" w:rsidP="007947BF">
      <w:pPr>
        <w:jc w:val="both"/>
        <w:rPr>
          <w:lang w:val="mk-MK"/>
        </w:rPr>
      </w:pPr>
      <w:r w:rsidRPr="008662BF">
        <w:rPr>
          <w:lang w:val="mk-MK"/>
        </w:rPr>
        <w:t>Лабораторијата за пазари на електрична енергија функционира во рамките на Институтот за преносни електроенергетски системи (ИПЕЕС) на Факултетот за електротехника и информациски технологии (ФЕИТ) во Скопје. Формирана е за да ги следи образовните и научно</w:t>
      </w:r>
      <w:r w:rsidR="00724864">
        <w:rPr>
          <w:lang w:val="mk-MK"/>
        </w:rPr>
        <w:t>-</w:t>
      </w:r>
      <w:r w:rsidRPr="008662BF">
        <w:rPr>
          <w:lang w:val="mk-MK"/>
        </w:rPr>
        <w:t>истражувачките потреби од областа на електроенергетските системи на ФЕИТ, но и потребите на електроенергетските претпријатија и државните институции.</w:t>
      </w:r>
    </w:p>
    <w:p w14:paraId="2615B8D1" w14:textId="76C829D9" w:rsidR="00EA2867" w:rsidRPr="008662BF" w:rsidRDefault="001E7AE5" w:rsidP="00EA2867">
      <w:pPr>
        <w:jc w:val="both"/>
        <w:rPr>
          <w:lang w:val="mk-MK"/>
        </w:rPr>
      </w:pPr>
      <w:r w:rsidRPr="008662BF">
        <w:rPr>
          <w:lang w:val="mk-MK"/>
        </w:rPr>
        <w:t>Услуги што се обезбедуваат: л</w:t>
      </w:r>
      <w:r w:rsidR="00EA2867" w:rsidRPr="008662BF">
        <w:rPr>
          <w:lang w:val="mk-MK"/>
        </w:rPr>
        <w:t xml:space="preserve">абораторијата главно се користи за изведување настава и лабораториски вежби по предмети од областа на пазари на електрична енергија и електроенергетски системи. Софтверот се користи за истражувачки потреби на персоналот и за специфични лабораториски вежби </w:t>
      </w:r>
      <w:r w:rsidR="00724864">
        <w:rPr>
          <w:lang w:val="mk-MK"/>
        </w:rPr>
        <w:t>што</w:t>
      </w:r>
      <w:r w:rsidR="00724864" w:rsidRPr="008662BF">
        <w:rPr>
          <w:lang w:val="mk-MK"/>
        </w:rPr>
        <w:t xml:space="preserve"> </w:t>
      </w:r>
      <w:r w:rsidR="00EA2867" w:rsidRPr="008662BF">
        <w:rPr>
          <w:lang w:val="mk-MK"/>
        </w:rPr>
        <w:t>ги изведуваат студентите. Исто така, во зависност од потребите, некои софтверски решенија ги користат и студентите на постдипломски студии.</w:t>
      </w:r>
    </w:p>
    <w:p w14:paraId="2A5FEC9D" w14:textId="77777777" w:rsidR="00EA2867" w:rsidRPr="008662BF" w:rsidRDefault="001E7AE5" w:rsidP="00EA2867">
      <w:pPr>
        <w:jc w:val="both"/>
        <w:rPr>
          <w:lang w:val="mk-MK"/>
        </w:rPr>
      </w:pPr>
      <w:r w:rsidRPr="008662BF">
        <w:rPr>
          <w:lang w:val="mk-MK"/>
        </w:rPr>
        <w:t>Истражувачка опрема: л</w:t>
      </w:r>
      <w:r w:rsidR="00EA2867" w:rsidRPr="008662BF">
        <w:rPr>
          <w:lang w:val="mk-MK"/>
        </w:rPr>
        <w:t>абораторијата поседува истражувачка опрема од мала вредност. Опремата и софтверот за истражување се обезбедени преку проектот ТЕМПУС - ЦЕФЕС.</w:t>
      </w:r>
    </w:p>
    <w:p w14:paraId="3D050FD6" w14:textId="77777777" w:rsidR="00A71055" w:rsidRPr="008662BF" w:rsidRDefault="00A71055" w:rsidP="007947BF">
      <w:pPr>
        <w:pStyle w:val="Heading5"/>
        <w:spacing w:after="240"/>
        <w:rPr>
          <w:rFonts w:asciiTheme="minorHAnsi" w:hAnsiTheme="minorHAnsi"/>
          <w:lang w:val="mk-MK"/>
        </w:rPr>
      </w:pPr>
      <w:r w:rsidRPr="008662BF">
        <w:rPr>
          <w:rFonts w:asciiTheme="minorHAnsi" w:hAnsiTheme="minorHAnsi"/>
          <w:lang w:val="mk-MK"/>
        </w:rPr>
        <w:t>Лабораторија за автоматика и системско инженерство</w:t>
      </w:r>
    </w:p>
    <w:p w14:paraId="063D658E" w14:textId="77777777" w:rsidR="00A71055" w:rsidRPr="008662BF" w:rsidRDefault="00A71055" w:rsidP="00A71055">
      <w:pPr>
        <w:jc w:val="both"/>
        <w:rPr>
          <w:lang w:val="mk-MK"/>
        </w:rPr>
      </w:pPr>
      <w:r w:rsidRPr="008662BF">
        <w:rPr>
          <w:lang w:val="mk-MK"/>
        </w:rPr>
        <w:t>Лабораторијата за автоматика и системско инженерство нуди наставни, научни-истражувачки и апликативни можности за истражувачки</w:t>
      </w:r>
      <w:r w:rsidR="00724864">
        <w:rPr>
          <w:lang w:val="mk-MK"/>
        </w:rPr>
        <w:t>от</w:t>
      </w:r>
      <w:r w:rsidRPr="008662BF">
        <w:rPr>
          <w:lang w:val="mk-MK"/>
        </w:rPr>
        <w:t xml:space="preserve"> кадар, студенти</w:t>
      </w:r>
      <w:r w:rsidR="00724864">
        <w:rPr>
          <w:lang w:val="mk-MK"/>
        </w:rPr>
        <w:t>те</w:t>
      </w:r>
      <w:r w:rsidRPr="008662BF">
        <w:rPr>
          <w:lang w:val="mk-MK"/>
        </w:rPr>
        <w:t xml:space="preserve"> и надворешни</w:t>
      </w:r>
      <w:r w:rsidR="00724864">
        <w:rPr>
          <w:lang w:val="mk-MK"/>
        </w:rPr>
        <w:t>те</w:t>
      </w:r>
      <w:r w:rsidRPr="008662BF">
        <w:rPr>
          <w:lang w:val="mk-MK"/>
        </w:rPr>
        <w:t xml:space="preserve"> партнери.</w:t>
      </w:r>
    </w:p>
    <w:p w14:paraId="7C6D9FC5" w14:textId="77777777" w:rsidR="00A71055" w:rsidRPr="008662BF" w:rsidRDefault="00A71055" w:rsidP="00A71055">
      <w:pPr>
        <w:jc w:val="both"/>
        <w:rPr>
          <w:lang w:val="mk-MK"/>
        </w:rPr>
      </w:pPr>
      <w:r w:rsidRPr="008662BF">
        <w:rPr>
          <w:lang w:val="mk-MK"/>
        </w:rPr>
        <w:t>Активностите на лабораторијата опфаќаат области како: теорија на системи, управување, моделирање и компјутерски симулации, автоматизација на индустриското производство, програмабилни логички управувачи, SCADA системи, дистрибуирани контролни системи, индустриска роботика, мобилна роботика, машинско учење и вештачка интелигенција, фази – логика итн.</w:t>
      </w:r>
    </w:p>
    <w:p w14:paraId="149748B2" w14:textId="77777777" w:rsidR="00A71055" w:rsidRPr="008662BF" w:rsidRDefault="00A71055" w:rsidP="00A71055">
      <w:pPr>
        <w:jc w:val="both"/>
        <w:rPr>
          <w:lang w:val="mk-MK"/>
        </w:rPr>
      </w:pPr>
      <w:r w:rsidRPr="008662BF">
        <w:rPr>
          <w:lang w:val="mk-MK"/>
        </w:rPr>
        <w:t>Лабораторијата имаше можност да се приклучи на меѓународниот конзорциум SiNano (Европска академска и научна асоцијација за наноелектроника) којa сè уште не е искористенa поради финансиски причини (релативно високи надоместоци за пристапување и членарина).</w:t>
      </w:r>
    </w:p>
    <w:p w14:paraId="0ACC9F85" w14:textId="77777777" w:rsidR="00A71055" w:rsidRPr="008662BF" w:rsidRDefault="001E7AE5" w:rsidP="00A71055">
      <w:pPr>
        <w:jc w:val="both"/>
        <w:rPr>
          <w:lang w:val="mk-MK"/>
        </w:rPr>
      </w:pPr>
      <w:r w:rsidRPr="008662BF">
        <w:rPr>
          <w:lang w:val="mk-MK"/>
        </w:rPr>
        <w:lastRenderedPageBreak/>
        <w:t>Истражувачка опрема: л</w:t>
      </w:r>
      <w:r w:rsidR="00A71055" w:rsidRPr="008662BF">
        <w:rPr>
          <w:lang w:val="mk-MK"/>
        </w:rPr>
        <w:t>абораторијата нема капитална истражувачка опрема со висока вредност. Вкупната проценета вредност на малите инструменти за истражување изнесува околу 28.000 евра.</w:t>
      </w:r>
    </w:p>
    <w:p w14:paraId="67107666" w14:textId="77777777" w:rsidR="00BD3CC7" w:rsidRPr="008662BF" w:rsidRDefault="00BD3CC7" w:rsidP="007947BF">
      <w:pPr>
        <w:pStyle w:val="Heading5"/>
        <w:spacing w:after="240"/>
        <w:rPr>
          <w:rFonts w:asciiTheme="minorHAnsi" w:hAnsiTheme="minorHAnsi" w:cstheme="minorHAnsi"/>
          <w:lang w:val="mk-MK"/>
        </w:rPr>
      </w:pPr>
      <w:r w:rsidRPr="008662BF">
        <w:rPr>
          <w:rFonts w:asciiTheme="minorHAnsi" w:hAnsiTheme="minorHAnsi" w:cstheme="minorHAnsi"/>
          <w:lang w:val="mk-MK"/>
        </w:rPr>
        <w:t>Центар за трансфер на технологија и иновации</w:t>
      </w:r>
    </w:p>
    <w:p w14:paraId="7D9B1306" w14:textId="4C257BDA" w:rsidR="00BD3CC7" w:rsidRPr="008662BF" w:rsidRDefault="00BD3CC7" w:rsidP="007947BF">
      <w:pPr>
        <w:spacing w:after="0"/>
        <w:jc w:val="both"/>
        <w:rPr>
          <w:lang w:val="mk-MK"/>
        </w:rPr>
      </w:pPr>
      <w:r w:rsidRPr="008662BF">
        <w:rPr>
          <w:lang w:val="mk-MK"/>
        </w:rPr>
        <w:t xml:space="preserve">Центарот за трансфер на технологија и иновации (ИНОФЕИТ) е формиран на Факултетот за електротехника и информациски технологии како резултат на потребата за потесна соработка помеѓу научната заедница и индустријата. Главната идеја беше да се затвори јазот помеѓу академското образование и практичната експертиза и да се подготоват студентите за подобро справување со предизвиците во индустријата. ИНОФЕИТ е место за интеракција меѓу кадарот на ФЕИТ, студентите на ФЕИТ и индустриските партнери што треба да овозможи конекции и трансфер на технологии и на нови иновативни идеи што треба да го помогнат економскиот раст на секторот и општеството во целина. ФЕИТ во моментов е важен камен-темелник во македонскиот иновациски екосистем, коосновач на Акцелераторот УКИМ и кандидат </w:t>
      </w:r>
      <w:r w:rsidR="00815BEA" w:rsidRPr="008662BF">
        <w:rPr>
          <w:lang w:val="mk-MK"/>
        </w:rPr>
        <w:t xml:space="preserve">што </w:t>
      </w:r>
      <w:r w:rsidRPr="008662BF">
        <w:rPr>
          <w:lang w:val="mk-MK"/>
        </w:rPr>
        <w:t xml:space="preserve">Европската инвестициска банка (ЕИБ) го избра да стане центар на извонредност во своите области на интерес. ИНОФЕИТ нуди низа </w:t>
      </w:r>
      <w:r w:rsidR="00724864" w:rsidRPr="008662BF">
        <w:rPr>
          <w:lang w:val="mk-MK"/>
        </w:rPr>
        <w:t>при</w:t>
      </w:r>
      <w:r w:rsidR="00724864">
        <w:rPr>
          <w:lang w:val="mk-MK"/>
        </w:rPr>
        <w:t>способ</w:t>
      </w:r>
      <w:r w:rsidR="00724864" w:rsidRPr="008662BF">
        <w:rPr>
          <w:lang w:val="mk-MK"/>
        </w:rPr>
        <w:t xml:space="preserve">ени </w:t>
      </w:r>
      <w:r w:rsidRPr="008662BF">
        <w:rPr>
          <w:lang w:val="mk-MK"/>
        </w:rPr>
        <w:t xml:space="preserve">услуги за компаниите </w:t>
      </w:r>
      <w:r w:rsidR="00724864">
        <w:rPr>
          <w:lang w:val="mk-MK"/>
        </w:rPr>
        <w:t>што</w:t>
      </w:r>
      <w:r w:rsidRPr="008662BF">
        <w:rPr>
          <w:lang w:val="mk-MK"/>
        </w:rPr>
        <w:t xml:space="preserve"> имаат визија да се занимаваат со истражување и иновации и да инвестираат во иновативни решенија со што ќе се зголеми нивната вредност и ќе имаат пошироко влијание. Тие вклучуваат:</w:t>
      </w:r>
    </w:p>
    <w:p w14:paraId="4135C391" w14:textId="77777777" w:rsidR="00BD3CC7" w:rsidRPr="008662BF" w:rsidRDefault="00BD3CC7" w:rsidP="00BD3CC7">
      <w:pPr>
        <w:pStyle w:val="ListParagraph"/>
        <w:numPr>
          <w:ilvl w:val="0"/>
          <w:numId w:val="36"/>
        </w:numPr>
        <w:jc w:val="both"/>
        <w:rPr>
          <w:lang w:val="mk-MK"/>
        </w:rPr>
      </w:pPr>
      <w:r w:rsidRPr="008662BF">
        <w:rPr>
          <w:lang w:val="mk-MK"/>
        </w:rPr>
        <w:t>Поврзување на висококвалификувани научници со претприемачи</w:t>
      </w:r>
    </w:p>
    <w:p w14:paraId="469C6B37" w14:textId="77777777" w:rsidR="00BD3CC7" w:rsidRPr="008662BF" w:rsidRDefault="00BD3CC7" w:rsidP="00BD3CC7">
      <w:pPr>
        <w:pStyle w:val="ListParagraph"/>
        <w:numPr>
          <w:ilvl w:val="0"/>
          <w:numId w:val="36"/>
        </w:numPr>
        <w:jc w:val="both"/>
        <w:rPr>
          <w:lang w:val="mk-MK"/>
        </w:rPr>
      </w:pPr>
      <w:r w:rsidRPr="008662BF">
        <w:rPr>
          <w:lang w:val="mk-MK"/>
        </w:rPr>
        <w:t>Договори за истражување и решавање на практични проблеми во развојот на производот</w:t>
      </w:r>
    </w:p>
    <w:p w14:paraId="79C9F924" w14:textId="77777777" w:rsidR="00BD3CC7" w:rsidRPr="008662BF" w:rsidRDefault="00BD3CC7" w:rsidP="00BD3CC7">
      <w:pPr>
        <w:pStyle w:val="ListParagraph"/>
        <w:numPr>
          <w:ilvl w:val="0"/>
          <w:numId w:val="36"/>
        </w:numPr>
        <w:jc w:val="both"/>
        <w:rPr>
          <w:lang w:val="mk-MK"/>
        </w:rPr>
      </w:pPr>
      <w:r w:rsidRPr="008662BF">
        <w:rPr>
          <w:lang w:val="mk-MK"/>
        </w:rPr>
        <w:t>Колаборативно истражување за нови и иновативни идеи</w:t>
      </w:r>
    </w:p>
    <w:p w14:paraId="5467C3F3" w14:textId="77777777" w:rsidR="00BD3CC7" w:rsidRPr="008662BF" w:rsidRDefault="00BD3CC7" w:rsidP="00BD3CC7">
      <w:pPr>
        <w:pStyle w:val="ListParagraph"/>
        <w:numPr>
          <w:ilvl w:val="0"/>
          <w:numId w:val="36"/>
        </w:numPr>
        <w:jc w:val="both"/>
        <w:rPr>
          <w:lang w:val="mk-MK"/>
        </w:rPr>
      </w:pPr>
      <w:r w:rsidRPr="008662BF">
        <w:rPr>
          <w:lang w:val="mk-MK"/>
        </w:rPr>
        <w:t>Пристап до најсовремените лаборатории на ФЕИТ (вредни 2 милиони евра)</w:t>
      </w:r>
    </w:p>
    <w:p w14:paraId="2BD53472" w14:textId="77777777" w:rsidR="00815BEA" w:rsidRPr="008662BF" w:rsidRDefault="00815BEA" w:rsidP="00BD3CC7">
      <w:pPr>
        <w:pStyle w:val="ListParagraph"/>
        <w:numPr>
          <w:ilvl w:val="0"/>
          <w:numId w:val="36"/>
        </w:numPr>
        <w:jc w:val="both"/>
        <w:rPr>
          <w:lang w:val="mk-MK"/>
        </w:rPr>
      </w:pPr>
      <w:r w:rsidRPr="008662BF">
        <w:rPr>
          <w:lang w:val="mk-MK"/>
        </w:rPr>
        <w:t>Простор за заедничка работа</w:t>
      </w:r>
    </w:p>
    <w:p w14:paraId="2D49B3DC" w14:textId="74CBE35F" w:rsidR="004A5D81" w:rsidRPr="008662BF" w:rsidRDefault="00815BEA" w:rsidP="007947BF">
      <w:pPr>
        <w:spacing w:after="0"/>
        <w:jc w:val="both"/>
        <w:rPr>
          <w:lang w:val="mk-MK"/>
        </w:rPr>
      </w:pPr>
      <w:r w:rsidRPr="008662BF">
        <w:rPr>
          <w:lang w:val="mk-MK"/>
        </w:rPr>
        <w:t>И</w:t>
      </w:r>
      <w:r w:rsidR="004A5D81" w:rsidRPr="008662BF">
        <w:rPr>
          <w:lang w:val="mk-MK"/>
        </w:rPr>
        <w:t>НОФЕИТ работи во обновени најсовремени простории опремени со сите потребни алатки за неговото редовно секојдневно работење. Исто така, располага со одлична мрежа на локални и регионални компании, како што се инвестициски фондови за претпријатија во претпочетна и почетна фаза, сметководствени канцеларии, бизнис</w:t>
      </w:r>
      <w:r w:rsidR="00724864">
        <w:rPr>
          <w:lang w:val="mk-MK"/>
        </w:rPr>
        <w:t>-</w:t>
      </w:r>
      <w:r w:rsidR="004A5D81" w:rsidRPr="008662BF">
        <w:rPr>
          <w:lang w:val="mk-MK"/>
        </w:rPr>
        <w:t xml:space="preserve">ангели и хонорарци кои во секое време се подготвени да им помогнат на новооснованите компании (стартапи) </w:t>
      </w:r>
      <w:r w:rsidR="00383E0A">
        <w:rPr>
          <w:lang w:val="mk-MK"/>
        </w:rPr>
        <w:t>што</w:t>
      </w:r>
      <w:r w:rsidR="00383E0A" w:rsidRPr="008662BF">
        <w:rPr>
          <w:lang w:val="mk-MK"/>
        </w:rPr>
        <w:t xml:space="preserve"> </w:t>
      </w:r>
      <w:r w:rsidR="004A5D81" w:rsidRPr="008662BF">
        <w:rPr>
          <w:lang w:val="mk-MK"/>
        </w:rPr>
        <w:t>доаѓаат од ФЕИТ. ИНОФЕИТ им нуди:</w:t>
      </w:r>
    </w:p>
    <w:p w14:paraId="7F85CC78" w14:textId="4CDEB237" w:rsidR="004A5D81" w:rsidRPr="008662BF" w:rsidRDefault="004A5D81" w:rsidP="004A5D81">
      <w:pPr>
        <w:pStyle w:val="ListParagraph"/>
        <w:numPr>
          <w:ilvl w:val="0"/>
          <w:numId w:val="36"/>
        </w:numPr>
        <w:jc w:val="both"/>
        <w:rPr>
          <w:lang w:val="mk-MK"/>
        </w:rPr>
      </w:pPr>
      <w:r w:rsidRPr="008662BF">
        <w:rPr>
          <w:lang w:val="mk-MK"/>
        </w:rPr>
        <w:t>Прединкубација</w:t>
      </w:r>
    </w:p>
    <w:p w14:paraId="4B0217B9" w14:textId="77777777" w:rsidR="004A5D81" w:rsidRPr="008662BF" w:rsidRDefault="004A5D81" w:rsidP="004A5D81">
      <w:pPr>
        <w:pStyle w:val="ListParagraph"/>
        <w:numPr>
          <w:ilvl w:val="0"/>
          <w:numId w:val="36"/>
        </w:numPr>
        <w:jc w:val="both"/>
        <w:rPr>
          <w:lang w:val="mk-MK"/>
        </w:rPr>
      </w:pPr>
      <w:r w:rsidRPr="008662BF">
        <w:rPr>
          <w:lang w:val="mk-MK"/>
        </w:rPr>
        <w:t>Пристап до лабораториите на ФЕИТ</w:t>
      </w:r>
    </w:p>
    <w:p w14:paraId="2A54DF10" w14:textId="77777777" w:rsidR="004A5D81" w:rsidRPr="008662BF" w:rsidRDefault="004A5D81" w:rsidP="004A5D81">
      <w:pPr>
        <w:pStyle w:val="ListParagraph"/>
        <w:numPr>
          <w:ilvl w:val="0"/>
          <w:numId w:val="36"/>
        </w:numPr>
        <w:jc w:val="both"/>
        <w:rPr>
          <w:lang w:val="mk-MK"/>
        </w:rPr>
      </w:pPr>
      <w:r w:rsidRPr="008662BF">
        <w:rPr>
          <w:lang w:val="mk-MK"/>
        </w:rPr>
        <w:t>Менторство и коучинг</w:t>
      </w:r>
    </w:p>
    <w:p w14:paraId="14FE2DE6" w14:textId="77777777" w:rsidR="007947BF" w:rsidRPr="008662BF" w:rsidRDefault="004A5D81" w:rsidP="00362DB3">
      <w:pPr>
        <w:pStyle w:val="ListParagraph"/>
        <w:numPr>
          <w:ilvl w:val="0"/>
          <w:numId w:val="36"/>
        </w:numPr>
        <w:jc w:val="both"/>
        <w:rPr>
          <w:lang w:val="mk-MK"/>
        </w:rPr>
      </w:pPr>
      <w:r w:rsidRPr="008662BF">
        <w:rPr>
          <w:lang w:val="mk-MK"/>
        </w:rPr>
        <w:t>Пристап до финансии и пазар преку партнерска мрежа</w:t>
      </w:r>
      <w:r w:rsidR="00815BEA" w:rsidRPr="008662BF">
        <w:rPr>
          <w:lang w:val="mk-MK"/>
        </w:rPr>
        <w:t>.</w:t>
      </w:r>
    </w:p>
    <w:p w14:paraId="76339629" w14:textId="77777777" w:rsidR="007855C0" w:rsidRPr="008662BF" w:rsidRDefault="007855C0" w:rsidP="007947BF">
      <w:pPr>
        <w:pStyle w:val="Heading4"/>
        <w:rPr>
          <w:rFonts w:asciiTheme="minorHAnsi" w:hAnsiTheme="minorHAnsi"/>
          <w:lang w:val="mk-MK"/>
        </w:rPr>
      </w:pPr>
      <w:r w:rsidRPr="008662BF">
        <w:rPr>
          <w:rFonts w:asciiTheme="minorHAnsi" w:hAnsiTheme="minorHAnsi"/>
          <w:lang w:val="mk-MK"/>
        </w:rPr>
        <w:t>Машински факултет</w:t>
      </w:r>
    </w:p>
    <w:p w14:paraId="34149948" w14:textId="77777777" w:rsidR="007855C0" w:rsidRPr="008662BF" w:rsidRDefault="007855C0" w:rsidP="007947BF">
      <w:pPr>
        <w:pStyle w:val="Heading5"/>
        <w:spacing w:after="240"/>
        <w:rPr>
          <w:rFonts w:asciiTheme="minorHAnsi" w:hAnsiTheme="minorHAnsi"/>
          <w:lang w:val="mk-MK"/>
        </w:rPr>
      </w:pPr>
      <w:r w:rsidRPr="008662BF">
        <w:rPr>
          <w:rFonts w:asciiTheme="minorHAnsi" w:hAnsiTheme="minorHAnsi"/>
          <w:lang w:val="mk-MK"/>
        </w:rPr>
        <w:t>Лабораторија за калибрација на сила и момент на сила</w:t>
      </w:r>
    </w:p>
    <w:p w14:paraId="154938B3" w14:textId="77777777" w:rsidR="007855C0" w:rsidRPr="008662BF" w:rsidRDefault="007855C0" w:rsidP="007855C0">
      <w:pPr>
        <w:jc w:val="both"/>
        <w:rPr>
          <w:lang w:val="mk-MK"/>
        </w:rPr>
      </w:pPr>
      <w:r w:rsidRPr="008662BF">
        <w:rPr>
          <w:lang w:val="mk-MK"/>
        </w:rPr>
        <w:t>Лабораторијата за калибрација на сила и момент на сила е модерна, меѓународно призната лабораторија за испитување и калибрација. Таа е дел од меѓународната мрежа на лаборатории за калибрација во Европа и во светот. Лабораторијата врши калибрација на уредите за мерење на сила и момент на сила.</w:t>
      </w:r>
    </w:p>
    <w:p w14:paraId="3510E0D4" w14:textId="1667C7D1" w:rsidR="007855C0" w:rsidRPr="008662BF" w:rsidRDefault="00E5353F" w:rsidP="007855C0">
      <w:pPr>
        <w:jc w:val="both"/>
        <w:rPr>
          <w:lang w:val="mk-MK"/>
        </w:rPr>
      </w:pPr>
      <w:r w:rsidRPr="008662BF">
        <w:rPr>
          <w:lang w:val="mk-MK"/>
        </w:rPr>
        <w:lastRenderedPageBreak/>
        <w:t>Услуги што се обезбедуваат: л</w:t>
      </w:r>
      <w:r w:rsidR="007855C0" w:rsidRPr="008662BF">
        <w:rPr>
          <w:lang w:val="mk-MK"/>
        </w:rPr>
        <w:t>абораторијата обезбедува калибрација на момент</w:t>
      </w:r>
      <w:r w:rsidR="00383E0A">
        <w:rPr>
          <w:lang w:val="mk-MK"/>
        </w:rPr>
        <w:t>-</w:t>
      </w:r>
      <w:r w:rsidR="007855C0" w:rsidRPr="008662BF">
        <w:rPr>
          <w:lang w:val="mk-MK"/>
        </w:rPr>
        <w:t>клучеви; калибрација на уреди за мерење на сила; калибрација на преси и киналки и калибрација на други уреди.</w:t>
      </w:r>
    </w:p>
    <w:p w14:paraId="638DE886" w14:textId="77777777" w:rsidR="000C5596" w:rsidRPr="008662BF" w:rsidRDefault="00E5353F" w:rsidP="007947BF">
      <w:pPr>
        <w:jc w:val="both"/>
        <w:rPr>
          <w:lang w:val="mk-MK"/>
        </w:rPr>
      </w:pPr>
      <w:r w:rsidRPr="008662BF">
        <w:rPr>
          <w:lang w:val="mk-MK"/>
        </w:rPr>
        <w:t>Истражувачка опрема: в</w:t>
      </w:r>
      <w:r w:rsidR="000C5596" w:rsidRPr="008662BF">
        <w:rPr>
          <w:lang w:val="mk-MK"/>
        </w:rPr>
        <w:t>купната проценета вредност на капиталната истражувачка опрема изнесува 70.000 евра (набавната вредност изнесува</w:t>
      </w:r>
      <w:r w:rsidR="00383E0A">
        <w:rPr>
          <w:lang w:val="mk-MK"/>
        </w:rPr>
        <w:t xml:space="preserve"> </w:t>
      </w:r>
      <w:r w:rsidR="000C5596" w:rsidRPr="008662BF">
        <w:rPr>
          <w:lang w:val="mk-MK"/>
        </w:rPr>
        <w:t xml:space="preserve">220.000 евра). Нема единечна капитална истражувачка опрема </w:t>
      </w:r>
      <w:r w:rsidR="00C90FE1" w:rsidRPr="008662BF">
        <w:rPr>
          <w:lang w:val="mk-MK"/>
        </w:rPr>
        <w:t xml:space="preserve">со вредност </w:t>
      </w:r>
      <w:r w:rsidR="000C5596" w:rsidRPr="008662BF">
        <w:rPr>
          <w:lang w:val="mk-MK"/>
        </w:rPr>
        <w:t>над 50.000 евра.</w:t>
      </w:r>
    </w:p>
    <w:p w14:paraId="561E4FC5" w14:textId="77777777" w:rsidR="000C5596" w:rsidRPr="008662BF" w:rsidRDefault="000C5596" w:rsidP="007947BF">
      <w:pPr>
        <w:pStyle w:val="Heading5"/>
        <w:spacing w:after="240"/>
        <w:rPr>
          <w:rFonts w:asciiTheme="minorHAnsi" w:hAnsiTheme="minorHAnsi"/>
          <w:lang w:val="mk-MK"/>
        </w:rPr>
      </w:pPr>
      <w:r w:rsidRPr="008662BF">
        <w:rPr>
          <w:rFonts w:asciiTheme="minorHAnsi" w:hAnsiTheme="minorHAnsi"/>
          <w:lang w:val="mk-MK"/>
        </w:rPr>
        <w:t xml:space="preserve">Лабораторијата за тестирање на механички карактеристики, машини и возила </w:t>
      </w:r>
    </w:p>
    <w:p w14:paraId="63E71267" w14:textId="77777777" w:rsidR="000C5596" w:rsidRPr="008662BF" w:rsidRDefault="000C5596" w:rsidP="007947BF">
      <w:pPr>
        <w:jc w:val="both"/>
        <w:rPr>
          <w:lang w:val="mk-MK"/>
        </w:rPr>
      </w:pPr>
      <w:r w:rsidRPr="008662BF">
        <w:rPr>
          <w:lang w:val="mk-MK"/>
        </w:rPr>
        <w:t>Лабораторијата за тестирање на механички карактеристики, машини и возила е дел од меѓународната мрежа на лаборатории за тестирање во Европа и во светот. Лабораторијата врши тестирање на механички карактеристики, машини и возила со примена на стандардни методи.</w:t>
      </w:r>
    </w:p>
    <w:p w14:paraId="32B9F174" w14:textId="77777777" w:rsidR="00C90FE1" w:rsidRPr="008662BF" w:rsidRDefault="00E5353F" w:rsidP="00C90FE1">
      <w:pPr>
        <w:jc w:val="both"/>
        <w:rPr>
          <w:lang w:val="mk-MK"/>
        </w:rPr>
      </w:pPr>
      <w:r w:rsidRPr="008662BF">
        <w:rPr>
          <w:lang w:val="mk-MK"/>
        </w:rPr>
        <w:t>Услуги што се обезбедуваат: л</w:t>
      </w:r>
      <w:r w:rsidR="00C90FE1" w:rsidRPr="008662BF">
        <w:rPr>
          <w:lang w:val="mk-MK"/>
        </w:rPr>
        <w:t>абораторијата врши тестирање на механички карактеристики; тестирање на машини и тестирање на возила.</w:t>
      </w:r>
    </w:p>
    <w:p w14:paraId="2270C888" w14:textId="77777777" w:rsidR="00C90FE1" w:rsidRPr="008662BF" w:rsidRDefault="00E5353F" w:rsidP="00C90FE1">
      <w:pPr>
        <w:jc w:val="both"/>
        <w:rPr>
          <w:lang w:val="mk-MK"/>
        </w:rPr>
      </w:pPr>
      <w:r w:rsidRPr="008662BF">
        <w:rPr>
          <w:lang w:val="mk-MK"/>
        </w:rPr>
        <w:t>Истражувачка опрема: в</w:t>
      </w:r>
      <w:r w:rsidR="00C90FE1" w:rsidRPr="008662BF">
        <w:rPr>
          <w:lang w:val="mk-MK"/>
        </w:rPr>
        <w:t>купната проценета вредност на капиталната истражувачка опрема изнесува 50.000 евра (набавната вредност изнесува 180.000 евра). Нема единечна капитална истражувачка опрема со вредност над 50.000 евра.</w:t>
      </w:r>
    </w:p>
    <w:p w14:paraId="5BC9D7A1" w14:textId="77777777" w:rsidR="00D862BC" w:rsidRPr="008662BF" w:rsidRDefault="00D862BC" w:rsidP="007947BF">
      <w:pPr>
        <w:pStyle w:val="Heading4"/>
        <w:rPr>
          <w:rFonts w:asciiTheme="minorHAnsi" w:hAnsiTheme="minorHAnsi"/>
          <w:lang w:val="mk-MK"/>
        </w:rPr>
      </w:pPr>
      <w:r w:rsidRPr="008662BF">
        <w:rPr>
          <w:rFonts w:asciiTheme="minorHAnsi" w:hAnsiTheme="minorHAnsi"/>
          <w:lang w:val="mk-MK"/>
        </w:rPr>
        <w:t>Природно-математички факултет</w:t>
      </w:r>
    </w:p>
    <w:p w14:paraId="69622D9A" w14:textId="77777777" w:rsidR="00D862BC" w:rsidRPr="008662BF" w:rsidRDefault="00D862BC" w:rsidP="007947BF">
      <w:pPr>
        <w:pStyle w:val="Heading5"/>
        <w:spacing w:after="240"/>
        <w:rPr>
          <w:rFonts w:asciiTheme="minorHAnsi" w:hAnsiTheme="minorHAnsi"/>
          <w:lang w:val="mk-MK"/>
        </w:rPr>
      </w:pPr>
      <w:r w:rsidRPr="008662BF">
        <w:rPr>
          <w:rFonts w:asciiTheme="minorHAnsi" w:hAnsiTheme="minorHAnsi"/>
          <w:lang w:val="mk-MK"/>
        </w:rPr>
        <w:t>Институт за хемија</w:t>
      </w:r>
    </w:p>
    <w:p w14:paraId="767C5F48" w14:textId="77777777" w:rsidR="00CC332D" w:rsidRPr="008662BF" w:rsidRDefault="00CC332D" w:rsidP="00CC332D">
      <w:pPr>
        <w:jc w:val="both"/>
        <w:rPr>
          <w:lang w:val="mk-MK"/>
        </w:rPr>
      </w:pPr>
      <w:r w:rsidRPr="008662BF">
        <w:rPr>
          <w:lang w:val="mk-MK"/>
        </w:rPr>
        <w:t>Институтот за хемија спроведува хемиски анализи на природни производи, храна, како и истражувања во областа на хемијата на животната средина. Клучната капитална истражувачка опрема вклучува гасна хроматографија (GC/FID/ECD; GCxGC/TOF-MS; GC/MS) и течна хроматографија (HPLC/DAD/MS). Гасната и течната хроматографија се комплементарни техники за раздвојување, идентификување и квантификација, при што првата се користи за испарливи соединенија, а втората за сите други растворливи аналити и примероци.</w:t>
      </w:r>
    </w:p>
    <w:p w14:paraId="1C605468" w14:textId="77777777" w:rsidR="00CC332D" w:rsidRPr="008662BF" w:rsidRDefault="00E5353F" w:rsidP="00CC332D">
      <w:pPr>
        <w:jc w:val="both"/>
        <w:rPr>
          <w:lang w:val="mk-MK"/>
        </w:rPr>
      </w:pPr>
      <w:r w:rsidRPr="008662BF">
        <w:rPr>
          <w:lang w:val="mk-MK"/>
        </w:rPr>
        <w:t>Услуги што се обезбедуваат: и</w:t>
      </w:r>
      <w:r w:rsidR="00CC332D" w:rsidRPr="008662BF">
        <w:rPr>
          <w:lang w:val="mk-MK"/>
        </w:rPr>
        <w:t>дентификација и квантификација на одредени органски супстанции главно од европската приоритетна листа на интерес во разни примероци на воздух, почва и вода:</w:t>
      </w:r>
    </w:p>
    <w:p w14:paraId="3692C803" w14:textId="77777777" w:rsidR="00A96954" w:rsidRPr="008662BF" w:rsidRDefault="00A96954" w:rsidP="00A96954">
      <w:pPr>
        <w:pStyle w:val="ListParagraph"/>
        <w:numPr>
          <w:ilvl w:val="0"/>
          <w:numId w:val="26"/>
        </w:numPr>
        <w:jc w:val="both"/>
        <w:rPr>
          <w:lang w:val="mk-MK"/>
        </w:rPr>
      </w:pPr>
      <w:r w:rsidRPr="008662BF">
        <w:rPr>
          <w:lang w:val="mk-MK"/>
        </w:rPr>
        <w:t>Гасната хроматографска сепарација со различни детектори (масен спектрометар, пламено-јонизациски детектор и детектор за зафаќање електрони) може да се користи за идентификација и квантификација на: испарливи и полуиспарливи соединенија во животната средина, фармацевтски производи, пакување храна и сл.; пестициди, перзистентни (неразградливи) органски соединенија и ендокрини нарушувачи во примероците од животната средина и храната.</w:t>
      </w:r>
    </w:p>
    <w:p w14:paraId="380FF7B4" w14:textId="77777777" w:rsidR="00A96954" w:rsidRPr="008662BF" w:rsidRDefault="00A96954" w:rsidP="00A96954">
      <w:pPr>
        <w:pStyle w:val="ListParagraph"/>
        <w:numPr>
          <w:ilvl w:val="0"/>
          <w:numId w:val="26"/>
        </w:numPr>
        <w:jc w:val="both"/>
        <w:rPr>
          <w:lang w:val="mk-MK"/>
        </w:rPr>
      </w:pPr>
      <w:r w:rsidRPr="008662BF">
        <w:rPr>
          <w:lang w:val="mk-MK"/>
        </w:rPr>
        <w:t>Течните хроматографски сепарации со помош на UV-Vis детектори и масни спектрометри може да се користат за идентификација и квантификација на: фенолни соединенија во храната од растително потекло, вина, лековити растенија, мед итн.; активни соединенија и нечистотии во фармацевтски препарати; различни загадувачи, перзистентни органски соединенија и ендокрини нарушувачи во примероците од животната средина; лекови, експлозиви и други соединенија од интерес во форензичките примероци итн.</w:t>
      </w:r>
    </w:p>
    <w:p w14:paraId="579E7B59" w14:textId="77777777" w:rsidR="00A96954" w:rsidRPr="008662BF" w:rsidRDefault="00A96954" w:rsidP="00A96954">
      <w:pPr>
        <w:jc w:val="both"/>
        <w:rPr>
          <w:lang w:val="mk-MK"/>
        </w:rPr>
      </w:pPr>
      <w:r w:rsidRPr="008662BF">
        <w:rPr>
          <w:lang w:val="mk-MK"/>
        </w:rPr>
        <w:lastRenderedPageBreak/>
        <w:t>Инфраструктурата главно ја користат истражувачите и наставниот кадар од Институтот за хемија. Истражувачката инфраструктура не ја користи надворешен персонал.</w:t>
      </w:r>
    </w:p>
    <w:p w14:paraId="75EEDFB1" w14:textId="77777777" w:rsidR="00A96954" w:rsidRPr="008662BF" w:rsidRDefault="00E5353F" w:rsidP="00A96954">
      <w:pPr>
        <w:jc w:val="both"/>
        <w:rPr>
          <w:lang w:val="mk-MK"/>
        </w:rPr>
      </w:pPr>
      <w:r w:rsidRPr="008662BF">
        <w:rPr>
          <w:lang w:val="mk-MK"/>
        </w:rPr>
        <w:t>Истражувачка опрема: в</w:t>
      </w:r>
      <w:r w:rsidR="00A96954" w:rsidRPr="008662BF">
        <w:rPr>
          <w:lang w:val="mk-MK"/>
        </w:rPr>
        <w:t xml:space="preserve">купната набавна вредност на капиталната истражувачка опрема на Институтот се проценува на 466.000 евра. Сепак, поголемиот дел од истражувачката опремата е набавена пред повеќе од 10 години. Вкупниот список на капитална истражувачка опрема е даден во </w:t>
      </w:r>
      <w:r w:rsidR="004753FD" w:rsidRPr="008662BF">
        <w:rPr>
          <w:lang w:val="mk-MK"/>
        </w:rPr>
        <w:t>Прилог 1</w:t>
      </w:r>
      <w:r w:rsidR="00A96954" w:rsidRPr="008662BF">
        <w:rPr>
          <w:lang w:val="mk-MK"/>
        </w:rPr>
        <w:t>.</w:t>
      </w:r>
    </w:p>
    <w:p w14:paraId="68088BC0" w14:textId="77777777" w:rsidR="009F38DF" w:rsidRPr="008662BF" w:rsidRDefault="009F38DF" w:rsidP="009F38DF">
      <w:pPr>
        <w:pStyle w:val="Heading4"/>
        <w:spacing w:after="240"/>
        <w:rPr>
          <w:rFonts w:asciiTheme="minorHAnsi" w:hAnsiTheme="minorHAnsi"/>
          <w:lang w:val="mk-MK"/>
        </w:rPr>
      </w:pPr>
      <w:r w:rsidRPr="008662BF">
        <w:rPr>
          <w:rFonts w:asciiTheme="minorHAnsi" w:hAnsiTheme="minorHAnsi"/>
          <w:lang w:val="mk-MK"/>
        </w:rPr>
        <w:t>Медицински факултет</w:t>
      </w:r>
    </w:p>
    <w:p w14:paraId="2AE627BB" w14:textId="77777777" w:rsidR="009F38DF" w:rsidRPr="008662BF" w:rsidRDefault="009F38DF" w:rsidP="007947BF">
      <w:pPr>
        <w:pStyle w:val="Heading5"/>
        <w:spacing w:after="240"/>
        <w:rPr>
          <w:rFonts w:asciiTheme="minorHAnsi" w:hAnsiTheme="minorHAnsi"/>
          <w:lang w:val="mk-MK"/>
        </w:rPr>
      </w:pPr>
      <w:r w:rsidRPr="008662BF">
        <w:rPr>
          <w:rFonts w:asciiTheme="minorHAnsi" w:hAnsiTheme="minorHAnsi"/>
          <w:lang w:val="mk-MK"/>
        </w:rPr>
        <w:t>Институт за имунобиологија и хумана генетика</w:t>
      </w:r>
    </w:p>
    <w:p w14:paraId="5A8F08C0" w14:textId="77777777" w:rsidR="009F38DF" w:rsidRPr="008662BF" w:rsidRDefault="009F38DF" w:rsidP="009F38DF">
      <w:pPr>
        <w:jc w:val="both"/>
        <w:rPr>
          <w:lang w:val="mk-MK"/>
        </w:rPr>
      </w:pPr>
      <w:r w:rsidRPr="008662BF">
        <w:rPr>
          <w:lang w:val="mk-MK"/>
        </w:rPr>
        <w:t>Институтот за имунобиологија и хумана генетика се занимава со основни и клинички истражувања во областа на имунологијата, генетиката и имуногенетиката. Се занимава со популациони генетски студии и истражувања во областа на трансплантацијата на цврсти органи и хематопоетски матични клетки.</w:t>
      </w:r>
    </w:p>
    <w:p w14:paraId="3C4F8318" w14:textId="77777777" w:rsidR="009F38DF" w:rsidRPr="008662BF" w:rsidRDefault="009F38DF" w:rsidP="009F38DF">
      <w:pPr>
        <w:jc w:val="both"/>
        <w:rPr>
          <w:lang w:val="mk-MK"/>
        </w:rPr>
      </w:pPr>
      <w:r w:rsidRPr="008662BF">
        <w:rPr>
          <w:lang w:val="mk-MK"/>
        </w:rPr>
        <w:t xml:space="preserve">Услуги што се обезбедуваат: Институтот спроведува истражувања во </w:t>
      </w:r>
      <w:r w:rsidR="00E5353F" w:rsidRPr="008662BF">
        <w:rPr>
          <w:lang w:val="mk-MK"/>
        </w:rPr>
        <w:t xml:space="preserve">повеќе </w:t>
      </w:r>
      <w:r w:rsidRPr="008662BF">
        <w:rPr>
          <w:lang w:val="mk-MK"/>
        </w:rPr>
        <w:t>области</w:t>
      </w:r>
      <w:r w:rsidR="00E5353F" w:rsidRPr="008662BF">
        <w:rPr>
          <w:lang w:val="mk-MK"/>
        </w:rPr>
        <w:t xml:space="preserve"> како </w:t>
      </w:r>
      <w:r w:rsidRPr="008662BF">
        <w:rPr>
          <w:lang w:val="mk-MK"/>
        </w:rPr>
        <w:t>молекуларни техники, почнувајќи со автоматска изолација и складирање на ДНК и РНК, амплификација со PCR и RT-PCR, хибридизација, секвенционирање на ДНК со помош на капиларна електрофореза и секвенционирање на ДНК со помош на NGS технологија. Исто така, користи неколку автоматизирани анализатори за квантитативно мерење на специфични протеини, како што се нефелометрија, FLASH CLIA, FEIA и класична ELISA.</w:t>
      </w:r>
    </w:p>
    <w:p w14:paraId="51650549" w14:textId="26695C9E" w:rsidR="009F38DF" w:rsidRPr="008662BF" w:rsidRDefault="009F38DF" w:rsidP="009F38DF">
      <w:pPr>
        <w:jc w:val="both"/>
        <w:rPr>
          <w:lang w:val="mk-MK"/>
        </w:rPr>
      </w:pPr>
      <w:r w:rsidRPr="008662BF">
        <w:rPr>
          <w:lang w:val="mk-MK"/>
        </w:rPr>
        <w:t xml:space="preserve">Истражувачка опрема: Институтот има капитална истражувачка опрема во вредност од над 50.000 евра. Вкупната вредност на капиталната истражувачка опрема на Институтот се проценува на 200.000 евра (набавната вредност изнесува500.000 евра). Во следните 2-3 години се планира натамошен развој на генетските истражувања и воведување на клеточни култури. Единечната капитална истражувачка опрема е наведена во </w:t>
      </w:r>
      <w:r w:rsidR="004753FD" w:rsidRPr="008662BF">
        <w:rPr>
          <w:lang w:val="mk-MK"/>
        </w:rPr>
        <w:t>Прилог 1</w:t>
      </w:r>
      <w:r w:rsidRPr="008662BF">
        <w:rPr>
          <w:lang w:val="mk-MK"/>
        </w:rPr>
        <w:t>.</w:t>
      </w:r>
    </w:p>
    <w:p w14:paraId="2B88ABFF" w14:textId="77777777" w:rsidR="0050200E" w:rsidRPr="008662BF" w:rsidRDefault="0050200E" w:rsidP="007947BF">
      <w:pPr>
        <w:pStyle w:val="Heading5"/>
        <w:spacing w:after="240"/>
        <w:rPr>
          <w:rFonts w:asciiTheme="minorHAnsi" w:hAnsiTheme="minorHAnsi"/>
          <w:lang w:val="mk-MK"/>
        </w:rPr>
      </w:pPr>
      <w:r w:rsidRPr="008662BF">
        <w:rPr>
          <w:rFonts w:asciiTheme="minorHAnsi" w:hAnsiTheme="minorHAnsi"/>
          <w:lang w:val="mk-MK"/>
        </w:rPr>
        <w:t xml:space="preserve">Институт за патологија </w:t>
      </w:r>
    </w:p>
    <w:p w14:paraId="353B0D62" w14:textId="3312DC03" w:rsidR="00824A4F" w:rsidRPr="008662BF" w:rsidRDefault="00824A4F" w:rsidP="007947BF">
      <w:pPr>
        <w:jc w:val="both"/>
        <w:rPr>
          <w:lang w:val="mk-MK"/>
        </w:rPr>
      </w:pPr>
      <w:r w:rsidRPr="008662BF">
        <w:rPr>
          <w:lang w:val="mk-MK"/>
        </w:rPr>
        <w:t xml:space="preserve">Институтот за патологија поседува специјализирана опрема за спроведување на основни истражувања од областа на клиничката патологија. Неговите партнери и клиенти се универзитети, болници, јавни здравствени институции и фармацевтски компании. Во просториите на Институтот се наоѓаат 6 целосно автоматизирани и опремени лаборатории </w:t>
      </w:r>
      <w:r w:rsidR="00383E0A">
        <w:rPr>
          <w:lang w:val="mk-MK"/>
        </w:rPr>
        <w:t>што</w:t>
      </w:r>
      <w:r w:rsidR="00383E0A" w:rsidRPr="008662BF">
        <w:rPr>
          <w:lang w:val="mk-MK"/>
        </w:rPr>
        <w:t xml:space="preserve"> </w:t>
      </w:r>
      <w:r w:rsidRPr="008662BF">
        <w:rPr>
          <w:lang w:val="mk-MK"/>
        </w:rPr>
        <w:t xml:space="preserve">се користат за клинички потреби, како и за основни и клинички научно-истражувачки цели. </w:t>
      </w:r>
    </w:p>
    <w:p w14:paraId="357D47D6" w14:textId="758F24EC" w:rsidR="00824A4F" w:rsidRPr="008662BF" w:rsidRDefault="00824A4F" w:rsidP="00824A4F">
      <w:pPr>
        <w:jc w:val="both"/>
        <w:rPr>
          <w:lang w:val="mk-MK"/>
        </w:rPr>
      </w:pPr>
      <w:r w:rsidRPr="008662BF">
        <w:rPr>
          <w:lang w:val="mk-MK"/>
        </w:rPr>
        <w:t xml:space="preserve">Услуги што се обезбедуваат: Институтот е основан во 1947 година и чува голема количина архивски материјал </w:t>
      </w:r>
      <w:r w:rsidR="00383E0A">
        <w:rPr>
          <w:rFonts w:cstheme="minorHAnsi"/>
          <w:lang w:val="mk-MK"/>
        </w:rPr>
        <w:t>–</w:t>
      </w:r>
      <w:r w:rsidRPr="008662BF">
        <w:rPr>
          <w:lang w:val="mk-MK"/>
        </w:rPr>
        <w:t xml:space="preserve"> парафински калапи и хистослиди од тој период. Повеќе од 20 години води банка на замрзнати пресеци на ткива. Целиот овој материјал е достапен преку електронската база на патолошки извештаи основана во 1990 година, кон која може да се пристапи со писмена согласност од раководителот на Институтот за патологија.</w:t>
      </w:r>
    </w:p>
    <w:p w14:paraId="2239B16A" w14:textId="77777777" w:rsidR="00824A4F" w:rsidRPr="008662BF" w:rsidRDefault="00824A4F" w:rsidP="00824A4F">
      <w:pPr>
        <w:jc w:val="both"/>
        <w:rPr>
          <w:lang w:val="mk-MK"/>
        </w:rPr>
      </w:pPr>
      <w:r w:rsidRPr="008662BF">
        <w:rPr>
          <w:lang w:val="mk-MK"/>
        </w:rPr>
        <w:t xml:space="preserve">Истражувачка опрема: Институтот располага со единечна капитална истражувачка опрема во вредност од над 50.000 евра. Вкупната вредност на капиталната истражувачка опрема на Институтот се проценува на 100.000 евра (набавната вредност изнесува 1,2 милиони евра). Се планираат идни инвестиции за обновување на постојната опрема со технологии од следната </w:t>
      </w:r>
      <w:r w:rsidRPr="008662BF">
        <w:rPr>
          <w:lang w:val="mk-MK"/>
        </w:rPr>
        <w:lastRenderedPageBreak/>
        <w:t>генерација, како и развој на виртуелна микроскопија и виртуелна 3D микроскопија. Един</w:t>
      </w:r>
      <w:r w:rsidR="00E5353F" w:rsidRPr="008662BF">
        <w:rPr>
          <w:lang w:val="mk-MK"/>
        </w:rPr>
        <w:t xml:space="preserve">ечната </w:t>
      </w:r>
      <w:r w:rsidRPr="008662BF">
        <w:rPr>
          <w:lang w:val="mk-MK"/>
        </w:rPr>
        <w:t xml:space="preserve">капитална истражувачка опрема </w:t>
      </w:r>
      <w:r w:rsidR="00E5353F" w:rsidRPr="008662BF">
        <w:rPr>
          <w:lang w:val="mk-MK"/>
        </w:rPr>
        <w:t xml:space="preserve">е </w:t>
      </w:r>
      <w:r w:rsidRPr="008662BF">
        <w:rPr>
          <w:lang w:val="mk-MK"/>
        </w:rPr>
        <w:t xml:space="preserve">наведена во </w:t>
      </w:r>
      <w:r w:rsidR="004753FD" w:rsidRPr="008662BF">
        <w:rPr>
          <w:lang w:val="mk-MK"/>
        </w:rPr>
        <w:t>Прилог 1</w:t>
      </w:r>
      <w:r w:rsidRPr="008662BF">
        <w:rPr>
          <w:lang w:val="mk-MK"/>
        </w:rPr>
        <w:t xml:space="preserve">. </w:t>
      </w:r>
    </w:p>
    <w:p w14:paraId="1A57ECBA" w14:textId="77777777" w:rsidR="00824A4F" w:rsidRPr="008662BF" w:rsidRDefault="00824A4F" w:rsidP="007947BF">
      <w:pPr>
        <w:pStyle w:val="Heading5"/>
        <w:spacing w:after="240"/>
        <w:rPr>
          <w:rFonts w:asciiTheme="minorHAnsi" w:hAnsiTheme="minorHAnsi"/>
          <w:lang w:val="mk-MK"/>
        </w:rPr>
      </w:pPr>
      <w:r w:rsidRPr="008662BF">
        <w:rPr>
          <w:rFonts w:asciiTheme="minorHAnsi" w:hAnsiTheme="minorHAnsi"/>
          <w:lang w:val="mk-MK"/>
        </w:rPr>
        <w:t>Институт за микробиологија и паразитологија</w:t>
      </w:r>
    </w:p>
    <w:p w14:paraId="3A215E68" w14:textId="48A9BE1E" w:rsidR="00582148" w:rsidRPr="008662BF" w:rsidRDefault="00582148" w:rsidP="00582148">
      <w:pPr>
        <w:jc w:val="both"/>
        <w:rPr>
          <w:lang w:val="mk-MK"/>
        </w:rPr>
      </w:pPr>
      <w:r w:rsidRPr="008662BF">
        <w:rPr>
          <w:lang w:val="mk-MK"/>
        </w:rPr>
        <w:t xml:space="preserve">Институтот за микробиологија и паразитологија главно се занимава со микробиолошка анализа на примероци од горниот и долниот респираторен тракт и околните места; анализа на генитален тракт, урина, примероци од интестинални паразити, хемокултура, аеробна и анаеробна култура со автоматизиран систем Bact/Alert, примероци од фекалии за бактериски патогени; примероци од кожа, рани, апсцеси, ткива, биопсии итн. Институтот соработува со многу микробиолошки лаборатории во </w:t>
      </w:r>
      <w:r w:rsidR="00417197">
        <w:rPr>
          <w:lang w:val="mk-MK"/>
        </w:rPr>
        <w:t>Република Северна Македонија</w:t>
      </w:r>
      <w:r w:rsidRPr="008662BF">
        <w:rPr>
          <w:lang w:val="mk-MK"/>
        </w:rPr>
        <w:t xml:space="preserve"> и регионот. Планира да постигне повисоко ниво на соработка со достапни и докажани лаборатории од странство.</w:t>
      </w:r>
    </w:p>
    <w:p w14:paraId="2D2F9685" w14:textId="77777777" w:rsidR="00582148" w:rsidRPr="008662BF" w:rsidRDefault="00E5353F" w:rsidP="00582148">
      <w:pPr>
        <w:jc w:val="both"/>
        <w:rPr>
          <w:lang w:val="mk-MK"/>
        </w:rPr>
      </w:pPr>
      <w:r w:rsidRPr="008662BF">
        <w:rPr>
          <w:lang w:val="mk-MK"/>
        </w:rPr>
        <w:t>Услуги што се обезбедуваат: р</w:t>
      </w:r>
      <w:r w:rsidR="00582148" w:rsidRPr="008662BF">
        <w:rPr>
          <w:lang w:val="mk-MK"/>
        </w:rPr>
        <w:t>еалните можности за спроведување на научни истражувања на Институтот во моменто</w:t>
      </w:r>
      <w:r w:rsidRPr="008662BF">
        <w:rPr>
          <w:lang w:val="mk-MK"/>
        </w:rPr>
        <w:t>в се ограничени</w:t>
      </w:r>
      <w:r w:rsidR="00582148" w:rsidRPr="008662BF">
        <w:rPr>
          <w:lang w:val="mk-MK"/>
        </w:rPr>
        <w:t>. Поседува лабораториски простор, одредена опрема, соодветни реагенси, но во прилично мал обем. Институтот работи на проширување на просторот за молекуларни истражувања со цел во иднина да биде многу поангажиран во научни цели.</w:t>
      </w:r>
    </w:p>
    <w:p w14:paraId="15AE44E2" w14:textId="77777777" w:rsidR="002A1338" w:rsidRPr="008662BF" w:rsidRDefault="002A1338" w:rsidP="007947BF">
      <w:pPr>
        <w:jc w:val="both"/>
        <w:rPr>
          <w:lang w:val="mk-MK"/>
        </w:rPr>
      </w:pPr>
      <w:r w:rsidRPr="008662BF">
        <w:rPr>
          <w:lang w:val="mk-MK"/>
        </w:rPr>
        <w:t>Истражувачка опрема: Институтот нема единечна капитална истражувачка опрема во вредност од над 50.000 евра. Поседува стандардна опрема за истражување и инструменти од мала вредност.</w:t>
      </w:r>
    </w:p>
    <w:p w14:paraId="59956067" w14:textId="77777777" w:rsidR="002A1338" w:rsidRPr="008662BF" w:rsidRDefault="002A1338" w:rsidP="007947BF">
      <w:pPr>
        <w:pStyle w:val="Heading5"/>
        <w:spacing w:after="240"/>
        <w:rPr>
          <w:rFonts w:asciiTheme="minorHAnsi" w:hAnsiTheme="minorHAnsi"/>
          <w:lang w:val="mk-MK"/>
        </w:rPr>
      </w:pPr>
      <w:r w:rsidRPr="008662BF">
        <w:rPr>
          <w:rFonts w:asciiTheme="minorHAnsi" w:hAnsiTheme="minorHAnsi"/>
          <w:lang w:val="mk-MK"/>
        </w:rPr>
        <w:t>Институт за медицинска и експериментална биохемија</w:t>
      </w:r>
    </w:p>
    <w:p w14:paraId="52A02223" w14:textId="2406CADA" w:rsidR="0046385E" w:rsidRPr="008662BF" w:rsidRDefault="0046385E" w:rsidP="007947BF">
      <w:pPr>
        <w:jc w:val="both"/>
        <w:rPr>
          <w:lang w:val="mk-MK"/>
        </w:rPr>
      </w:pPr>
      <w:r w:rsidRPr="008662BF">
        <w:rPr>
          <w:lang w:val="mk-MK"/>
        </w:rPr>
        <w:t xml:space="preserve">Институтот поседува специјализирана опрема за спроведување на истражувања </w:t>
      </w:r>
      <w:r w:rsidR="00582148" w:rsidRPr="008662BF">
        <w:rPr>
          <w:lang w:val="mk-MK"/>
        </w:rPr>
        <w:t xml:space="preserve">во областа на бионауките </w:t>
      </w:r>
      <w:r w:rsidRPr="008662BF">
        <w:rPr>
          <w:lang w:val="mk-MK"/>
        </w:rPr>
        <w:t xml:space="preserve">и клинички истражувања. Постојано е вклучен во неколку програми за шеми за надворешна оцена на квалитет (EQAS), </w:t>
      </w:r>
      <w:r w:rsidR="00383E0A">
        <w:rPr>
          <w:lang w:val="mk-MK"/>
        </w:rPr>
        <w:t>што</w:t>
      </w:r>
      <w:r w:rsidRPr="008662BF">
        <w:rPr>
          <w:lang w:val="mk-MK"/>
        </w:rPr>
        <w:t xml:space="preserve"> обезбедуваат независна и доверлива надворешна оцена на успешноста на лабораторијата. Институтот е првата јавна здравствена установа во </w:t>
      </w:r>
      <w:r w:rsidR="00417197">
        <w:rPr>
          <w:lang w:val="mk-MK"/>
        </w:rPr>
        <w:t>Република Северна Македонија</w:t>
      </w:r>
      <w:r w:rsidRPr="008662BF">
        <w:rPr>
          <w:lang w:val="mk-MK"/>
        </w:rPr>
        <w:t xml:space="preserve"> </w:t>
      </w:r>
      <w:r w:rsidR="00383E0A">
        <w:rPr>
          <w:lang w:val="mk-MK"/>
        </w:rPr>
        <w:t xml:space="preserve">што е </w:t>
      </w:r>
      <w:r w:rsidRPr="008662BF">
        <w:rPr>
          <w:lang w:val="mk-MK"/>
        </w:rPr>
        <w:t>вклучена во EQAS за вирусна имунологија - антитела на САРС-КоВ-2. Сертификат е добиен во ноември 2020 година.</w:t>
      </w:r>
    </w:p>
    <w:p w14:paraId="644A86EF" w14:textId="7C718501" w:rsidR="002A1338" w:rsidRPr="008662BF" w:rsidRDefault="002A1338" w:rsidP="007947BF">
      <w:pPr>
        <w:jc w:val="both"/>
        <w:rPr>
          <w:lang w:val="mk-MK"/>
        </w:rPr>
      </w:pPr>
      <w:r w:rsidRPr="008662BF">
        <w:rPr>
          <w:lang w:val="mk-MK"/>
        </w:rPr>
        <w:t>Истражувачка опрема: Институтот не поседува единечна капитална истражувачка опрема во вредност од над 50.000 евра. Сепак, тој е опремен со целосно автоматизирани биохемиски и имунолошки анализатори кои обезбедуваат лабораториски услуги, не само за клиничка намена, туку и за основни и клинички научно-истражувачки цели: анализатори базирани на фотометрија; биохемиски анализат</w:t>
      </w:r>
      <w:r w:rsidR="00E5353F" w:rsidRPr="008662BF">
        <w:rPr>
          <w:lang w:val="mk-MK"/>
        </w:rPr>
        <w:t>ори базирани на техниката ELISA</w:t>
      </w:r>
      <w:r w:rsidRPr="008662BF">
        <w:rPr>
          <w:lang w:val="mk-MK"/>
        </w:rPr>
        <w:t xml:space="preserve">; имунолошки анализатори базирани на техниките CLIA и ELFA; хематолошки анализатор; анализатор на електролити базиран на техниката ISE; хоризонтален систем за електрофореза за одвојување на серумски и уринарни протеини; </w:t>
      </w:r>
      <w:r w:rsidR="001F5578" w:rsidRPr="008662BF">
        <w:rPr>
          <w:lang w:val="mk-MK"/>
        </w:rPr>
        <w:t>систем за вертикална електрофореза за одвојување на серумски протеини и анализи на урина (микроскопски и макроскопски).</w:t>
      </w:r>
    </w:p>
    <w:p w14:paraId="1A276015" w14:textId="77777777" w:rsidR="00307C23" w:rsidRPr="008662BF" w:rsidRDefault="00307C23" w:rsidP="007947BF">
      <w:pPr>
        <w:pStyle w:val="Heading5"/>
        <w:spacing w:after="240"/>
        <w:rPr>
          <w:rFonts w:asciiTheme="minorHAnsi" w:hAnsiTheme="minorHAnsi"/>
          <w:lang w:val="mk-MK"/>
        </w:rPr>
      </w:pPr>
      <w:r w:rsidRPr="008662BF">
        <w:rPr>
          <w:rFonts w:asciiTheme="minorHAnsi" w:hAnsiTheme="minorHAnsi"/>
          <w:lang w:val="mk-MK"/>
        </w:rPr>
        <w:t>Институт за судска медицина, криминалистика и медицинска деонтологија</w:t>
      </w:r>
    </w:p>
    <w:p w14:paraId="739DD6A0" w14:textId="77777777" w:rsidR="00D60A40" w:rsidRPr="008662BF" w:rsidRDefault="00D60A40" w:rsidP="007947BF">
      <w:pPr>
        <w:spacing w:after="0"/>
        <w:jc w:val="both"/>
        <w:rPr>
          <w:lang w:val="mk-MK"/>
        </w:rPr>
      </w:pPr>
      <w:r w:rsidRPr="008662BF">
        <w:rPr>
          <w:lang w:val="mk-MK"/>
        </w:rPr>
        <w:t>Во рамките на Институтот за судска медицина, криминалистика и медицинска деонтологија, три лаборатории се утврдени како релевантни за истражувачки</w:t>
      </w:r>
      <w:r w:rsidR="00E5353F" w:rsidRPr="008662BF">
        <w:rPr>
          <w:lang w:val="mk-MK"/>
        </w:rPr>
        <w:t>те</w:t>
      </w:r>
      <w:r w:rsidRPr="008662BF">
        <w:rPr>
          <w:lang w:val="mk-MK"/>
        </w:rPr>
        <w:t xml:space="preserve"> инфраструктури: лабораторија за форензичка токсикологија, генетска лабораторија и лабораторија за патохистологија.</w:t>
      </w:r>
    </w:p>
    <w:p w14:paraId="093F9F88" w14:textId="2A0881FB" w:rsidR="00675210" w:rsidRPr="008662BF" w:rsidRDefault="00675210" w:rsidP="00675210">
      <w:pPr>
        <w:pStyle w:val="ListParagraph"/>
        <w:numPr>
          <w:ilvl w:val="0"/>
          <w:numId w:val="31"/>
        </w:numPr>
        <w:jc w:val="both"/>
        <w:rPr>
          <w:lang w:val="mk-MK"/>
        </w:rPr>
      </w:pPr>
      <w:r w:rsidRPr="008662BF">
        <w:rPr>
          <w:lang w:val="mk-MK"/>
        </w:rPr>
        <w:t>Лабораторијата за форензичка токсикологија врши токсиколошки анализи. Има два инструмент</w:t>
      </w:r>
      <w:r w:rsidR="00383E0A">
        <w:rPr>
          <w:lang w:val="mk-MK"/>
        </w:rPr>
        <w:t>а</w:t>
      </w:r>
      <w:r w:rsidRPr="008662BF">
        <w:rPr>
          <w:lang w:val="mk-MK"/>
        </w:rPr>
        <w:t xml:space="preserve"> за скрининг и 5 хроматографи. Главната цел на лабораторијата е да користи </w:t>
      </w:r>
      <w:r w:rsidRPr="008662BF">
        <w:rPr>
          <w:lang w:val="mk-MK"/>
        </w:rPr>
        <w:lastRenderedPageBreak/>
        <w:t>потврдени методи за целата апликативна работа, како и за развој на нови аналитички методи за апликативни и научни цели.</w:t>
      </w:r>
    </w:p>
    <w:p w14:paraId="68D7CAFE" w14:textId="77777777" w:rsidR="007947BF" w:rsidRPr="009D131E" w:rsidRDefault="005D76D7" w:rsidP="005D76D7">
      <w:pPr>
        <w:pStyle w:val="ListParagraph"/>
        <w:numPr>
          <w:ilvl w:val="0"/>
          <w:numId w:val="31"/>
        </w:numPr>
        <w:jc w:val="both"/>
        <w:rPr>
          <w:lang w:val="mk-MK"/>
        </w:rPr>
      </w:pPr>
      <w:r w:rsidRPr="009D131E">
        <w:rPr>
          <w:lang w:val="mk-MK"/>
        </w:rPr>
        <w:t xml:space="preserve">Генетската лабораторија е основана во 2004 година. Нејзините главни активности вклучуваат профилирање на ДНК од форензички случаи (идентификации, случаи на силување, убиства итн.), испитување на сродство и молекуларни тестови за САРС-КоВ-2. Истражувачките активности кои ги спроведува лабораторијата вклучуваат различни видови студии во областа на популациона генетика (STR и митохондријални ДНК маркери), анализи на генска експресија и диференцијална метилација на ткива и телесни течности. </w:t>
      </w:r>
    </w:p>
    <w:p w14:paraId="39936105" w14:textId="77777777" w:rsidR="005D76D7" w:rsidRPr="008662BF" w:rsidRDefault="005D76D7" w:rsidP="005D76D7">
      <w:pPr>
        <w:pStyle w:val="ListParagraph"/>
        <w:numPr>
          <w:ilvl w:val="0"/>
          <w:numId w:val="31"/>
        </w:numPr>
        <w:jc w:val="both"/>
        <w:rPr>
          <w:lang w:val="mk-MK"/>
        </w:rPr>
      </w:pPr>
      <w:r w:rsidRPr="008662BF">
        <w:rPr>
          <w:lang w:val="mk-MK"/>
        </w:rPr>
        <w:t>Лабораторијата за патохистологија е основана во 1980 година. Нејзините главни активности вклучуваат патохистолошка анализа на човечки ткива.</w:t>
      </w:r>
    </w:p>
    <w:p w14:paraId="65FDC220" w14:textId="77777777" w:rsidR="005D76D7" w:rsidRPr="008662BF" w:rsidRDefault="005D76D7" w:rsidP="007947BF">
      <w:pPr>
        <w:jc w:val="both"/>
        <w:rPr>
          <w:lang w:val="mk-MK"/>
        </w:rPr>
      </w:pPr>
      <w:r w:rsidRPr="008662BF">
        <w:rPr>
          <w:lang w:val="mk-MK"/>
        </w:rPr>
        <w:t>Истражувачка опрема: Институтот поседува капитална истражувачка опрема со висока вредност. Вкупната набавна вредност на истражувачката опрема надминува 2 милиони евра.</w:t>
      </w:r>
    </w:p>
    <w:p w14:paraId="530D2023" w14:textId="77777777" w:rsidR="000410F9" w:rsidRPr="008662BF" w:rsidRDefault="000410F9" w:rsidP="007947BF">
      <w:pPr>
        <w:pStyle w:val="Heading4"/>
        <w:spacing w:after="240"/>
        <w:rPr>
          <w:rFonts w:asciiTheme="minorHAnsi" w:hAnsiTheme="minorHAnsi"/>
          <w:lang w:val="mk-MK"/>
        </w:rPr>
      </w:pPr>
      <w:r w:rsidRPr="008662BF">
        <w:rPr>
          <w:rFonts w:asciiTheme="minorHAnsi" w:hAnsiTheme="minorHAnsi"/>
          <w:lang w:val="mk-MK"/>
        </w:rPr>
        <w:t>Фармацевтски факултет</w:t>
      </w:r>
    </w:p>
    <w:p w14:paraId="3996C8BD" w14:textId="77777777" w:rsidR="000410F9" w:rsidRPr="008662BF" w:rsidRDefault="000410F9" w:rsidP="007947BF">
      <w:pPr>
        <w:pStyle w:val="Heading5"/>
        <w:spacing w:after="240"/>
        <w:rPr>
          <w:rFonts w:asciiTheme="minorHAnsi" w:hAnsiTheme="minorHAnsi"/>
          <w:lang w:val="mk-MK"/>
        </w:rPr>
      </w:pPr>
      <w:r w:rsidRPr="008662BF">
        <w:rPr>
          <w:rFonts w:asciiTheme="minorHAnsi" w:hAnsiTheme="minorHAnsi"/>
          <w:lang w:val="mk-MK"/>
        </w:rPr>
        <w:t>Центар за биомолекуларни фармацевтски анализи</w:t>
      </w:r>
    </w:p>
    <w:p w14:paraId="689FD552" w14:textId="77777777" w:rsidR="00347389" w:rsidRPr="008662BF" w:rsidRDefault="00347389" w:rsidP="00347389">
      <w:pPr>
        <w:jc w:val="both"/>
        <w:rPr>
          <w:lang w:val="mk-MK"/>
        </w:rPr>
      </w:pPr>
      <w:r w:rsidRPr="008662BF">
        <w:rPr>
          <w:lang w:val="mk-MK"/>
        </w:rPr>
        <w:t>Центарот за биомолекуларни фармацевтски изведува базични, апликативни и развојни истражувања на биомолекулите кои наоѓаат примена во современата терапија на најчестите заболувања. Центарот е формиран во 2008 година. Центарот се состои од четири лаборатории. Лабораториите се конципирани во согласност со стандардите за молекуларно-дијагностичка дејност и опфаќаат: лабораторија за п</w:t>
      </w:r>
      <w:r w:rsidR="0052540B" w:rsidRPr="008662BF">
        <w:rPr>
          <w:lang w:val="mk-MK"/>
        </w:rPr>
        <w:t xml:space="preserve">одготовка </w:t>
      </w:r>
      <w:r w:rsidRPr="008662BF">
        <w:rPr>
          <w:lang w:val="mk-MK"/>
        </w:rPr>
        <w:t xml:space="preserve">на примероци (пре-PCR просторија), лабораторија за </w:t>
      </w:r>
      <w:r w:rsidR="0052540B" w:rsidRPr="008662BF">
        <w:rPr>
          <w:lang w:val="mk-MK"/>
        </w:rPr>
        <w:t>подготовка</w:t>
      </w:r>
      <w:r w:rsidRPr="008662BF">
        <w:rPr>
          <w:lang w:val="mk-MK"/>
        </w:rPr>
        <w:t xml:space="preserve"> на анализи (мастер-микс просторија), лабораторија за анализи на PCR продукти (пост-PCR просторија) и лабораторија за анализи на клеточни култури. </w:t>
      </w:r>
    </w:p>
    <w:p w14:paraId="56C7A2C0" w14:textId="71573070" w:rsidR="00347389" w:rsidRPr="008662BF" w:rsidRDefault="00347389" w:rsidP="00347389">
      <w:pPr>
        <w:jc w:val="both"/>
        <w:rPr>
          <w:lang w:val="mk-MK"/>
        </w:rPr>
      </w:pPr>
      <w:r w:rsidRPr="008662BF">
        <w:rPr>
          <w:lang w:val="mk-MK"/>
        </w:rPr>
        <w:t>Центарот се занимава со научна и истражувачка дејност од областа на молекуларната онкологија и фармакогенетиката;</w:t>
      </w:r>
      <w:r w:rsidR="00383E0A">
        <w:rPr>
          <w:lang w:val="mk-MK"/>
        </w:rPr>
        <w:t xml:space="preserve"> со</w:t>
      </w:r>
      <w:r w:rsidRPr="008662BF">
        <w:rPr>
          <w:lang w:val="mk-MK"/>
        </w:rPr>
        <w:t xml:space="preserve"> едукативна дејсност – обука на кадри </w:t>
      </w:r>
      <w:r w:rsidR="0052540B" w:rsidRPr="008662BF">
        <w:rPr>
          <w:lang w:val="mk-MK"/>
        </w:rPr>
        <w:t xml:space="preserve">на </w:t>
      </w:r>
      <w:r w:rsidRPr="008662BF">
        <w:rPr>
          <w:lang w:val="mk-MK"/>
        </w:rPr>
        <w:t>пос</w:t>
      </w:r>
      <w:r w:rsidR="009061D7">
        <w:rPr>
          <w:lang w:val="mk-MK"/>
        </w:rPr>
        <w:t>т</w:t>
      </w:r>
      <w:r w:rsidRPr="008662BF">
        <w:rPr>
          <w:lang w:val="mk-MK"/>
        </w:rPr>
        <w:t xml:space="preserve">дипломска настава за потребите на лабораториите кои се занимаваат со молекуларна дијагностика; </w:t>
      </w:r>
      <w:r w:rsidR="00383E0A">
        <w:rPr>
          <w:lang w:val="mk-MK"/>
        </w:rPr>
        <w:t xml:space="preserve">со </w:t>
      </w:r>
      <w:r w:rsidRPr="008662BF">
        <w:rPr>
          <w:lang w:val="mk-MK"/>
        </w:rPr>
        <w:t xml:space="preserve">апликативна дејност – анализи </w:t>
      </w:r>
      <w:r w:rsidR="00383E0A">
        <w:rPr>
          <w:lang w:val="mk-MK"/>
        </w:rPr>
        <w:t>што</w:t>
      </w:r>
      <w:r w:rsidRPr="008662BF">
        <w:rPr>
          <w:lang w:val="mk-MK"/>
        </w:rPr>
        <w:t xml:space="preserve"> се користат за персонализирана медицина вклучително молекуларна карактеризација на малигни заболувања</w:t>
      </w:r>
      <w:r w:rsidR="009061D7">
        <w:rPr>
          <w:lang w:val="mk-MK"/>
        </w:rPr>
        <w:t>; со</w:t>
      </w:r>
      <w:r w:rsidRPr="008662BF">
        <w:rPr>
          <w:lang w:val="mk-MK"/>
        </w:rPr>
        <w:t xml:space="preserve"> о</w:t>
      </w:r>
      <w:r w:rsidR="0052540B" w:rsidRPr="008662BF">
        <w:rPr>
          <w:lang w:val="mk-MK"/>
        </w:rPr>
        <w:t>дредување на наследна склоност н</w:t>
      </w:r>
      <w:r w:rsidRPr="008662BF">
        <w:rPr>
          <w:lang w:val="mk-MK"/>
        </w:rPr>
        <w:t>а малигни болести</w:t>
      </w:r>
      <w:r w:rsidR="009061D7">
        <w:rPr>
          <w:lang w:val="mk-MK"/>
        </w:rPr>
        <w:t>; со</w:t>
      </w:r>
      <w:r w:rsidRPr="008662BF">
        <w:rPr>
          <w:lang w:val="mk-MK"/>
        </w:rPr>
        <w:t xml:space="preserve"> фармакогенетски анализи за рационализација на терапијата</w:t>
      </w:r>
      <w:r w:rsidR="009061D7">
        <w:rPr>
          <w:lang w:val="mk-MK"/>
        </w:rPr>
        <w:t>; со</w:t>
      </w:r>
      <w:r w:rsidRPr="008662BF">
        <w:rPr>
          <w:lang w:val="mk-MK"/>
        </w:rPr>
        <w:t xml:space="preserve"> мониторинг на минимална резидуална болест, итн.</w:t>
      </w:r>
    </w:p>
    <w:p w14:paraId="43BB722C" w14:textId="77777777" w:rsidR="00347389" w:rsidRPr="008662BF" w:rsidRDefault="00347389" w:rsidP="00347389">
      <w:pPr>
        <w:jc w:val="both"/>
        <w:rPr>
          <w:lang w:val="mk-MK"/>
        </w:rPr>
      </w:pPr>
      <w:r w:rsidRPr="008662BF">
        <w:rPr>
          <w:lang w:val="mk-MK"/>
        </w:rPr>
        <w:t>Услугите што се обезбедуваат вклучуваат:</w:t>
      </w:r>
    </w:p>
    <w:p w14:paraId="0917D456" w14:textId="38EA2CE7" w:rsidR="007001B8" w:rsidRPr="008662BF" w:rsidRDefault="007001B8" w:rsidP="007001B8">
      <w:pPr>
        <w:pStyle w:val="ListParagraph"/>
        <w:numPr>
          <w:ilvl w:val="0"/>
          <w:numId w:val="40"/>
        </w:numPr>
        <w:jc w:val="both"/>
        <w:rPr>
          <w:lang w:val="mk-MK"/>
        </w:rPr>
      </w:pPr>
      <w:r w:rsidRPr="008662BF">
        <w:rPr>
          <w:lang w:val="mk-MK"/>
        </w:rPr>
        <w:t xml:space="preserve">Хематологија </w:t>
      </w:r>
      <w:r w:rsidR="009061D7">
        <w:rPr>
          <w:rFonts w:cstheme="minorHAnsi"/>
          <w:lang w:val="mk-MK"/>
        </w:rPr>
        <w:t>–</w:t>
      </w:r>
      <w:r w:rsidR="009061D7">
        <w:rPr>
          <w:lang w:val="mk-MK"/>
        </w:rPr>
        <w:t xml:space="preserve"> </w:t>
      </w:r>
      <w:r w:rsidRPr="008662BF">
        <w:rPr>
          <w:lang w:val="mk-MK"/>
        </w:rPr>
        <w:t>квалитативни анализи, откривање на предвидливи еднонуклеотидни мутации и цитогенетски абнормалности; квантитативни анализи, следење на минимална резидуална болест</w:t>
      </w:r>
    </w:p>
    <w:p w14:paraId="72398C41" w14:textId="0AC96945" w:rsidR="007001B8" w:rsidRPr="008662BF" w:rsidRDefault="007001B8" w:rsidP="007001B8">
      <w:pPr>
        <w:pStyle w:val="ListParagraph"/>
        <w:numPr>
          <w:ilvl w:val="0"/>
          <w:numId w:val="40"/>
        </w:numPr>
        <w:jc w:val="both"/>
        <w:rPr>
          <w:lang w:val="mk-MK"/>
        </w:rPr>
      </w:pPr>
      <w:r w:rsidRPr="008662BF">
        <w:rPr>
          <w:lang w:val="mk-MK"/>
        </w:rPr>
        <w:t xml:space="preserve">Солидни тумори </w:t>
      </w:r>
      <w:r w:rsidR="009061D7">
        <w:rPr>
          <w:rFonts w:cstheme="minorHAnsi"/>
          <w:lang w:val="mk-MK"/>
        </w:rPr>
        <w:t>–</w:t>
      </w:r>
      <w:r w:rsidRPr="008662BF">
        <w:rPr>
          <w:lang w:val="mk-MK"/>
        </w:rPr>
        <w:t xml:space="preserve"> предвидувачки и прогностички маркери</w:t>
      </w:r>
    </w:p>
    <w:p w14:paraId="24C68F7A" w14:textId="6BD83D40" w:rsidR="007001B8" w:rsidRPr="008662BF" w:rsidRDefault="007001B8" w:rsidP="007001B8">
      <w:pPr>
        <w:pStyle w:val="ListParagraph"/>
        <w:numPr>
          <w:ilvl w:val="0"/>
          <w:numId w:val="40"/>
        </w:numPr>
        <w:jc w:val="both"/>
        <w:rPr>
          <w:lang w:val="mk-MK"/>
        </w:rPr>
      </w:pPr>
      <w:r w:rsidRPr="008662BF">
        <w:rPr>
          <w:lang w:val="mk-MK"/>
        </w:rPr>
        <w:t xml:space="preserve">Наследни синдроми </w:t>
      </w:r>
      <w:r w:rsidR="009061D7">
        <w:rPr>
          <w:rFonts w:cstheme="minorHAnsi"/>
          <w:lang w:val="mk-MK"/>
        </w:rPr>
        <w:t>–</w:t>
      </w:r>
      <w:r w:rsidRPr="008662BF">
        <w:rPr>
          <w:lang w:val="mk-MK"/>
        </w:rPr>
        <w:t xml:space="preserve"> молекуларна карактеризација</w:t>
      </w:r>
    </w:p>
    <w:p w14:paraId="707B0A84" w14:textId="77777777" w:rsidR="007001B8" w:rsidRPr="008662BF" w:rsidRDefault="007001B8" w:rsidP="007001B8">
      <w:pPr>
        <w:pStyle w:val="ListParagraph"/>
        <w:numPr>
          <w:ilvl w:val="0"/>
          <w:numId w:val="40"/>
        </w:numPr>
        <w:jc w:val="both"/>
        <w:rPr>
          <w:lang w:val="mk-MK"/>
        </w:rPr>
      </w:pPr>
      <w:r w:rsidRPr="008662BF">
        <w:rPr>
          <w:lang w:val="mk-MK"/>
        </w:rPr>
        <w:t>Секвенционирање од нова генерација</w:t>
      </w:r>
    </w:p>
    <w:p w14:paraId="3B4F69EE" w14:textId="77777777" w:rsidR="007001B8" w:rsidRPr="008662BF" w:rsidRDefault="007001B8" w:rsidP="007001B8">
      <w:pPr>
        <w:pStyle w:val="ListParagraph"/>
        <w:numPr>
          <w:ilvl w:val="0"/>
          <w:numId w:val="40"/>
        </w:numPr>
        <w:jc w:val="both"/>
        <w:rPr>
          <w:lang w:val="mk-MK"/>
        </w:rPr>
      </w:pPr>
      <w:r w:rsidRPr="008662BF">
        <w:rPr>
          <w:lang w:val="mk-MK"/>
        </w:rPr>
        <w:t>Фармакогенетска анализа, генотипизација на гените вклучени во метаболизмот на лековите</w:t>
      </w:r>
    </w:p>
    <w:p w14:paraId="709FB297" w14:textId="61B2C180" w:rsidR="007001B8" w:rsidRPr="008662BF" w:rsidRDefault="007001B8" w:rsidP="007001B8">
      <w:pPr>
        <w:pStyle w:val="ListParagraph"/>
        <w:numPr>
          <w:ilvl w:val="0"/>
          <w:numId w:val="40"/>
        </w:numPr>
        <w:jc w:val="both"/>
        <w:rPr>
          <w:lang w:val="mk-MK"/>
        </w:rPr>
      </w:pPr>
      <w:r w:rsidRPr="008662BF">
        <w:rPr>
          <w:lang w:val="mk-MK"/>
        </w:rPr>
        <w:t xml:space="preserve">Микроорганизми </w:t>
      </w:r>
      <w:r w:rsidR="009061D7">
        <w:rPr>
          <w:rFonts w:cstheme="minorHAnsi"/>
          <w:lang w:val="mk-MK"/>
        </w:rPr>
        <w:t>–</w:t>
      </w:r>
      <w:r w:rsidRPr="008662BF">
        <w:rPr>
          <w:lang w:val="mk-MK"/>
        </w:rPr>
        <w:t xml:space="preserve"> квантитативни анализи</w:t>
      </w:r>
    </w:p>
    <w:p w14:paraId="3993309C" w14:textId="21B63214" w:rsidR="00D977A9" w:rsidRPr="008662BF" w:rsidRDefault="0052540B" w:rsidP="007947BF">
      <w:pPr>
        <w:jc w:val="both"/>
        <w:rPr>
          <w:lang w:val="mk-MK"/>
        </w:rPr>
      </w:pPr>
      <w:r w:rsidRPr="008662BF">
        <w:rPr>
          <w:lang w:val="mk-MK"/>
        </w:rPr>
        <w:lastRenderedPageBreak/>
        <w:t>Истражувачка опрема: ш</w:t>
      </w:r>
      <w:r w:rsidR="00D977A9" w:rsidRPr="008662BF">
        <w:rPr>
          <w:lang w:val="mk-MK"/>
        </w:rPr>
        <w:t xml:space="preserve">то се однесува до капиталната истражувачка опрема, Центарот </w:t>
      </w:r>
      <w:r w:rsidR="009061D7" w:rsidRPr="008662BF">
        <w:rPr>
          <w:lang w:val="mk-MK"/>
        </w:rPr>
        <w:t xml:space="preserve">во 2012 година </w:t>
      </w:r>
      <w:r w:rsidR="00D977A9" w:rsidRPr="008662BF">
        <w:rPr>
          <w:lang w:val="mk-MK"/>
        </w:rPr>
        <w:t>беше опремен со генетски анализатор Applied Biosystems™ 3500 (набавната вредност изнесуваше 120.000 евра). Опремен е и со истражувачки инструменти од мала вредност.</w:t>
      </w:r>
    </w:p>
    <w:p w14:paraId="5EBC9DEC" w14:textId="77777777" w:rsidR="00D977A9" w:rsidRPr="008662BF" w:rsidRDefault="00D977A9" w:rsidP="007947BF">
      <w:pPr>
        <w:pStyle w:val="Heading5"/>
        <w:spacing w:after="240"/>
        <w:rPr>
          <w:rFonts w:asciiTheme="minorHAnsi" w:hAnsiTheme="minorHAnsi"/>
          <w:lang w:val="mk-MK"/>
        </w:rPr>
      </w:pPr>
      <w:r w:rsidRPr="008662BF">
        <w:rPr>
          <w:rFonts w:asciiTheme="minorHAnsi" w:hAnsiTheme="minorHAnsi"/>
          <w:lang w:val="mk-MK"/>
        </w:rPr>
        <w:t>Центар за природни производи</w:t>
      </w:r>
    </w:p>
    <w:p w14:paraId="05034AFE" w14:textId="77777777" w:rsidR="00AE6615" w:rsidRPr="008662BF" w:rsidRDefault="00AE6615" w:rsidP="00AE6615">
      <w:pPr>
        <w:jc w:val="both"/>
        <w:rPr>
          <w:lang w:val="mk-MK"/>
        </w:rPr>
      </w:pPr>
      <w:r w:rsidRPr="008662BF">
        <w:rPr>
          <w:lang w:val="mk-MK"/>
        </w:rPr>
        <w:t>Центарот за природни производи е основан во 2009 година во рамките на Фармацевтскиот факултет во Скопје. Центарот за природни производи врши услуги и анализи во полето на природните производи (фармакогнозија, фитохемија и фитотерапија), давање стручни мислења и консултативни услуги, како и изработка на експертски извештаи, методолошки постапки и лабораториски анализи. Центарот претставува акредитирана лабораторија со систем за квалитет имплементиран според стандардот ISO17025.</w:t>
      </w:r>
    </w:p>
    <w:p w14:paraId="6A60A718" w14:textId="65ABF64A" w:rsidR="00AE6615" w:rsidRPr="008662BF" w:rsidRDefault="00AE6615" w:rsidP="00AE6615">
      <w:pPr>
        <w:jc w:val="both"/>
        <w:rPr>
          <w:lang w:val="mk-MK"/>
        </w:rPr>
      </w:pPr>
      <w:r w:rsidRPr="008662BF">
        <w:rPr>
          <w:lang w:val="mk-MK"/>
        </w:rPr>
        <w:t xml:space="preserve">Во ракмите на Центарот воспоставени се и се работат следниве анализи и услуги: определување на пепел, </w:t>
      </w:r>
      <w:r w:rsidR="00C50642" w:rsidRPr="00417197">
        <w:rPr>
          <w:lang w:val="mk-MK"/>
        </w:rPr>
        <w:t>туѓи</w:t>
      </w:r>
      <w:r w:rsidRPr="008662BF">
        <w:rPr>
          <w:lang w:val="mk-MK"/>
        </w:rPr>
        <w:t xml:space="preserve"> материи, определување на индекс на стоми, индекс на бабрење, определување на вода во етерични масла, масни масла во етерични масла итн.; испитување на органолептични својства на етерични масла; испитување на растителна дрога (PH.EUR.); GС/MS анализа на канабис и негови преработки; HPLC анализа на примерок; спектрофотометриска анализа на примерок; идентификација и докажување на хербални супстанци</w:t>
      </w:r>
      <w:r w:rsidR="00A1334F">
        <w:rPr>
          <w:lang w:val="mk-MK"/>
        </w:rPr>
        <w:t>и</w:t>
      </w:r>
      <w:r w:rsidRPr="008662BF">
        <w:rPr>
          <w:lang w:val="mk-MK"/>
        </w:rPr>
        <w:t xml:space="preserve"> и хербални преработки; итн.</w:t>
      </w:r>
    </w:p>
    <w:p w14:paraId="18F74619" w14:textId="77777777" w:rsidR="00AE6615" w:rsidRPr="008662BF" w:rsidRDefault="00AE6615" w:rsidP="006D475F">
      <w:pPr>
        <w:jc w:val="both"/>
        <w:rPr>
          <w:lang w:val="mk-MK"/>
        </w:rPr>
      </w:pPr>
      <w:r w:rsidRPr="008662BF">
        <w:rPr>
          <w:lang w:val="mk-MK"/>
        </w:rPr>
        <w:t>Истражувачка опрема: Што се однесува до капиталната истражувачка опрема, Центарот ги поседува следниве инструменти: Agilent 7890А гасен хроматограф поврзан со Agilent 5975С Quadripole масен детектор и со Shimadzu AOC 5000 Plus Headspace автосемплер и Agilent 1200 Series HPLC систем. Оваа опрема беше набавена со сопствени средства во 2006 и 2007 година.</w:t>
      </w:r>
    </w:p>
    <w:p w14:paraId="6148E2A7" w14:textId="77777777" w:rsidR="006D475F" w:rsidRPr="008662BF" w:rsidRDefault="006D475F" w:rsidP="006D475F">
      <w:pPr>
        <w:rPr>
          <w:color w:val="002060"/>
          <w:lang w:val="mk-MK"/>
        </w:rPr>
      </w:pPr>
      <w:r w:rsidRPr="008662BF">
        <w:rPr>
          <w:color w:val="002060"/>
          <w:lang w:val="mk-MK"/>
        </w:rPr>
        <w:t>Центар за контрола на квалитет на лекови</w:t>
      </w:r>
    </w:p>
    <w:p w14:paraId="442C1C00" w14:textId="77777777" w:rsidR="006D475F" w:rsidRPr="008662BF" w:rsidRDefault="006D475F" w:rsidP="006D475F">
      <w:pPr>
        <w:jc w:val="both"/>
        <w:rPr>
          <w:lang w:val="mk-MK"/>
        </w:rPr>
      </w:pPr>
      <w:r w:rsidRPr="008662BF">
        <w:rPr>
          <w:lang w:val="mk-MK"/>
        </w:rPr>
        <w:t>Центарот за контрола на квалитет на лекови врши лабораториски (фармацевтско-хемиски) испитувања на фармацевтски производи. Центарот врши испитувања самостојно, компетентно, независно и непристрасно во согласност со монографиите на актуелната фармакопеја, потврдените методи предложени од производителите и во согласност со националните и меѓународните стандарди и важечките прописи.</w:t>
      </w:r>
    </w:p>
    <w:p w14:paraId="6B3B0516" w14:textId="77777777" w:rsidR="006D475F" w:rsidRPr="008662BF" w:rsidRDefault="006D475F" w:rsidP="006D475F">
      <w:pPr>
        <w:jc w:val="both"/>
        <w:rPr>
          <w:lang w:val="mk-MK"/>
        </w:rPr>
      </w:pPr>
      <w:r w:rsidRPr="008662BF">
        <w:rPr>
          <w:lang w:val="mk-MK"/>
        </w:rPr>
        <w:t>Услуги што се обезбедуваат: Развој и валидација на аналитички методи за контрола на квалитетот на фармацевтските активни супстанции и готови фармацевтски производи.</w:t>
      </w:r>
    </w:p>
    <w:p w14:paraId="523F1C12" w14:textId="77777777" w:rsidR="006D475F" w:rsidRPr="008662BF" w:rsidRDefault="006D475F" w:rsidP="006D475F">
      <w:pPr>
        <w:jc w:val="both"/>
        <w:rPr>
          <w:lang w:val="mk-MK"/>
        </w:rPr>
      </w:pPr>
      <w:r w:rsidRPr="008662BF">
        <w:rPr>
          <w:lang w:val="mk-MK"/>
        </w:rPr>
        <w:t>Истражувачка опрема: Центарот располага со капитална истражувачка опрема со вкупна проценета вредност од 325.000 евра. Списокот на единечна истражувачка опрема во вредност од над 50.000 евра е даден во Прилог 1.</w:t>
      </w:r>
    </w:p>
    <w:p w14:paraId="5A24BAC6" w14:textId="77777777" w:rsidR="00794A70" w:rsidRPr="008662BF" w:rsidRDefault="00794A70" w:rsidP="007947BF">
      <w:pPr>
        <w:pStyle w:val="Heading4"/>
        <w:spacing w:after="240"/>
        <w:rPr>
          <w:rFonts w:asciiTheme="minorHAnsi" w:hAnsiTheme="minorHAnsi"/>
          <w:lang w:val="mk-MK"/>
        </w:rPr>
      </w:pPr>
      <w:r w:rsidRPr="008662BF">
        <w:rPr>
          <w:rFonts w:asciiTheme="minorHAnsi" w:hAnsiTheme="minorHAnsi"/>
          <w:lang w:val="mk-MK"/>
        </w:rPr>
        <w:t>Факултет за земјоделски науки и храна</w:t>
      </w:r>
    </w:p>
    <w:p w14:paraId="4E1E2EC5" w14:textId="3B737C7B" w:rsidR="00794A70" w:rsidRPr="008662BF" w:rsidRDefault="00794A70" w:rsidP="007947BF">
      <w:pPr>
        <w:spacing w:after="0"/>
        <w:jc w:val="both"/>
        <w:rPr>
          <w:lang w:val="mk-MK"/>
        </w:rPr>
      </w:pPr>
      <w:r w:rsidRPr="008662BF">
        <w:rPr>
          <w:lang w:val="mk-MK"/>
        </w:rPr>
        <w:t xml:space="preserve">На Факултетот за земјоделски науки и храна (ФЗНХ) се изведуваат научни, развојни и стручно-апликативни истражувања и </w:t>
      </w:r>
      <w:r w:rsidR="00A1334F">
        <w:rPr>
          <w:lang w:val="mk-MK"/>
        </w:rPr>
        <w:t>истите се</w:t>
      </w:r>
      <w:r w:rsidR="00A1334F" w:rsidRPr="008662BF">
        <w:rPr>
          <w:lang w:val="mk-MK"/>
        </w:rPr>
        <w:t xml:space="preserve"> </w:t>
      </w:r>
      <w:r w:rsidRPr="008662BF">
        <w:rPr>
          <w:lang w:val="mk-MK"/>
        </w:rPr>
        <w:t>примен</w:t>
      </w:r>
      <w:r w:rsidR="00A1334F">
        <w:rPr>
          <w:lang w:val="mk-MK"/>
        </w:rPr>
        <w:t>уваат</w:t>
      </w:r>
      <w:r w:rsidRPr="008662BF">
        <w:rPr>
          <w:lang w:val="mk-MK"/>
        </w:rPr>
        <w:t xml:space="preserve"> во практиката и се спроведуваат научно-истражувачки проекти од поширок меѓународен интерес. Факултетот соработува со голем број компании од земјоделско-прехранбениот сектор во </w:t>
      </w:r>
      <w:r w:rsidR="00417197">
        <w:rPr>
          <w:lang w:val="mk-MK"/>
        </w:rPr>
        <w:t>Република Северна Македонија</w:t>
      </w:r>
      <w:r w:rsidRPr="008662BF">
        <w:rPr>
          <w:lang w:val="mk-MK"/>
        </w:rPr>
        <w:t xml:space="preserve">. Во моментов, Факултетот  за  земјоделски  науки  и  храна е  организиран  во шест  внатрешни организациски  единици,  и тоа:  Институт  за  растителна  биотехнологија,  Институт  за анимална </w:t>
      </w:r>
      <w:r w:rsidRPr="008662BF">
        <w:rPr>
          <w:lang w:val="mk-MK"/>
        </w:rPr>
        <w:lastRenderedPageBreak/>
        <w:t>биотехнологија, Институт за храна, Институт за животна средина, Институт за заштита на растенијата и земјоделска техника и Институт за агроекономика. Секој од институтите се состои од различен број</w:t>
      </w:r>
      <w:r w:rsidR="00A1334F">
        <w:rPr>
          <w:lang w:val="mk-MK"/>
        </w:rPr>
        <w:t xml:space="preserve"> </w:t>
      </w:r>
      <w:r w:rsidRPr="008662BF">
        <w:rPr>
          <w:lang w:val="mk-MK"/>
        </w:rPr>
        <w:t>помали организациски единици-катедри и лаборатории. Најрелевантните лаборатории во однос на истражувачката инфраструктура се:</w:t>
      </w:r>
    </w:p>
    <w:p w14:paraId="76F52A88" w14:textId="77777777" w:rsidR="00794A70" w:rsidRPr="008662BF" w:rsidRDefault="00794A70" w:rsidP="00794A70">
      <w:pPr>
        <w:pStyle w:val="ListParagraph"/>
        <w:numPr>
          <w:ilvl w:val="0"/>
          <w:numId w:val="27"/>
        </w:numPr>
        <w:jc w:val="both"/>
        <w:rPr>
          <w:lang w:val="mk-MK"/>
        </w:rPr>
      </w:pPr>
      <w:r w:rsidRPr="008662BF">
        <w:rPr>
          <w:lang w:val="mk-MK"/>
        </w:rPr>
        <w:t>Лабораторија за анализа на храна за животни</w:t>
      </w:r>
    </w:p>
    <w:p w14:paraId="366DA3FC" w14:textId="77777777" w:rsidR="00794A70" w:rsidRPr="008662BF" w:rsidRDefault="00794A70" w:rsidP="00794A70">
      <w:pPr>
        <w:pStyle w:val="ListParagraph"/>
        <w:numPr>
          <w:ilvl w:val="0"/>
          <w:numId w:val="27"/>
        </w:numPr>
        <w:jc w:val="both"/>
        <w:rPr>
          <w:lang w:val="mk-MK"/>
        </w:rPr>
      </w:pPr>
      <w:r w:rsidRPr="008662BF">
        <w:rPr>
          <w:lang w:val="mk-MK"/>
        </w:rPr>
        <w:t xml:space="preserve">Лабораторија за анализа на почва и ѓубриња </w:t>
      </w:r>
    </w:p>
    <w:p w14:paraId="2738C8B3" w14:textId="77777777" w:rsidR="00794A70" w:rsidRPr="008662BF" w:rsidRDefault="00794A70" w:rsidP="00794A70">
      <w:pPr>
        <w:pStyle w:val="ListParagraph"/>
        <w:numPr>
          <w:ilvl w:val="0"/>
          <w:numId w:val="27"/>
        </w:numPr>
        <w:jc w:val="both"/>
        <w:rPr>
          <w:lang w:val="mk-MK"/>
        </w:rPr>
      </w:pPr>
      <w:r w:rsidRPr="008662BF">
        <w:rPr>
          <w:lang w:val="mk-MK"/>
        </w:rPr>
        <w:t>Лабораторија за млеко и млечни производи</w:t>
      </w:r>
    </w:p>
    <w:p w14:paraId="48783FD0" w14:textId="77777777" w:rsidR="00794A70" w:rsidRPr="008662BF" w:rsidRDefault="00794A70" w:rsidP="00794A70">
      <w:pPr>
        <w:pStyle w:val="ListParagraph"/>
        <w:numPr>
          <w:ilvl w:val="0"/>
          <w:numId w:val="27"/>
        </w:numPr>
        <w:jc w:val="both"/>
        <w:rPr>
          <w:lang w:val="mk-MK"/>
        </w:rPr>
      </w:pPr>
      <w:r w:rsidRPr="008662BF">
        <w:rPr>
          <w:lang w:val="mk-MK"/>
        </w:rPr>
        <w:t>Лабораторијата за тутун и тутунски производи</w:t>
      </w:r>
    </w:p>
    <w:p w14:paraId="4834DEA9" w14:textId="77777777" w:rsidR="008C3C9D" w:rsidRPr="008662BF" w:rsidRDefault="008C3C9D" w:rsidP="007947BF">
      <w:pPr>
        <w:jc w:val="both"/>
        <w:rPr>
          <w:lang w:val="mk-MK"/>
        </w:rPr>
      </w:pPr>
      <w:r w:rsidRPr="008662BF">
        <w:rPr>
          <w:lang w:val="mk-MK"/>
        </w:rPr>
        <w:t xml:space="preserve">Услуги што се </w:t>
      </w:r>
      <w:r w:rsidR="002A7D82" w:rsidRPr="008662BF">
        <w:rPr>
          <w:lang w:val="mk-MK"/>
        </w:rPr>
        <w:t>обезбедуваат</w:t>
      </w:r>
      <w:r w:rsidRPr="008662BF">
        <w:rPr>
          <w:lang w:val="mk-MK"/>
        </w:rPr>
        <w:t>: Лабораториите вршат испитувања на примероци - испитување на примероци кои ги доставуваат инспекциски органи, правни и физички лица. Лабораторијата за анализа на храна за животни врши анализа на: влага, пепел, протеини, масти, влакна, нечистотии, тежина на хектолитар, калциум, хлориди, pH во силажата, испарливи масни киселини во силажата, амонијак азот во силажата, вкупни афлатоксини во жито и добиточна храна.</w:t>
      </w:r>
    </w:p>
    <w:p w14:paraId="2F4ED9E7" w14:textId="77777777" w:rsidR="008C3C9D" w:rsidRPr="008662BF" w:rsidRDefault="008C3C9D" w:rsidP="007947BF">
      <w:pPr>
        <w:jc w:val="both"/>
        <w:rPr>
          <w:lang w:val="mk-MK"/>
        </w:rPr>
      </w:pPr>
      <w:r w:rsidRPr="008662BF">
        <w:rPr>
          <w:lang w:val="mk-MK"/>
        </w:rPr>
        <w:t>Истражувачка инфраструктура: Факултетот нема единечна капитална истражувачка опрема од висока вредност. Сепак, располага со истражувачки инструменти со помала вредност (од 600 до 12000 евра) како што се: аналитичка вага (Mettler Toledo AB-204-S), електрична лабораториска сушалка (Memert Germany UM 400); муфолна печка (Linn Elektrotherm LM 312-06); апарат за согорување на азот (Gerhardt TT12 A); рН мерач (Inolab); термометар (Testo AG 925); Елиса читач (Stat – Fax); спектрофотометар Cary, Janway PFP7- пламен фотометар, итн.</w:t>
      </w:r>
    </w:p>
    <w:p w14:paraId="7F0A4AF5" w14:textId="77777777" w:rsidR="008C3C9D" w:rsidRPr="008662BF" w:rsidRDefault="008C3C9D" w:rsidP="007947BF">
      <w:pPr>
        <w:pStyle w:val="Heading4"/>
        <w:spacing w:after="240"/>
        <w:rPr>
          <w:rFonts w:asciiTheme="minorHAnsi" w:hAnsiTheme="minorHAnsi"/>
          <w:lang w:val="mk-MK"/>
        </w:rPr>
      </w:pPr>
      <w:r w:rsidRPr="008662BF">
        <w:rPr>
          <w:rFonts w:asciiTheme="minorHAnsi" w:hAnsiTheme="minorHAnsi"/>
          <w:lang w:val="mk-MK"/>
        </w:rPr>
        <w:t>Факултет за дизајн и технологии на мебел и ентериер</w:t>
      </w:r>
    </w:p>
    <w:p w14:paraId="48EA8341" w14:textId="77777777" w:rsidR="001A735C" w:rsidRPr="008662BF" w:rsidRDefault="001A735C" w:rsidP="007947BF">
      <w:pPr>
        <w:pStyle w:val="Heading5"/>
        <w:spacing w:after="240"/>
        <w:rPr>
          <w:rFonts w:asciiTheme="minorHAnsi" w:hAnsiTheme="minorHAnsi"/>
          <w:lang w:val="mk-MK"/>
        </w:rPr>
      </w:pPr>
      <w:r w:rsidRPr="008662BF">
        <w:rPr>
          <w:rFonts w:asciiTheme="minorHAnsi" w:hAnsiTheme="minorHAnsi"/>
          <w:lang w:val="mk-MK"/>
        </w:rPr>
        <w:t>Лабораторија за тестирање на мебел</w:t>
      </w:r>
    </w:p>
    <w:p w14:paraId="67BA1DF7" w14:textId="77777777" w:rsidR="001A735C" w:rsidRPr="008662BF" w:rsidRDefault="001A735C" w:rsidP="007947BF">
      <w:pPr>
        <w:jc w:val="both"/>
        <w:rPr>
          <w:lang w:val="mk-MK"/>
        </w:rPr>
      </w:pPr>
      <w:r w:rsidRPr="008662BF">
        <w:rPr>
          <w:lang w:val="mk-MK"/>
        </w:rPr>
        <w:t>Лабораторијата за тестирање на мебел и ентериер беше опремена во 2010 година. Со тестирањето на мебелот се заштитува крајниот корисник од несакани повреди и деформации на човековото тело. Со тестирањето на прозорците и вратите се обезбедува заштита од непотребни загуби на енергијата во објектите. Обучениот тим, софистицираната опрема како и постојаната контрола на квалитетот нудат реални резултати за тестираните единки.</w:t>
      </w:r>
    </w:p>
    <w:p w14:paraId="6A1C8643" w14:textId="77777777" w:rsidR="003C0733" w:rsidRPr="008662BF" w:rsidRDefault="003C0733" w:rsidP="007947BF">
      <w:pPr>
        <w:jc w:val="both"/>
        <w:rPr>
          <w:lang w:val="mk-MK"/>
        </w:rPr>
      </w:pPr>
      <w:r w:rsidRPr="008662BF">
        <w:rPr>
          <w:lang w:val="mk-MK"/>
        </w:rPr>
        <w:t>Услуги што се обезбедуваат: Лабораторијата ги тестира следните производи: прозорци; фасадни системи; внатрешни врати; кршење на прозорци и врати; столови; бироа и маси; душеци и кревети; училишен мебел; системи за отворање; канцелариски мебел; паркетни подови и други испитувања.</w:t>
      </w:r>
    </w:p>
    <w:p w14:paraId="6357AA01" w14:textId="77777777" w:rsidR="003C0733" w:rsidRPr="008662BF" w:rsidRDefault="003C0733" w:rsidP="007947BF">
      <w:pPr>
        <w:jc w:val="both"/>
        <w:rPr>
          <w:lang w:val="mk-MK"/>
        </w:rPr>
      </w:pPr>
      <w:r w:rsidRPr="008662BF">
        <w:rPr>
          <w:lang w:val="mk-MK"/>
        </w:rPr>
        <w:t>Истражувачка опрема: Факултетот располага со капитална истражувачка опрема од висока вредност. Вкупната набавна вредност на истражувачката опрема изнесува 392.000 евра. Сепак, опремата е застарена.</w:t>
      </w:r>
    </w:p>
    <w:p w14:paraId="3521D742" w14:textId="77777777" w:rsidR="007947BF" w:rsidRPr="008662BF" w:rsidRDefault="007947BF" w:rsidP="007947BF">
      <w:pPr>
        <w:jc w:val="both"/>
        <w:rPr>
          <w:lang w:val="mk-MK"/>
        </w:rPr>
      </w:pPr>
    </w:p>
    <w:p w14:paraId="6E4BD238" w14:textId="77777777" w:rsidR="00DB0901" w:rsidRPr="008662BF" w:rsidRDefault="00DB0901" w:rsidP="007947BF">
      <w:pPr>
        <w:pStyle w:val="Heading4"/>
        <w:rPr>
          <w:rFonts w:asciiTheme="minorHAnsi" w:hAnsiTheme="minorHAnsi"/>
          <w:lang w:val="mk-MK"/>
        </w:rPr>
      </w:pPr>
      <w:r w:rsidRPr="008662BF">
        <w:rPr>
          <w:rFonts w:asciiTheme="minorHAnsi" w:hAnsiTheme="minorHAnsi"/>
          <w:lang w:val="mk-MK"/>
        </w:rPr>
        <w:lastRenderedPageBreak/>
        <w:t>Градежен факултет</w:t>
      </w:r>
    </w:p>
    <w:p w14:paraId="6DCCA6FA" w14:textId="77777777" w:rsidR="007947BF" w:rsidRPr="008662BF" w:rsidRDefault="00437DF5" w:rsidP="007947BF">
      <w:pPr>
        <w:pStyle w:val="Heading5"/>
        <w:spacing w:after="240"/>
        <w:rPr>
          <w:rFonts w:asciiTheme="minorHAnsi" w:hAnsiTheme="minorHAnsi"/>
          <w:lang w:val="mk-MK"/>
        </w:rPr>
      </w:pPr>
      <w:r w:rsidRPr="008662BF">
        <w:rPr>
          <w:rFonts w:asciiTheme="minorHAnsi" w:hAnsiTheme="minorHAnsi"/>
          <w:lang w:val="mk-MK"/>
        </w:rPr>
        <w:t xml:space="preserve">Лабораторија за испитување материјали </w:t>
      </w:r>
    </w:p>
    <w:p w14:paraId="5F2EAFBE" w14:textId="77777777" w:rsidR="0039088D" w:rsidRPr="008662BF" w:rsidRDefault="0039088D" w:rsidP="0039088D">
      <w:pPr>
        <w:jc w:val="both"/>
        <w:rPr>
          <w:lang w:val="mk-MK"/>
        </w:rPr>
      </w:pPr>
      <w:r w:rsidRPr="008662BF">
        <w:rPr>
          <w:lang w:val="mk-MK"/>
        </w:rPr>
        <w:t>Лабораторијата за испитување материјали, како составен дел на Градежниот факултет во Скопје, се занимава со наставно-образовна дејност и дава услуги на надворешни клиенти. Објектот и опремата главно се користат во наставниот процес. Сепак, се користат и за истражувачки цели во рамките на домашни и меѓународни научни проекти.</w:t>
      </w:r>
    </w:p>
    <w:p w14:paraId="1D18EDA8" w14:textId="77777777" w:rsidR="0039088D" w:rsidRPr="008662BF" w:rsidRDefault="0039088D" w:rsidP="0039088D">
      <w:pPr>
        <w:jc w:val="both"/>
        <w:rPr>
          <w:lang w:val="mk-MK"/>
        </w:rPr>
      </w:pPr>
      <w:r w:rsidRPr="008662BF">
        <w:rPr>
          <w:lang w:val="mk-MK"/>
        </w:rPr>
        <w:t xml:space="preserve">Услуги што се обезбедуваат: Лабораторијата ги испитува физичките и механичките својства на градежните материјали, како што се: бетон, челик, тули и керамиди, карпи и почвен материјал, асфалт и битуменски материјали. Лабораторијата исто така врши и испитувања на терен на градежни конструкции и </w:t>
      </w:r>
      <w:r w:rsidR="00667E46">
        <w:rPr>
          <w:lang w:val="mk-MK"/>
        </w:rPr>
        <w:t xml:space="preserve">на </w:t>
      </w:r>
      <w:r w:rsidRPr="008662BF">
        <w:rPr>
          <w:lang w:val="mk-MK"/>
        </w:rPr>
        <w:t>структурни елементи како што се: згради, мостови, патишта, брани итн.</w:t>
      </w:r>
    </w:p>
    <w:p w14:paraId="60621381" w14:textId="77777777" w:rsidR="00437DF5" w:rsidRPr="008662BF" w:rsidRDefault="00437DF5" w:rsidP="007947BF">
      <w:pPr>
        <w:jc w:val="both"/>
        <w:rPr>
          <w:lang w:val="mk-MK"/>
        </w:rPr>
      </w:pPr>
      <w:r w:rsidRPr="008662BF">
        <w:rPr>
          <w:lang w:val="mk-MK"/>
        </w:rPr>
        <w:t>Истражувачка опрема: Тековната вредност на истражувачката опрема се проценува на 50.000 евра. Факултетот бара донации и финансиска поддршка за обновување на истражувачката инфраструктура. Сопствените средства за инвестиции во истражувачката инфраструктура се ограничени и примарно се користат за одржување на инфраструктурата во функција за образовни цели.</w:t>
      </w:r>
    </w:p>
    <w:p w14:paraId="2D933506" w14:textId="77777777" w:rsidR="00247567" w:rsidRPr="008662BF" w:rsidRDefault="00247567" w:rsidP="007947BF">
      <w:pPr>
        <w:pStyle w:val="Heading4"/>
        <w:spacing w:after="240"/>
        <w:rPr>
          <w:rFonts w:asciiTheme="minorHAnsi" w:hAnsiTheme="minorHAnsi" w:cstheme="minorHAnsi"/>
          <w:lang w:val="mk-MK"/>
        </w:rPr>
      </w:pPr>
      <w:r w:rsidRPr="008662BF">
        <w:rPr>
          <w:rFonts w:asciiTheme="minorHAnsi" w:hAnsiTheme="minorHAnsi" w:cstheme="minorHAnsi"/>
          <w:lang w:val="mk-MK"/>
        </w:rPr>
        <w:t xml:space="preserve">Правен факултет </w:t>
      </w:r>
      <w:r w:rsidR="00FF03D3">
        <w:rPr>
          <w:rFonts w:asciiTheme="minorHAnsi" w:hAnsiTheme="minorHAnsi" w:cstheme="minorHAnsi"/>
          <w:lang w:val="mk-MK"/>
        </w:rPr>
        <w:t>„</w:t>
      </w:r>
      <w:r w:rsidRPr="008662BF">
        <w:rPr>
          <w:rFonts w:asciiTheme="minorHAnsi" w:hAnsiTheme="minorHAnsi" w:cstheme="minorHAnsi"/>
          <w:lang w:val="mk-MK"/>
        </w:rPr>
        <w:t>Јустинијан Први</w:t>
      </w:r>
      <w:r w:rsidR="00FF03D3">
        <w:rPr>
          <w:rFonts w:asciiTheme="minorHAnsi" w:hAnsiTheme="minorHAnsi" w:cstheme="minorHAnsi"/>
          <w:lang w:val="mk-MK"/>
        </w:rPr>
        <w:t>“</w:t>
      </w:r>
    </w:p>
    <w:p w14:paraId="0365F602" w14:textId="77777777" w:rsidR="00247567" w:rsidRPr="008662BF" w:rsidRDefault="00247567" w:rsidP="007947BF">
      <w:pPr>
        <w:pStyle w:val="Heading5"/>
        <w:spacing w:after="240"/>
        <w:rPr>
          <w:rFonts w:ascii="Calibri" w:hAnsi="Calibri" w:cs="Calibri"/>
          <w:lang w:val="mk-MK"/>
        </w:rPr>
      </w:pPr>
      <w:r w:rsidRPr="008662BF">
        <w:rPr>
          <w:rFonts w:ascii="Calibri" w:hAnsi="Calibri" w:cs="Calibri"/>
          <w:lang w:val="mk-MK"/>
        </w:rPr>
        <w:t>Центар за правна клиничка едукација за ранливи групи</w:t>
      </w:r>
    </w:p>
    <w:p w14:paraId="799B617F" w14:textId="77777777" w:rsidR="003D4748" w:rsidRPr="008662BF" w:rsidRDefault="00247567" w:rsidP="007947BF">
      <w:pPr>
        <w:jc w:val="both"/>
        <w:rPr>
          <w:rFonts w:ascii="Calibri" w:hAnsi="Calibri" w:cs="Calibri"/>
          <w:lang w:val="mk-MK"/>
        </w:rPr>
      </w:pPr>
      <w:r w:rsidRPr="008662BF">
        <w:rPr>
          <w:rFonts w:ascii="Calibri" w:hAnsi="Calibri" w:cs="Calibri"/>
          <w:lang w:val="mk-MK"/>
        </w:rPr>
        <w:t xml:space="preserve">Правната клиника „Центар за правнa клиничка едукација за ранливи групи“ е внатрешна организациона единица на Правниот факултет „Јустинијан Први“ во Скопје која обезбедува правна клиничка едукација. </w:t>
      </w:r>
      <w:r w:rsidR="003D4748" w:rsidRPr="008662BF">
        <w:rPr>
          <w:rFonts w:ascii="Calibri" w:hAnsi="Calibri" w:cs="Calibri"/>
          <w:lang w:val="mk-MK"/>
        </w:rPr>
        <w:t>Центарот работи на подобрување на наставните методи во областа на правото и обезбедува практични знаења и вештини во областа на пристапот до правдата за ранливите групи</w:t>
      </w:r>
      <w:r w:rsidR="00667E46">
        <w:rPr>
          <w:rFonts w:ascii="Calibri" w:hAnsi="Calibri" w:cs="Calibri"/>
          <w:lang w:val="mk-MK"/>
        </w:rPr>
        <w:t>,</w:t>
      </w:r>
      <w:r w:rsidR="003D4748" w:rsidRPr="008662BF">
        <w:rPr>
          <w:rFonts w:ascii="Calibri" w:hAnsi="Calibri" w:cs="Calibri"/>
          <w:lang w:val="mk-MK"/>
        </w:rPr>
        <w:t xml:space="preserve"> со посебно внимание на правните потреби на ранливите групи (Роми, ЛГБТИ+, сексуални работници, затворени лица и нивните семејства, лица во социјален ризик итн.) во областа на социјалното осигурување, </w:t>
      </w:r>
      <w:r w:rsidR="00667E46">
        <w:rPr>
          <w:rFonts w:ascii="Calibri" w:hAnsi="Calibri" w:cs="Calibri"/>
          <w:lang w:val="mk-MK"/>
        </w:rPr>
        <w:t xml:space="preserve">на </w:t>
      </w:r>
      <w:r w:rsidR="003D4748" w:rsidRPr="008662BF">
        <w:rPr>
          <w:rFonts w:ascii="Calibri" w:hAnsi="Calibri" w:cs="Calibri"/>
          <w:lang w:val="mk-MK"/>
        </w:rPr>
        <w:t>управните постапки,</w:t>
      </w:r>
      <w:r w:rsidR="00667E46">
        <w:rPr>
          <w:rFonts w:ascii="Calibri" w:hAnsi="Calibri" w:cs="Calibri"/>
          <w:lang w:val="mk-MK"/>
        </w:rPr>
        <w:t xml:space="preserve"> на</w:t>
      </w:r>
      <w:r w:rsidR="003D4748" w:rsidRPr="008662BF">
        <w:rPr>
          <w:rFonts w:ascii="Calibri" w:hAnsi="Calibri" w:cs="Calibri"/>
          <w:lang w:val="mk-MK"/>
        </w:rPr>
        <w:t xml:space="preserve"> правата на затворените лица и</w:t>
      </w:r>
      <w:r w:rsidR="00667E46">
        <w:rPr>
          <w:rFonts w:ascii="Calibri" w:hAnsi="Calibri" w:cs="Calibri"/>
          <w:lang w:val="mk-MK"/>
        </w:rPr>
        <w:t xml:space="preserve"> на</w:t>
      </w:r>
      <w:r w:rsidR="003D4748" w:rsidRPr="008662BF">
        <w:rPr>
          <w:rFonts w:ascii="Calibri" w:hAnsi="Calibri" w:cs="Calibri"/>
          <w:lang w:val="mk-MK"/>
        </w:rPr>
        <w:t xml:space="preserve"> правата на потрошувачите.</w:t>
      </w:r>
    </w:p>
    <w:p w14:paraId="58F83CDF" w14:textId="77777777" w:rsidR="003D4748" w:rsidRPr="008662BF" w:rsidRDefault="003D4748" w:rsidP="007947BF">
      <w:pPr>
        <w:jc w:val="both"/>
        <w:rPr>
          <w:rFonts w:ascii="Calibri" w:hAnsi="Calibri" w:cs="Calibri"/>
          <w:lang w:val="mk-MK"/>
        </w:rPr>
      </w:pPr>
      <w:r w:rsidRPr="008662BF">
        <w:rPr>
          <w:rFonts w:ascii="Calibri" w:hAnsi="Calibri" w:cs="Calibri"/>
          <w:lang w:val="mk-MK"/>
        </w:rPr>
        <w:t xml:space="preserve">Услуги што се </w:t>
      </w:r>
      <w:r w:rsidR="00320400" w:rsidRPr="008662BF">
        <w:rPr>
          <w:rFonts w:ascii="Calibri" w:hAnsi="Calibri" w:cs="Calibri"/>
          <w:lang w:val="mk-MK"/>
        </w:rPr>
        <w:t>обезбедуваат</w:t>
      </w:r>
      <w:r w:rsidRPr="008662BF">
        <w:rPr>
          <w:rFonts w:ascii="Calibri" w:hAnsi="Calibri" w:cs="Calibri"/>
          <w:lang w:val="mk-MK"/>
        </w:rPr>
        <w:t xml:space="preserve">: Главната намена и целите на Правната клиника за ранливи групи се постигнуваат преку организирање континуирана едукација (семинари, работилници и сл.) за подобрување на практичното знаење и стручноста на студентите; </w:t>
      </w:r>
      <w:r w:rsidR="00667E46">
        <w:rPr>
          <w:rFonts w:ascii="Calibri" w:hAnsi="Calibri" w:cs="Calibri"/>
          <w:lang w:val="mk-MK"/>
        </w:rPr>
        <w:t xml:space="preserve">за </w:t>
      </w:r>
      <w:r w:rsidRPr="008662BF">
        <w:rPr>
          <w:rFonts w:ascii="Calibri" w:hAnsi="Calibri" w:cs="Calibri"/>
          <w:lang w:val="mk-MK"/>
        </w:rPr>
        <w:t xml:space="preserve">обезбедување правна помош на ранливите групи преку подготовка на информативни материјали за истражување на нивните правни потреби и работа на конкретни случаи; </w:t>
      </w:r>
      <w:r w:rsidR="00667E46">
        <w:rPr>
          <w:rFonts w:ascii="Calibri" w:hAnsi="Calibri" w:cs="Calibri"/>
          <w:lang w:val="mk-MK"/>
        </w:rPr>
        <w:t xml:space="preserve">за </w:t>
      </w:r>
      <w:r w:rsidRPr="008662BF">
        <w:rPr>
          <w:rFonts w:ascii="Calibri" w:hAnsi="Calibri" w:cs="Calibri"/>
          <w:lang w:val="mk-MK"/>
        </w:rPr>
        <w:t xml:space="preserve">анализа на релевантната судска пракса и </w:t>
      </w:r>
      <w:r w:rsidR="00667E46">
        <w:rPr>
          <w:rFonts w:ascii="Calibri" w:hAnsi="Calibri" w:cs="Calibri"/>
          <w:lang w:val="mk-MK"/>
        </w:rPr>
        <w:t xml:space="preserve">на </w:t>
      </w:r>
      <w:r w:rsidRPr="008662BF">
        <w:rPr>
          <w:rFonts w:ascii="Calibri" w:hAnsi="Calibri" w:cs="Calibri"/>
          <w:lang w:val="mk-MK"/>
        </w:rPr>
        <w:t>праксата на управните органи; соработка со граѓански организации кои работат во областа на правната заштита на маргинализираните групи.</w:t>
      </w:r>
    </w:p>
    <w:p w14:paraId="46441B0A" w14:textId="77777777" w:rsidR="007947BF" w:rsidRPr="008662BF" w:rsidRDefault="002A7D82" w:rsidP="007947BF">
      <w:pPr>
        <w:pStyle w:val="Heading5"/>
        <w:spacing w:after="240"/>
        <w:rPr>
          <w:rFonts w:ascii="Calibri" w:hAnsi="Calibri" w:cs="Calibri"/>
          <w:lang w:val="mk-MK"/>
        </w:rPr>
      </w:pPr>
      <w:r w:rsidRPr="008662BF">
        <w:rPr>
          <w:rFonts w:ascii="Calibri" w:hAnsi="Calibri" w:cs="Calibri"/>
          <w:lang w:val="mk-MK"/>
        </w:rPr>
        <w:t>Центар за правна клиничка едукација по казнено право</w:t>
      </w:r>
    </w:p>
    <w:p w14:paraId="3DCE3B47" w14:textId="77777777" w:rsidR="007947BF" w:rsidRPr="008662BF" w:rsidRDefault="00A21332" w:rsidP="007947BF">
      <w:pPr>
        <w:jc w:val="both"/>
        <w:rPr>
          <w:lang w:val="mk-MK"/>
        </w:rPr>
      </w:pPr>
      <w:r w:rsidRPr="008662BF">
        <w:rPr>
          <w:lang w:val="mk-MK"/>
        </w:rPr>
        <w:t xml:space="preserve">Правната клиника „Центар за правна клиничка едукација по казнено право“ е внатрешна организациона единица на Правниот факултет „Јустинијан Први“ во Скопје која обезбедува правно клиничко образование. Центарот работи на подобрување на наставните методи во областа на правото и обезбедува практични знаења и вештини во областа на кривичното </w:t>
      </w:r>
      <w:r w:rsidRPr="008662BF">
        <w:rPr>
          <w:lang w:val="mk-MK"/>
        </w:rPr>
        <w:lastRenderedPageBreak/>
        <w:t xml:space="preserve">процесно право и </w:t>
      </w:r>
      <w:r w:rsidR="00A81028">
        <w:rPr>
          <w:lang w:val="mk-MK"/>
        </w:rPr>
        <w:t xml:space="preserve">на </w:t>
      </w:r>
      <w:r w:rsidRPr="008662BF">
        <w:rPr>
          <w:lang w:val="mk-MK"/>
        </w:rPr>
        <w:t>кривичното материјално право за студентите на магистерските студии по кривично право на Факултетот</w:t>
      </w:r>
      <w:r w:rsidR="007947BF" w:rsidRPr="008662BF">
        <w:rPr>
          <w:lang w:val="mk-MK"/>
        </w:rPr>
        <w:t xml:space="preserve">. </w:t>
      </w:r>
    </w:p>
    <w:p w14:paraId="2BC4FB2B" w14:textId="77777777" w:rsidR="00320400" w:rsidRPr="008662BF" w:rsidRDefault="00320400" w:rsidP="007947BF">
      <w:pPr>
        <w:jc w:val="both"/>
        <w:rPr>
          <w:lang w:val="mk-MK"/>
        </w:rPr>
      </w:pPr>
      <w:r w:rsidRPr="008662BF">
        <w:rPr>
          <w:lang w:val="mk-MK"/>
        </w:rPr>
        <w:t>Услуги што се обезбедуваат: Главната намена и цели</w:t>
      </w:r>
      <w:r w:rsidR="00A81028">
        <w:rPr>
          <w:lang w:val="mk-MK"/>
        </w:rPr>
        <w:t>те</w:t>
      </w:r>
      <w:r w:rsidRPr="008662BF">
        <w:rPr>
          <w:lang w:val="mk-MK"/>
        </w:rPr>
        <w:t xml:space="preserve"> на Центарот за правна клиничка едукација по казнено право се постигнуваат преку организирање континуирана едукација (семинари, работилници и сл.) за подобрување на практичното знаење и</w:t>
      </w:r>
      <w:r w:rsidR="00A81028">
        <w:rPr>
          <w:lang w:val="mk-MK"/>
        </w:rPr>
        <w:t xml:space="preserve"> на</w:t>
      </w:r>
      <w:r w:rsidRPr="008662BF">
        <w:rPr>
          <w:lang w:val="mk-MK"/>
        </w:rPr>
        <w:t xml:space="preserve"> стручноста на студентите на магистерските студии по кривично право;</w:t>
      </w:r>
      <w:r w:rsidR="00A81028">
        <w:rPr>
          <w:lang w:val="mk-MK"/>
        </w:rPr>
        <w:t xml:space="preserve"> за</w:t>
      </w:r>
      <w:r w:rsidRPr="008662BF">
        <w:rPr>
          <w:lang w:val="mk-MK"/>
        </w:rPr>
        <w:t xml:space="preserve"> спроведување на научни, развојни и апликативни истражувања од областа на кривичното право;</w:t>
      </w:r>
      <w:r w:rsidR="00A81028">
        <w:rPr>
          <w:lang w:val="mk-MK"/>
        </w:rPr>
        <w:t xml:space="preserve"> за</w:t>
      </w:r>
      <w:r w:rsidRPr="008662BF">
        <w:rPr>
          <w:lang w:val="mk-MK"/>
        </w:rPr>
        <w:t xml:space="preserve"> организирање и спроведување на научна и стручна апликативна дејност; </w:t>
      </w:r>
      <w:r w:rsidR="00A81028">
        <w:rPr>
          <w:lang w:val="mk-MK"/>
        </w:rPr>
        <w:t xml:space="preserve">за </w:t>
      </w:r>
      <w:r w:rsidRPr="008662BF">
        <w:rPr>
          <w:lang w:val="mk-MK"/>
        </w:rPr>
        <w:t xml:space="preserve">публикации од областа на кривичното право; </w:t>
      </w:r>
      <w:r w:rsidR="00A81028">
        <w:rPr>
          <w:lang w:val="mk-MK"/>
        </w:rPr>
        <w:t xml:space="preserve">за </w:t>
      </w:r>
      <w:r w:rsidRPr="008662BF">
        <w:rPr>
          <w:lang w:val="mk-MK"/>
        </w:rPr>
        <w:t>соработка со домашни и странски институции и</w:t>
      </w:r>
      <w:r w:rsidR="00A81028">
        <w:rPr>
          <w:lang w:val="mk-MK"/>
        </w:rPr>
        <w:t xml:space="preserve"> со</w:t>
      </w:r>
      <w:r w:rsidRPr="008662BF">
        <w:rPr>
          <w:lang w:val="mk-MK"/>
        </w:rPr>
        <w:t xml:space="preserve"> високообразовни и научни институции и</w:t>
      </w:r>
      <w:r w:rsidR="00A81028">
        <w:rPr>
          <w:lang w:val="mk-MK"/>
        </w:rPr>
        <w:t xml:space="preserve"> со</w:t>
      </w:r>
      <w:r w:rsidRPr="008662BF">
        <w:rPr>
          <w:lang w:val="mk-MK"/>
        </w:rPr>
        <w:t xml:space="preserve"> други форми на меѓународна соработка, самостојно и преку Факултетот.</w:t>
      </w:r>
    </w:p>
    <w:p w14:paraId="3EE47B6F" w14:textId="77777777" w:rsidR="007947BF" w:rsidRPr="008662BF" w:rsidRDefault="00320400" w:rsidP="007947BF">
      <w:pPr>
        <w:jc w:val="both"/>
        <w:rPr>
          <w:lang w:val="mk-MK"/>
        </w:rPr>
      </w:pPr>
      <w:r w:rsidRPr="008662BF">
        <w:rPr>
          <w:lang w:val="mk-MK"/>
        </w:rPr>
        <w:t>Факултетот не поседува капитална истражувачка опрема</w:t>
      </w:r>
      <w:r w:rsidR="007947BF" w:rsidRPr="008662BF">
        <w:rPr>
          <w:lang w:val="mk-MK"/>
        </w:rPr>
        <w:t>.</w:t>
      </w:r>
    </w:p>
    <w:p w14:paraId="5E6030DB" w14:textId="77777777" w:rsidR="00020EF3" w:rsidRPr="008662BF" w:rsidRDefault="00020EF3" w:rsidP="007947BF">
      <w:pPr>
        <w:pStyle w:val="Heading4"/>
        <w:spacing w:after="240"/>
        <w:rPr>
          <w:rFonts w:ascii="Calibri" w:hAnsi="Calibri" w:cs="Calibri"/>
          <w:lang w:val="mk-MK"/>
        </w:rPr>
      </w:pPr>
      <w:r w:rsidRPr="008662BF">
        <w:rPr>
          <w:rFonts w:ascii="Calibri" w:hAnsi="Calibri" w:cs="Calibri"/>
          <w:lang w:val="mk-MK"/>
        </w:rPr>
        <w:t>Институт за земјотресно инженерство и инженерска сеизмологија</w:t>
      </w:r>
    </w:p>
    <w:p w14:paraId="2B3F321A" w14:textId="77777777" w:rsidR="00020EF3" w:rsidRPr="008662BF" w:rsidRDefault="00020EF3" w:rsidP="007947BF">
      <w:pPr>
        <w:jc w:val="both"/>
        <w:rPr>
          <w:lang w:val="mk-MK"/>
        </w:rPr>
      </w:pPr>
      <w:r w:rsidRPr="008662BF">
        <w:rPr>
          <w:lang w:val="mk-MK"/>
        </w:rPr>
        <w:t xml:space="preserve">Институтот за земјотресно инженерство и инженерска сеизмологија е еден од најстарите институти </w:t>
      </w:r>
      <w:r w:rsidR="00A81028">
        <w:rPr>
          <w:lang w:val="mk-MK"/>
        </w:rPr>
        <w:t xml:space="preserve">којшто е </w:t>
      </w:r>
      <w:r w:rsidRPr="008662BF">
        <w:rPr>
          <w:lang w:val="mk-MK"/>
        </w:rPr>
        <w:t xml:space="preserve">основан во 1965 година. Институтот има долга традиција во изведување тестови на сеизмичка виброплатформа, </w:t>
      </w:r>
      <w:r w:rsidR="00A81028">
        <w:rPr>
          <w:lang w:val="mk-MK"/>
        </w:rPr>
        <w:t xml:space="preserve">во </w:t>
      </w:r>
      <w:r w:rsidRPr="008662BF">
        <w:rPr>
          <w:lang w:val="mk-MK"/>
        </w:rPr>
        <w:t>квазистатички испитувања,</w:t>
      </w:r>
      <w:r w:rsidR="00A81028">
        <w:rPr>
          <w:lang w:val="mk-MK"/>
        </w:rPr>
        <w:t xml:space="preserve"> во</w:t>
      </w:r>
      <w:r w:rsidRPr="008662BF">
        <w:rPr>
          <w:lang w:val="mk-MK"/>
        </w:rPr>
        <w:t xml:space="preserve"> теренски испитувања во услови на принудни вибрации и амбиентални вибрации. Институтот располага со три истражувачки лаборатории: лабораторија за динамички испитувања, лабораторијата за динамика на почви и фундаменти и лабораторија за недеструктивни тестови.</w:t>
      </w:r>
    </w:p>
    <w:p w14:paraId="3271E28B" w14:textId="77777777" w:rsidR="007947BF" w:rsidRPr="008662BF" w:rsidRDefault="00020EF3" w:rsidP="007947BF">
      <w:pPr>
        <w:spacing w:after="0"/>
        <w:jc w:val="both"/>
        <w:rPr>
          <w:lang w:val="mk-MK"/>
        </w:rPr>
      </w:pPr>
      <w:r w:rsidRPr="008662BF">
        <w:rPr>
          <w:lang w:val="mk-MK"/>
        </w:rPr>
        <w:t>Услуги што се обезбедуваат</w:t>
      </w:r>
      <w:r w:rsidR="007947BF" w:rsidRPr="008662BF">
        <w:rPr>
          <w:lang w:val="mk-MK"/>
        </w:rPr>
        <w:t>:</w:t>
      </w:r>
    </w:p>
    <w:p w14:paraId="560CB2D4" w14:textId="6AEDF7FF" w:rsidR="00C176FB" w:rsidRPr="008662BF" w:rsidRDefault="00844F83" w:rsidP="00C176FB">
      <w:pPr>
        <w:pStyle w:val="ListParagraph"/>
        <w:numPr>
          <w:ilvl w:val="0"/>
          <w:numId w:val="28"/>
        </w:numPr>
        <w:jc w:val="both"/>
        <w:rPr>
          <w:lang w:val="mk-MK"/>
        </w:rPr>
      </w:pPr>
      <w:r w:rsidRPr="008662BF">
        <w:rPr>
          <w:lang w:val="mk-MK"/>
        </w:rPr>
        <w:t>Лабораторија за динамички испитувања</w:t>
      </w:r>
      <w:r w:rsidR="007947BF" w:rsidRPr="008662BF">
        <w:rPr>
          <w:lang w:val="mk-MK"/>
        </w:rPr>
        <w:t xml:space="preserve">: </w:t>
      </w:r>
      <w:r w:rsidR="00C176FB" w:rsidRPr="008662BF">
        <w:rPr>
          <w:lang w:val="mk-MK"/>
        </w:rPr>
        <w:t xml:space="preserve">експериментални испитувања на сеизмичка виброплатформа на физички модели на згради, историски објекти и инжинерски конструкции; динамичко испитување на материјали, конструктивни елементи и врски; статичко и квазистатичко циклично испитување на јазли, елементи и врски во реална големина за дефинирање на нивните механички карактеристики; експериментални испитувања на сеизмичка вибро-платформа, тестови за сеизмичка квалификација на механичка и електро-механичка опрема; истражување, развој и практична примена на системите за управување со динамичкиот одговор и системите за пасивна дисипација на енергијата во конструкциите изложени на земјотрес, ветер и други динамички влијанија; истражување, развој и практична примена на системите за сеизмичка изолација и изолација од вибрации на конструкциите изложени на земјотрес и вибрации предизвикани од луѓе, разни технолошки процеси и сообраќај; развој на апликативни софтвери; испитувања на лице место со метод на амбиентални вибрации на објекти од високоградба, историски споменици, инженерски и специјални конструкции за дефинирање на динамичките карактеристики – сопствени фреквенции, тонови форми и коефициенти на пригушување; испитувања на лице место со метод на принудни вибрации на објекти од високоградба, историски споменици, инженерски и специјални конструкции за дефинирање на динамичките карактеристики – сопствени фреквенции, тонови форми, коефициенти на пригушување и интеракција тло-конструкција; следење и мерење на вибрации на опрема и машини во индустриски објекти и електрани, во мирни и во оперативни услови; следење и мерење на вибрации кај мостовските конструкции во услови на сообраќај или друг тип на динамичка побуда во околината; следење и мерење на вибрации во конструкциите предизвикани  од човечки активности; </w:t>
      </w:r>
      <w:r w:rsidR="00C176FB" w:rsidRPr="008662BF">
        <w:rPr>
          <w:lang w:val="mk-MK"/>
        </w:rPr>
        <w:lastRenderedPageBreak/>
        <w:t>сеизмички испитувања за квалификација на различни типови електроопрема, машинска опрема и неконструктивни елементи.</w:t>
      </w:r>
    </w:p>
    <w:p w14:paraId="40356208" w14:textId="464FEB78" w:rsidR="008E7181" w:rsidRPr="008662BF" w:rsidRDefault="00844F83" w:rsidP="008E7181">
      <w:pPr>
        <w:pStyle w:val="ListParagraph"/>
        <w:numPr>
          <w:ilvl w:val="0"/>
          <w:numId w:val="28"/>
        </w:numPr>
        <w:jc w:val="both"/>
        <w:rPr>
          <w:lang w:val="mk-MK"/>
        </w:rPr>
      </w:pPr>
      <w:r w:rsidRPr="008662BF">
        <w:rPr>
          <w:lang w:val="mk-MK"/>
        </w:rPr>
        <w:t xml:space="preserve">Лабораторијата за динамика на почви и фундаменти: научно базиран пристап за оцена на потенцијал на појава на ликвифакција; реална симулација на почвени материјали во ламинарен контејнер; развивање на нумерички модели за анализа на стабилност на градежни јами од статички и динамички товари, оцена на ризикот од свлечишта, анализа на водозаситено тло и различни проблеми од областа на геотехничкото- земјотресно инженерство; нумеричка симулација на мултифазно тло со сопствени софтвери; одредување на јакосно деформабилни модули на почвените примероци на апарат за дирекнто смолкнување; </w:t>
      </w:r>
      <w:r w:rsidR="008E7181" w:rsidRPr="008662BF">
        <w:rPr>
          <w:lang w:val="mk-MK"/>
        </w:rPr>
        <w:t>дефинирање на сеизмички параметри за локации предвидени за изградба на објекти од прва категорија; одредување на сеизмичкиот потенцијал на локации предвидени за изградба на објекти од важност; лабораториски истражувања на материјални криви од специфични локации; проектирање и ревизија на поважни градби од геотехничкото</w:t>
      </w:r>
      <w:r w:rsidR="00834DDC">
        <w:rPr>
          <w:lang w:val="mk-MK"/>
        </w:rPr>
        <w:t xml:space="preserve"> </w:t>
      </w:r>
      <w:r w:rsidR="008E7181" w:rsidRPr="008662BF">
        <w:rPr>
          <w:lang w:val="mk-MK"/>
        </w:rPr>
        <w:t>земјотресно инженерство; и анализа и решение на проблеми</w:t>
      </w:r>
      <w:r w:rsidR="00834DDC">
        <w:rPr>
          <w:lang w:val="mk-MK"/>
        </w:rPr>
        <w:t>те што се</w:t>
      </w:r>
      <w:r w:rsidR="008E7181" w:rsidRPr="008662BF">
        <w:rPr>
          <w:lang w:val="mk-MK"/>
        </w:rPr>
        <w:t xml:space="preserve"> поврзани со конструктивна консолидација на објекти. </w:t>
      </w:r>
    </w:p>
    <w:p w14:paraId="5AFE9FC7" w14:textId="77777777" w:rsidR="00751238" w:rsidRPr="008662BF" w:rsidRDefault="00751238" w:rsidP="00751238">
      <w:pPr>
        <w:pStyle w:val="ListParagraph"/>
        <w:numPr>
          <w:ilvl w:val="0"/>
          <w:numId w:val="28"/>
        </w:numPr>
        <w:jc w:val="both"/>
        <w:rPr>
          <w:lang w:val="mk-MK"/>
        </w:rPr>
      </w:pPr>
      <w:r w:rsidRPr="008662BF">
        <w:rPr>
          <w:lang w:val="mk-MK"/>
        </w:rPr>
        <w:t>Лабораторија за недеструктивни тестови</w:t>
      </w:r>
      <w:r w:rsidR="007E44C6" w:rsidRPr="008662BF">
        <w:rPr>
          <w:lang w:val="mk-MK"/>
        </w:rPr>
        <w:t>: с</w:t>
      </w:r>
      <w:r w:rsidRPr="008662BF">
        <w:rPr>
          <w:lang w:val="mk-MK"/>
        </w:rPr>
        <w:t>ледење на состојбите, детекција на оштетување кај згради, историски објекти и споменици и мерки за конструктивна рехабилитација; дијагностика, санација, конструктивно зајакнување, реконструкција, рехабилитација, доградби и надградби на постојни објекти од високоградбата; анализа на конструкции на објекти од високоградба: еластична, статичка и сеизмичка анализа, анализа на капацитет на носивост и деформабилност, нелинеарна статичка анализа, нелинеарна динамичка анализа за реални земјотресни записи.</w:t>
      </w:r>
    </w:p>
    <w:p w14:paraId="75446B15" w14:textId="77777777" w:rsidR="00751238" w:rsidRPr="008662BF" w:rsidRDefault="00751238" w:rsidP="007947BF">
      <w:pPr>
        <w:jc w:val="both"/>
        <w:rPr>
          <w:lang w:val="mk-MK"/>
        </w:rPr>
      </w:pPr>
      <w:r w:rsidRPr="008662BF">
        <w:rPr>
          <w:lang w:val="mk-MK"/>
        </w:rPr>
        <w:t xml:space="preserve">Истражувачка опрема: Институтот поседува капитална истражувачка опрема со вкупна сегашна проценета вредност од 3 милиони евра. Единечната капитална опрема за истражување со набавна цена повисока од 50.000 евра, е наведена во </w:t>
      </w:r>
      <w:r w:rsidR="004753FD" w:rsidRPr="008662BF">
        <w:rPr>
          <w:lang w:val="mk-MK"/>
        </w:rPr>
        <w:t>Прилог 1</w:t>
      </w:r>
      <w:r w:rsidRPr="008662BF">
        <w:rPr>
          <w:lang w:val="mk-MK"/>
        </w:rPr>
        <w:t>.</w:t>
      </w:r>
    </w:p>
    <w:p w14:paraId="5CCD0401" w14:textId="77777777" w:rsidR="009C4825" w:rsidRPr="008662BF" w:rsidRDefault="009C4825" w:rsidP="007947BF">
      <w:pPr>
        <w:pStyle w:val="Heading4"/>
        <w:spacing w:after="240"/>
        <w:rPr>
          <w:rFonts w:asciiTheme="minorHAnsi" w:hAnsiTheme="minorHAnsi"/>
          <w:lang w:val="mk-MK"/>
        </w:rPr>
      </w:pPr>
      <w:r w:rsidRPr="008662BF">
        <w:rPr>
          <w:rFonts w:asciiTheme="minorHAnsi" w:hAnsiTheme="minorHAnsi"/>
          <w:lang w:val="mk-MK"/>
        </w:rPr>
        <w:t>Институт за сточарство</w:t>
      </w:r>
    </w:p>
    <w:p w14:paraId="401F9279" w14:textId="77777777" w:rsidR="009C4825" w:rsidRPr="008662BF" w:rsidRDefault="009C4825" w:rsidP="009C4825">
      <w:pPr>
        <w:jc w:val="both"/>
        <w:rPr>
          <w:lang w:val="mk-MK"/>
        </w:rPr>
      </w:pPr>
      <w:r w:rsidRPr="008662BF">
        <w:rPr>
          <w:lang w:val="mk-MK"/>
        </w:rPr>
        <w:t xml:space="preserve">Главната истражувачка дејност на Институтот за сточарство опфаќа: исхрана и диететика на домашните животни како и изнаоѓање решенија за добивање производи од животинско потекло со подобрени квалитети; контрола на матично книговодство и биодиверзитетот на ендемични и домашни животни; соработка со фармерите како и изнаоѓање решенија за добивање производи од животинско потекло со подобрени квалитети; истражувања во областа на аквакултурата, ихтиологијата и екологијата на водните екосистеми. </w:t>
      </w:r>
    </w:p>
    <w:p w14:paraId="16430C51" w14:textId="77777777" w:rsidR="009C4825" w:rsidRPr="008662BF" w:rsidRDefault="009C4825" w:rsidP="009C4825">
      <w:pPr>
        <w:jc w:val="both"/>
        <w:rPr>
          <w:lang w:val="mk-MK"/>
        </w:rPr>
      </w:pPr>
      <w:r w:rsidRPr="008662BF">
        <w:rPr>
          <w:lang w:val="mk-MK"/>
        </w:rPr>
        <w:t>Услуги што се обезбедуваат: Лабораторија при Центарот за исхрана и преработка на хранителни производи им</w:t>
      </w:r>
      <w:r w:rsidR="007E44C6" w:rsidRPr="008662BF">
        <w:rPr>
          <w:lang w:val="mk-MK"/>
        </w:rPr>
        <w:t>а капацитети за следниве анализи</w:t>
      </w:r>
      <w:r w:rsidRPr="008662BF">
        <w:rPr>
          <w:lang w:val="mk-MK"/>
        </w:rPr>
        <w:t>: одредување на влага, сурови протеини, сурова маснотија, азот, pH, NaCl титриметриски, некои минерали како Ca, P, Mg титриметриски итн.</w:t>
      </w:r>
    </w:p>
    <w:p w14:paraId="253C4988" w14:textId="030941ED" w:rsidR="009C4825" w:rsidRPr="008662BF" w:rsidRDefault="009C4825" w:rsidP="009C4825">
      <w:pPr>
        <w:jc w:val="both"/>
        <w:rPr>
          <w:lang w:val="mk-MK"/>
        </w:rPr>
      </w:pPr>
      <w:r w:rsidRPr="008662BF">
        <w:rPr>
          <w:lang w:val="mk-MK"/>
        </w:rPr>
        <w:t>Лабораторијата на Институтот за сточарство има капацитети за следните анализи: определување на хемискиот состав на млекото (масти, протеини, лактоза, безмаслена сува материја, вкупна сува материја, густина); определување на додадена вода во млекото (криоскопска метода со точка на замрзнување); откривање на антибиотици во млекото; присуство на алкална фосфатаза (референтна метода за одредување на степенот на пастеризација на млекото и млечните производи со помош на Шарм</w:t>
      </w:r>
      <w:r w:rsidR="00243C5B">
        <w:rPr>
          <w:lang w:val="mk-MK"/>
        </w:rPr>
        <w:t>-</w:t>
      </w:r>
      <w:r w:rsidRPr="008662BF">
        <w:rPr>
          <w:lang w:val="mk-MK"/>
        </w:rPr>
        <w:t>луминатор) итн.</w:t>
      </w:r>
    </w:p>
    <w:p w14:paraId="14DDB289" w14:textId="0E666A5B" w:rsidR="009C4825" w:rsidRPr="008662BF" w:rsidRDefault="009C4825" w:rsidP="009C4825">
      <w:pPr>
        <w:jc w:val="both"/>
        <w:rPr>
          <w:lang w:val="mk-MK"/>
        </w:rPr>
      </w:pPr>
      <w:r w:rsidRPr="008662BF">
        <w:rPr>
          <w:lang w:val="mk-MK"/>
        </w:rPr>
        <w:lastRenderedPageBreak/>
        <w:t xml:space="preserve">Корисници на истражувачката инфраструктура се: Владата на </w:t>
      </w:r>
      <w:r w:rsidR="00417197">
        <w:rPr>
          <w:lang w:val="mk-MK"/>
        </w:rPr>
        <w:t>Република Северна Македонија</w:t>
      </w:r>
      <w:r w:rsidRPr="008662BF">
        <w:rPr>
          <w:lang w:val="mk-MK"/>
        </w:rPr>
        <w:t>, Министерството за земјоделство, шумарство и водостопанство и Министерството за животна средина и просторно планирање.</w:t>
      </w:r>
    </w:p>
    <w:p w14:paraId="1816FA3A" w14:textId="77777777" w:rsidR="009C4825" w:rsidRPr="008662BF" w:rsidRDefault="009C4825" w:rsidP="009C4825">
      <w:pPr>
        <w:jc w:val="both"/>
        <w:rPr>
          <w:lang w:val="mk-MK"/>
        </w:rPr>
      </w:pPr>
      <w:r w:rsidRPr="008662BF">
        <w:rPr>
          <w:lang w:val="mk-MK"/>
        </w:rPr>
        <w:t>Истражувачка опрема: Што се однесува до капиталната истражувачка опрема, Институтот располага со Milkoscan FT 6000 и Conveyor 4000 со вкупна набавна вредност од 130.000 евра. Сепак, опремата е релативно застарена - набавена е пред 20 години.</w:t>
      </w:r>
    </w:p>
    <w:p w14:paraId="448A4F59" w14:textId="77777777" w:rsidR="00473C93" w:rsidRPr="008662BF" w:rsidRDefault="00473C93" w:rsidP="007947BF">
      <w:pPr>
        <w:pStyle w:val="Heading4"/>
        <w:spacing w:after="240"/>
        <w:rPr>
          <w:rFonts w:asciiTheme="minorHAnsi" w:hAnsiTheme="minorHAnsi"/>
          <w:lang w:val="mk-MK"/>
        </w:rPr>
      </w:pPr>
      <w:r w:rsidRPr="008662BF">
        <w:rPr>
          <w:rFonts w:asciiTheme="minorHAnsi" w:hAnsiTheme="minorHAnsi"/>
          <w:lang w:val="mk-MK"/>
        </w:rPr>
        <w:t>Земјоделски институт</w:t>
      </w:r>
    </w:p>
    <w:p w14:paraId="0912DFBA" w14:textId="77777777" w:rsidR="00473C93" w:rsidRPr="008662BF" w:rsidRDefault="00473C93" w:rsidP="007947BF">
      <w:pPr>
        <w:spacing w:after="0"/>
        <w:jc w:val="both"/>
        <w:rPr>
          <w:lang w:val="mk-MK"/>
        </w:rPr>
      </w:pPr>
      <w:r w:rsidRPr="008662BF">
        <w:rPr>
          <w:lang w:val="mk-MK"/>
        </w:rPr>
        <w:t>Земјоделскиот институт во рамките на своите лаборатории ги врши следните истражувања: анализа на вино и алкохолни пијалоци, анализа на грозје; анализи на почва, ѓубрива и растителни материјали; анализа на семе.</w:t>
      </w:r>
    </w:p>
    <w:p w14:paraId="341DA69B" w14:textId="77777777" w:rsidR="00473C93" w:rsidRPr="008662BF" w:rsidRDefault="00473C93" w:rsidP="00473C93">
      <w:pPr>
        <w:pStyle w:val="ListParagraph"/>
        <w:numPr>
          <w:ilvl w:val="0"/>
          <w:numId w:val="30"/>
        </w:numPr>
        <w:jc w:val="both"/>
        <w:rPr>
          <w:lang w:val="mk-MK"/>
        </w:rPr>
      </w:pPr>
      <w:r w:rsidRPr="008662BF">
        <w:rPr>
          <w:lang w:val="mk-MK"/>
        </w:rPr>
        <w:t xml:space="preserve">Во Лабораторијата се вршат различни анализи на вино, </w:t>
      </w:r>
      <w:r w:rsidR="00243C5B">
        <w:rPr>
          <w:lang w:val="mk-MK"/>
        </w:rPr>
        <w:t xml:space="preserve">на </w:t>
      </w:r>
      <w:r w:rsidRPr="008662BF">
        <w:rPr>
          <w:lang w:val="mk-MK"/>
        </w:rPr>
        <w:t xml:space="preserve">алкохолни пијалоци и грозје. Анализите на специфична тежина, густина, јачина на алкохол, екстракт, шеќер, слободен и вкупен SO2, pH, </w:t>
      </w:r>
      <w:r w:rsidR="00243C5B">
        <w:rPr>
          <w:lang w:val="mk-MK"/>
        </w:rPr>
        <w:t xml:space="preserve">на </w:t>
      </w:r>
      <w:r w:rsidRPr="008662BF">
        <w:rPr>
          <w:lang w:val="mk-MK"/>
        </w:rPr>
        <w:t xml:space="preserve">испарливи и вкупни киселини главно се вршат на примероци на вино. Определувањето на јачината, бојата, катехините, антоцијаните и </w:t>
      </w:r>
      <w:r w:rsidR="00243C5B">
        <w:rPr>
          <w:lang w:val="mk-MK"/>
        </w:rPr>
        <w:t xml:space="preserve">на </w:t>
      </w:r>
      <w:r w:rsidRPr="008662BF">
        <w:rPr>
          <w:lang w:val="mk-MK"/>
        </w:rPr>
        <w:t>вкупните полифеноли и органски киселини со спектрофотометриска техника исто така се врши на примероци на вино.</w:t>
      </w:r>
    </w:p>
    <w:p w14:paraId="708D5F73" w14:textId="77777777" w:rsidR="00473C93" w:rsidRPr="008662BF" w:rsidRDefault="00473C93" w:rsidP="00473C93">
      <w:pPr>
        <w:pStyle w:val="ListParagraph"/>
        <w:numPr>
          <w:ilvl w:val="0"/>
          <w:numId w:val="30"/>
        </w:numPr>
        <w:jc w:val="both"/>
        <w:rPr>
          <w:lang w:val="mk-MK"/>
        </w:rPr>
      </w:pPr>
      <w:r w:rsidRPr="008662BF">
        <w:rPr>
          <w:lang w:val="mk-MK"/>
        </w:rPr>
        <w:t>Лабораторијата за испитување на почва, ѓубрива и</w:t>
      </w:r>
      <w:r w:rsidR="00243C5B">
        <w:rPr>
          <w:lang w:val="mk-MK"/>
        </w:rPr>
        <w:t xml:space="preserve"> на</w:t>
      </w:r>
      <w:r w:rsidRPr="008662BF">
        <w:rPr>
          <w:lang w:val="mk-MK"/>
        </w:rPr>
        <w:t xml:space="preserve"> растителен материјал врши основни и сложени анализи на почвата, ѓубривата и </w:t>
      </w:r>
      <w:r w:rsidR="00243C5B">
        <w:rPr>
          <w:lang w:val="mk-MK"/>
        </w:rPr>
        <w:t xml:space="preserve">на </w:t>
      </w:r>
      <w:r w:rsidRPr="008662BF">
        <w:rPr>
          <w:lang w:val="mk-MK"/>
        </w:rPr>
        <w:t>растителните материјали.</w:t>
      </w:r>
    </w:p>
    <w:p w14:paraId="7A93A221" w14:textId="1532C0B8" w:rsidR="00473C93" w:rsidRPr="008662BF" w:rsidRDefault="00473C93" w:rsidP="00473C93">
      <w:pPr>
        <w:pStyle w:val="ListParagraph"/>
        <w:numPr>
          <w:ilvl w:val="0"/>
          <w:numId w:val="30"/>
        </w:numPr>
        <w:jc w:val="both"/>
        <w:rPr>
          <w:lang w:val="mk-MK"/>
        </w:rPr>
      </w:pPr>
      <w:r w:rsidRPr="008662BF">
        <w:rPr>
          <w:lang w:val="mk-MK"/>
        </w:rPr>
        <w:t xml:space="preserve">Лабораторијата за испитување на семиња се занимава со определување на чистотата на семето, </w:t>
      </w:r>
      <w:r w:rsidR="00243C5B">
        <w:rPr>
          <w:rFonts w:cstheme="minorHAnsi"/>
          <w:lang w:val="mk-MK"/>
        </w:rPr>
        <w:t>’</w:t>
      </w:r>
      <w:r w:rsidRPr="008662BF">
        <w:rPr>
          <w:lang w:val="mk-MK"/>
        </w:rPr>
        <w:t>ртење</w:t>
      </w:r>
      <w:r w:rsidR="00243C5B">
        <w:rPr>
          <w:lang w:val="mk-MK"/>
        </w:rPr>
        <w:t>то</w:t>
      </w:r>
      <w:r w:rsidRPr="008662BF">
        <w:rPr>
          <w:lang w:val="mk-MK"/>
        </w:rPr>
        <w:t xml:space="preserve"> на семето,</w:t>
      </w:r>
      <w:r w:rsidR="00243C5B">
        <w:rPr>
          <w:lang w:val="mk-MK"/>
        </w:rPr>
        <w:t xml:space="preserve"> со </w:t>
      </w:r>
      <w:r w:rsidRPr="008662BF">
        <w:rPr>
          <w:lang w:val="mk-MK"/>
        </w:rPr>
        <w:t xml:space="preserve">маса на 1000 зрна, </w:t>
      </w:r>
      <w:r w:rsidR="00243C5B">
        <w:rPr>
          <w:lang w:val="mk-MK"/>
        </w:rPr>
        <w:t xml:space="preserve">со </w:t>
      </w:r>
      <w:r w:rsidRPr="008662BF">
        <w:rPr>
          <w:lang w:val="mk-MK"/>
        </w:rPr>
        <w:t>влажност</w:t>
      </w:r>
      <w:r w:rsidR="00243C5B">
        <w:rPr>
          <w:lang w:val="mk-MK"/>
        </w:rPr>
        <w:t>а</w:t>
      </w:r>
      <w:r w:rsidRPr="008662BF">
        <w:rPr>
          <w:lang w:val="mk-MK"/>
        </w:rPr>
        <w:t xml:space="preserve"> на семето и </w:t>
      </w:r>
      <w:r w:rsidR="00243C5B">
        <w:rPr>
          <w:lang w:val="mk-MK"/>
        </w:rPr>
        <w:t xml:space="preserve">со </w:t>
      </w:r>
      <w:r w:rsidRPr="008662BF">
        <w:rPr>
          <w:lang w:val="mk-MK"/>
        </w:rPr>
        <w:t>содржина</w:t>
      </w:r>
      <w:r w:rsidR="00243C5B">
        <w:rPr>
          <w:lang w:val="mk-MK"/>
        </w:rPr>
        <w:t>та</w:t>
      </w:r>
      <w:r w:rsidRPr="008662BF">
        <w:rPr>
          <w:lang w:val="mk-MK"/>
        </w:rPr>
        <w:t xml:space="preserve"> на други видови семиња во чистото семе.</w:t>
      </w:r>
    </w:p>
    <w:p w14:paraId="0CBFC6CD" w14:textId="77777777" w:rsidR="00473C93" w:rsidRPr="008662BF" w:rsidRDefault="00473C93" w:rsidP="007947BF">
      <w:pPr>
        <w:spacing w:after="0"/>
        <w:jc w:val="both"/>
        <w:rPr>
          <w:lang w:val="mk-MK"/>
        </w:rPr>
      </w:pPr>
      <w:r w:rsidRPr="008662BF">
        <w:rPr>
          <w:lang w:val="mk-MK"/>
        </w:rPr>
        <w:t>Истражувачка опрема: Институтот не поседува капитална истражувачка опрема од висока вредност. Сепак, лабораториите се добро опремени со истражувачки инструменти со помала вредност:</w:t>
      </w:r>
    </w:p>
    <w:p w14:paraId="343A4EDC" w14:textId="57181F59" w:rsidR="00FC7852" w:rsidRPr="008662BF" w:rsidRDefault="00FC7852" w:rsidP="00FC7852">
      <w:pPr>
        <w:pStyle w:val="ListParagraph"/>
        <w:numPr>
          <w:ilvl w:val="0"/>
          <w:numId w:val="29"/>
        </w:numPr>
        <w:jc w:val="both"/>
        <w:rPr>
          <w:lang w:val="mk-MK"/>
        </w:rPr>
      </w:pPr>
      <w:r w:rsidRPr="008662BF">
        <w:rPr>
          <w:lang w:val="mk-MK"/>
        </w:rPr>
        <w:t>Лабораторијата за испитување на семиња ја поседува следната опрема: температурна комора (печка со топол воздух) ЅТ- 01/02; температурна комора (</w:t>
      </w:r>
      <w:r w:rsidR="00243C5B">
        <w:rPr>
          <w:rFonts w:cstheme="minorHAnsi"/>
          <w:lang w:val="mk-MK"/>
        </w:rPr>
        <w:t>’</w:t>
      </w:r>
      <w:r w:rsidRPr="008662BF">
        <w:rPr>
          <w:lang w:val="mk-MK"/>
        </w:rPr>
        <w:t>ртилиште за семиња) Термостабилен TNF 5; електронска неавтоматска вага, EB-1200C и електронска неавтоматска вага, BP 221S.</w:t>
      </w:r>
    </w:p>
    <w:p w14:paraId="3BF02417" w14:textId="28DAAD09" w:rsidR="00073C3A" w:rsidRPr="008662BF" w:rsidRDefault="00FC7852" w:rsidP="00073C3A">
      <w:pPr>
        <w:pStyle w:val="ListParagraph"/>
        <w:numPr>
          <w:ilvl w:val="0"/>
          <w:numId w:val="29"/>
        </w:numPr>
        <w:jc w:val="both"/>
        <w:rPr>
          <w:lang w:val="mk-MK"/>
        </w:rPr>
      </w:pPr>
      <w:r w:rsidRPr="008662BF">
        <w:rPr>
          <w:lang w:val="mk-MK"/>
        </w:rPr>
        <w:t>Лабораторијата за испитување на почва, ѓубрива и растителен материјал е опремена со опрема за земање примероци (рачна дупчалка за почва) и џебни GPS</w:t>
      </w:r>
      <w:r w:rsidR="00D253C3">
        <w:rPr>
          <w:lang w:val="mk-MK"/>
        </w:rPr>
        <w:t>-</w:t>
      </w:r>
      <w:r w:rsidRPr="008662BF">
        <w:rPr>
          <w:lang w:val="mk-MK"/>
        </w:rPr>
        <w:t>приемници и основна лабораториска опрема (рН</w:t>
      </w:r>
      <w:r w:rsidR="00D253C3">
        <w:t>-</w:t>
      </w:r>
      <w:r w:rsidRPr="008662BF">
        <w:rPr>
          <w:lang w:val="mk-MK"/>
        </w:rPr>
        <w:t xml:space="preserve">мерач, пламена фотометрија, спектрофотометрија, печка за сушење, дестилатор и аналитички ваги). </w:t>
      </w:r>
      <w:r w:rsidR="00073C3A" w:rsidRPr="008662BF">
        <w:rPr>
          <w:lang w:val="mk-MK"/>
        </w:rPr>
        <w:t>Лабораторијата постојано учествува во меѓулабораториски</w:t>
      </w:r>
      <w:r w:rsidR="00D253C3">
        <w:rPr>
          <w:lang w:val="mk-MK"/>
        </w:rPr>
        <w:t>те</w:t>
      </w:r>
      <w:r w:rsidR="00073C3A" w:rsidRPr="008662BF">
        <w:rPr>
          <w:lang w:val="mk-MK"/>
        </w:rPr>
        <w:t xml:space="preserve"> споредби на национално и меѓународно ниво, како и во тестирања</w:t>
      </w:r>
      <w:r w:rsidR="00D253C3">
        <w:rPr>
          <w:lang w:val="mk-MK"/>
        </w:rPr>
        <w:t>та</w:t>
      </w:r>
      <w:r w:rsidR="00073C3A" w:rsidRPr="008662BF">
        <w:rPr>
          <w:lang w:val="mk-MK"/>
        </w:rPr>
        <w:t xml:space="preserve"> на оспособеност. </w:t>
      </w:r>
    </w:p>
    <w:p w14:paraId="06A55BDA" w14:textId="682D0B5B" w:rsidR="00073C3A" w:rsidRPr="008662BF" w:rsidRDefault="00073C3A" w:rsidP="007947BF">
      <w:pPr>
        <w:jc w:val="both"/>
        <w:rPr>
          <w:lang w:val="mk-MK"/>
        </w:rPr>
      </w:pPr>
      <w:r w:rsidRPr="008662BF">
        <w:rPr>
          <w:lang w:val="mk-MK"/>
        </w:rPr>
        <w:t>Постојната опрема е застарена. За да биде во чекор со актуелните трендови, на Институтот му е потребна следна</w:t>
      </w:r>
      <w:r w:rsidR="00D253C3">
        <w:rPr>
          <w:lang w:val="mk-MK"/>
        </w:rPr>
        <w:t>в</w:t>
      </w:r>
      <w:r w:rsidRPr="008662BF">
        <w:rPr>
          <w:lang w:val="mk-MK"/>
        </w:rPr>
        <w:t xml:space="preserve">а нова опрема: EC метар; пламена фотометрија; спектрофотометрија; печка за сушење; </w:t>
      </w:r>
      <w:r w:rsidR="007414AD" w:rsidRPr="008662BF">
        <w:rPr>
          <w:rFonts w:cstheme="minorHAnsi"/>
          <w:color w:val="0A0A0A"/>
          <w:shd w:val="clear" w:color="auto" w:fill="FEFEFE"/>
          <w:lang w:val="mk-MK"/>
        </w:rPr>
        <w:t>Кјелдал</w:t>
      </w:r>
      <w:r w:rsidRPr="008662BF">
        <w:rPr>
          <w:rFonts w:cstheme="minorHAnsi"/>
          <w:lang w:val="mk-MK"/>
        </w:rPr>
        <w:t xml:space="preserve">дигестор; </w:t>
      </w:r>
      <w:r w:rsidR="007414AD" w:rsidRPr="008662BF">
        <w:rPr>
          <w:rFonts w:cstheme="minorHAnsi"/>
          <w:color w:val="0A0A0A"/>
          <w:shd w:val="clear" w:color="auto" w:fill="FEFEFE"/>
          <w:lang w:val="mk-MK"/>
        </w:rPr>
        <w:t>Кјелдал</w:t>
      </w:r>
      <w:r w:rsidRPr="008662BF">
        <w:rPr>
          <w:rFonts w:cstheme="minorHAnsi"/>
          <w:lang w:val="mk-MK"/>
        </w:rPr>
        <w:t>дестилатор</w:t>
      </w:r>
      <w:r w:rsidRPr="008662BF">
        <w:rPr>
          <w:lang w:val="mk-MK"/>
        </w:rPr>
        <w:t xml:space="preserve">; дестилатор на вода; анализатор на вкупен азот, CHNS; водена бања; микробранов систем за дигестија; гасен хроматограф со FID детектор за определување на некои параметри кај пијалоците; и течен хроматограф со високи перформанси за определување на некои параметри во примероците на вино. </w:t>
      </w:r>
    </w:p>
    <w:p w14:paraId="10C17757" w14:textId="77777777" w:rsidR="007947BF" w:rsidRPr="008662BF" w:rsidRDefault="00E55E84" w:rsidP="007947BF">
      <w:pPr>
        <w:pStyle w:val="Heading4"/>
        <w:spacing w:after="240"/>
        <w:rPr>
          <w:rFonts w:asciiTheme="minorHAnsi" w:hAnsiTheme="minorHAnsi"/>
          <w:lang w:val="mk-MK"/>
        </w:rPr>
      </w:pPr>
      <w:r w:rsidRPr="008662BF">
        <w:rPr>
          <w:rFonts w:asciiTheme="minorHAnsi" w:hAnsiTheme="minorHAnsi"/>
          <w:lang w:val="mk-MK"/>
        </w:rPr>
        <w:lastRenderedPageBreak/>
        <w:t>Институт за македонски јазик „Крсте Мисирков“</w:t>
      </w:r>
      <w:r w:rsidR="00D253C3">
        <w:rPr>
          <w:rFonts w:asciiTheme="minorHAnsi" w:hAnsiTheme="minorHAnsi"/>
          <w:lang w:val="mk-MK"/>
        </w:rPr>
        <w:t xml:space="preserve"> </w:t>
      </w:r>
      <w:r w:rsidRPr="008662BF">
        <w:rPr>
          <w:rFonts w:asciiTheme="minorHAnsi" w:hAnsiTheme="minorHAnsi"/>
          <w:lang w:val="mk-MK"/>
        </w:rPr>
        <w:t>- Скопје</w:t>
      </w:r>
    </w:p>
    <w:p w14:paraId="690C0079" w14:textId="294797F4" w:rsidR="00E55E84" w:rsidRPr="008662BF" w:rsidRDefault="00E55E84" w:rsidP="00E55E84">
      <w:pPr>
        <w:jc w:val="both"/>
        <w:rPr>
          <w:lang w:val="mk-MK"/>
        </w:rPr>
      </w:pPr>
      <w:r w:rsidRPr="008662BF">
        <w:rPr>
          <w:lang w:val="mk-MK"/>
        </w:rPr>
        <w:t xml:space="preserve">Во однос на истражувачката инфраструктура, Институтот за македонски јазик „Крсте Мисирков“опфаќа: библиотечен центар (што содржи неколку системи на картотека/збирки </w:t>
      </w:r>
      <w:r w:rsidR="00D253C3">
        <w:rPr>
          <w:lang w:val="mk-MK"/>
        </w:rPr>
        <w:t>од:</w:t>
      </w:r>
      <w:r w:rsidRPr="008662BF">
        <w:rPr>
          <w:lang w:val="mk-MK"/>
        </w:rPr>
        <w:t xml:space="preserve"> македонска</w:t>
      </w:r>
      <w:r w:rsidR="00D253C3">
        <w:rPr>
          <w:lang w:val="mk-MK"/>
        </w:rPr>
        <w:t>та</w:t>
      </w:r>
      <w:r w:rsidRPr="008662BF">
        <w:rPr>
          <w:lang w:val="mk-MK"/>
        </w:rPr>
        <w:t xml:space="preserve"> лексикологија, историја</w:t>
      </w:r>
      <w:r w:rsidR="00D253C3">
        <w:rPr>
          <w:lang w:val="mk-MK"/>
        </w:rPr>
        <w:t>та</w:t>
      </w:r>
      <w:r w:rsidRPr="008662BF">
        <w:rPr>
          <w:lang w:val="mk-MK"/>
        </w:rPr>
        <w:t xml:space="preserve"> на македонскиот јазик, ономастика</w:t>
      </w:r>
      <w:r w:rsidR="00D253C3">
        <w:rPr>
          <w:lang w:val="mk-MK"/>
        </w:rPr>
        <w:t>та</w:t>
      </w:r>
      <w:r w:rsidRPr="008662BF">
        <w:rPr>
          <w:lang w:val="mk-MK"/>
        </w:rPr>
        <w:t xml:space="preserve"> и дијалектологија</w:t>
      </w:r>
      <w:r w:rsidR="00D253C3">
        <w:rPr>
          <w:lang w:val="mk-MK"/>
        </w:rPr>
        <w:t>та</w:t>
      </w:r>
      <w:r w:rsidRPr="008662BF">
        <w:rPr>
          <w:lang w:val="mk-MK"/>
        </w:rPr>
        <w:t xml:space="preserve">), информативен и референтен центар, основна истражувачка опрема, архивска и издавачка документација и други ресурси </w:t>
      </w:r>
      <w:r w:rsidR="00D253C3">
        <w:rPr>
          <w:lang w:val="mk-MK"/>
        </w:rPr>
        <w:t>што</w:t>
      </w:r>
      <w:r w:rsidRPr="008662BF">
        <w:rPr>
          <w:lang w:val="mk-MK"/>
        </w:rPr>
        <w:t xml:space="preserve"> придонесуваат за научна</w:t>
      </w:r>
      <w:r w:rsidR="00D253C3">
        <w:rPr>
          <w:lang w:val="mk-MK"/>
        </w:rPr>
        <w:t>та</w:t>
      </w:r>
      <w:r w:rsidRPr="008662BF">
        <w:rPr>
          <w:lang w:val="mk-MK"/>
        </w:rPr>
        <w:t xml:space="preserve"> работа и </w:t>
      </w:r>
      <w:r w:rsidR="00D253C3">
        <w:rPr>
          <w:lang w:val="mk-MK"/>
        </w:rPr>
        <w:t xml:space="preserve">за </w:t>
      </w:r>
      <w:r w:rsidRPr="008662BF">
        <w:rPr>
          <w:lang w:val="mk-MK"/>
        </w:rPr>
        <w:t>истражувањата од областа на хуманистичките науки.</w:t>
      </w:r>
    </w:p>
    <w:p w14:paraId="0C7B00D2" w14:textId="3A9D361F" w:rsidR="00E55E84" w:rsidRPr="008662BF" w:rsidRDefault="00E55E84" w:rsidP="00E55E84">
      <w:pPr>
        <w:jc w:val="both"/>
        <w:rPr>
          <w:lang w:val="mk-MK"/>
        </w:rPr>
      </w:pPr>
      <w:r w:rsidRPr="008662BF">
        <w:rPr>
          <w:lang w:val="mk-MK"/>
        </w:rPr>
        <w:t>Институтот придонесува за развојот на науката и</w:t>
      </w:r>
      <w:r w:rsidR="008C50EC">
        <w:rPr>
          <w:lang w:val="mk-MK"/>
        </w:rPr>
        <w:t xml:space="preserve"> на</w:t>
      </w:r>
      <w:r w:rsidRPr="008662BF">
        <w:rPr>
          <w:lang w:val="mk-MK"/>
        </w:rPr>
        <w:t xml:space="preserve"> македонскиот јазик</w:t>
      </w:r>
      <w:r w:rsidR="008C50EC">
        <w:rPr>
          <w:lang w:val="mk-MK"/>
        </w:rPr>
        <w:t>,</w:t>
      </w:r>
      <w:r w:rsidRPr="008662BF">
        <w:rPr>
          <w:lang w:val="mk-MK"/>
        </w:rPr>
        <w:t xml:space="preserve"> на сите лингвистички нивоа, како и за општата лингвистика и комуникологија; </w:t>
      </w:r>
      <w:r w:rsidR="008C50EC">
        <w:rPr>
          <w:lang w:val="mk-MK"/>
        </w:rPr>
        <w:t xml:space="preserve">потоа со </w:t>
      </w:r>
      <w:r w:rsidRPr="008662BF">
        <w:rPr>
          <w:lang w:val="mk-MK"/>
        </w:rPr>
        <w:t>објавување</w:t>
      </w:r>
      <w:r w:rsidR="008C50EC">
        <w:rPr>
          <w:lang w:val="mk-MK"/>
        </w:rPr>
        <w:t>то</w:t>
      </w:r>
      <w:r w:rsidRPr="008662BF">
        <w:rPr>
          <w:lang w:val="mk-MK"/>
        </w:rPr>
        <w:t xml:space="preserve"> научна литература </w:t>
      </w:r>
      <w:r w:rsidR="008C50EC">
        <w:rPr>
          <w:lang w:val="mk-MK"/>
        </w:rPr>
        <w:t>од областа на</w:t>
      </w:r>
      <w:r w:rsidRPr="008662BF">
        <w:rPr>
          <w:lang w:val="mk-MK"/>
        </w:rPr>
        <w:t xml:space="preserve"> македонски</w:t>
      </w:r>
      <w:r w:rsidR="008C50EC">
        <w:rPr>
          <w:lang w:val="mk-MK"/>
        </w:rPr>
        <w:t xml:space="preserve">от </w:t>
      </w:r>
      <w:r w:rsidRPr="008662BF">
        <w:rPr>
          <w:lang w:val="mk-MK"/>
        </w:rPr>
        <w:t xml:space="preserve"> јазик, </w:t>
      </w:r>
      <w:r w:rsidR="008C50EC">
        <w:rPr>
          <w:lang w:val="mk-MK"/>
        </w:rPr>
        <w:t xml:space="preserve"> на </w:t>
      </w:r>
      <w:r w:rsidRPr="008662BF">
        <w:rPr>
          <w:lang w:val="mk-MK"/>
        </w:rPr>
        <w:t>лингвистика</w:t>
      </w:r>
      <w:r w:rsidR="008C50EC">
        <w:rPr>
          <w:lang w:val="mk-MK"/>
        </w:rPr>
        <w:t>та</w:t>
      </w:r>
      <w:r w:rsidRPr="008662BF">
        <w:rPr>
          <w:lang w:val="mk-MK"/>
        </w:rPr>
        <w:t xml:space="preserve"> и комуникологија</w:t>
      </w:r>
      <w:r w:rsidR="008C50EC">
        <w:rPr>
          <w:lang w:val="mk-MK"/>
        </w:rPr>
        <w:t>та</w:t>
      </w:r>
      <w:r w:rsidRPr="008662BF">
        <w:rPr>
          <w:lang w:val="mk-MK"/>
        </w:rPr>
        <w:t xml:space="preserve"> и придонесува за општиот развој на економијата.</w:t>
      </w:r>
    </w:p>
    <w:p w14:paraId="65DB2A1D" w14:textId="77777777" w:rsidR="007947BF" w:rsidRPr="008662BF" w:rsidRDefault="00E55E84" w:rsidP="007947BF">
      <w:pPr>
        <w:spacing w:after="0"/>
        <w:jc w:val="both"/>
        <w:rPr>
          <w:lang w:val="mk-MK"/>
        </w:rPr>
      </w:pPr>
      <w:r w:rsidRPr="008662BF">
        <w:rPr>
          <w:lang w:val="mk-MK"/>
        </w:rPr>
        <w:t>Услуги што се обезбедуваат</w:t>
      </w:r>
      <w:r w:rsidR="007947BF" w:rsidRPr="008662BF">
        <w:rPr>
          <w:lang w:val="mk-MK"/>
        </w:rPr>
        <w:t xml:space="preserve">: </w:t>
      </w:r>
    </w:p>
    <w:p w14:paraId="23EB92B9" w14:textId="77777777" w:rsidR="00E55E84" w:rsidRPr="008662BF" w:rsidRDefault="00E55E84" w:rsidP="00E55E84">
      <w:pPr>
        <w:pStyle w:val="ListParagraph"/>
        <w:numPr>
          <w:ilvl w:val="0"/>
          <w:numId w:val="39"/>
        </w:numPr>
        <w:jc w:val="both"/>
        <w:rPr>
          <w:lang w:val="mk-MK"/>
        </w:rPr>
      </w:pPr>
      <w:r w:rsidRPr="008662BF">
        <w:rPr>
          <w:lang w:val="mk-MK"/>
        </w:rPr>
        <w:t>Библиотечни услуги</w:t>
      </w:r>
    </w:p>
    <w:p w14:paraId="1F68842C" w14:textId="5D109237" w:rsidR="00E55E84" w:rsidRPr="008662BF" w:rsidRDefault="00E55E84" w:rsidP="00E55E84">
      <w:pPr>
        <w:pStyle w:val="ListParagraph"/>
        <w:numPr>
          <w:ilvl w:val="0"/>
          <w:numId w:val="39"/>
        </w:numPr>
        <w:jc w:val="both"/>
        <w:rPr>
          <w:lang w:val="mk-MK"/>
        </w:rPr>
      </w:pPr>
      <w:r w:rsidRPr="008662BF">
        <w:rPr>
          <w:lang w:val="mk-MK"/>
        </w:rPr>
        <w:t xml:space="preserve">Консултантски услуги за студентите на Институтот, како и за пошироката научна заедница во </w:t>
      </w:r>
      <w:r w:rsidR="00417197">
        <w:rPr>
          <w:lang w:val="mk-MK"/>
        </w:rPr>
        <w:t>Република Северна Македонија</w:t>
      </w:r>
      <w:r w:rsidRPr="008662BF">
        <w:rPr>
          <w:lang w:val="mk-MK"/>
        </w:rPr>
        <w:t xml:space="preserve"> и во странство</w:t>
      </w:r>
    </w:p>
    <w:p w14:paraId="07A351F9" w14:textId="77777777" w:rsidR="00E55E84" w:rsidRPr="008662BF" w:rsidRDefault="00E55E84" w:rsidP="00E55E84">
      <w:pPr>
        <w:pStyle w:val="ListParagraph"/>
        <w:numPr>
          <w:ilvl w:val="0"/>
          <w:numId w:val="39"/>
        </w:numPr>
        <w:jc w:val="both"/>
        <w:rPr>
          <w:lang w:val="mk-MK"/>
        </w:rPr>
      </w:pPr>
      <w:r w:rsidRPr="008662BF">
        <w:rPr>
          <w:lang w:val="mk-MK"/>
        </w:rPr>
        <w:t>Настава и обука</w:t>
      </w:r>
    </w:p>
    <w:p w14:paraId="1F8C6399" w14:textId="77777777" w:rsidR="00E55E84" w:rsidRPr="008662BF" w:rsidRDefault="00E55E84" w:rsidP="00E55E84">
      <w:pPr>
        <w:pStyle w:val="ListParagraph"/>
        <w:numPr>
          <w:ilvl w:val="0"/>
          <w:numId w:val="39"/>
        </w:numPr>
        <w:jc w:val="both"/>
        <w:rPr>
          <w:lang w:val="mk-MK"/>
        </w:rPr>
      </w:pPr>
      <w:r w:rsidRPr="008662BF">
        <w:rPr>
          <w:lang w:val="mk-MK"/>
        </w:rPr>
        <w:t>Организирање на јавни настани и промоции</w:t>
      </w:r>
    </w:p>
    <w:p w14:paraId="67D5A984" w14:textId="3C320BDE" w:rsidR="00C02553" w:rsidRPr="008662BF" w:rsidRDefault="00E55E84" w:rsidP="00601D86">
      <w:pPr>
        <w:jc w:val="both"/>
        <w:rPr>
          <w:lang w:val="mk-MK"/>
        </w:rPr>
      </w:pPr>
      <w:r w:rsidRPr="008662BF">
        <w:rPr>
          <w:lang w:val="mk-MK"/>
        </w:rPr>
        <w:t xml:space="preserve">Истражувачка опрема: </w:t>
      </w:r>
      <w:r w:rsidR="00C02553" w:rsidRPr="008662BF">
        <w:rPr>
          <w:lang w:val="mk-MK"/>
        </w:rPr>
        <w:t>Опрема за истражување</w:t>
      </w:r>
      <w:r w:rsidR="008C50EC">
        <w:rPr>
          <w:lang w:val="mk-MK"/>
        </w:rPr>
        <w:t xml:space="preserve"> </w:t>
      </w:r>
      <w:r w:rsidR="00A446A6">
        <w:rPr>
          <w:rFonts w:cstheme="minorHAnsi"/>
          <w:lang w:val="mk-MK"/>
        </w:rPr>
        <w:t>–</w:t>
      </w:r>
      <w:r w:rsidR="00C02553" w:rsidRPr="008662BF">
        <w:rPr>
          <w:lang w:val="mk-MK"/>
        </w:rPr>
        <w:t xml:space="preserve"> Институтот нема капитална истражувачка опрема, само компјутери со основна конфигурација, печатачи/машини за копирање и неколку диктафони. Институтот ја поседува библиотеката и картотеките/збирките кои се сметаат за непроценливо национално културно наследство.</w:t>
      </w:r>
    </w:p>
    <w:p w14:paraId="0AD50AFE" w14:textId="77777777" w:rsidR="00973194" w:rsidRPr="008662BF" w:rsidRDefault="00973194" w:rsidP="007947BF">
      <w:pPr>
        <w:pStyle w:val="Heading4"/>
        <w:spacing w:after="240"/>
        <w:rPr>
          <w:rFonts w:ascii="Calibri" w:hAnsi="Calibri" w:cs="Calibri"/>
          <w:lang w:val="mk-MK"/>
        </w:rPr>
      </w:pPr>
      <w:r w:rsidRPr="008662BF">
        <w:rPr>
          <w:rFonts w:ascii="Calibri" w:hAnsi="Calibri" w:cs="Calibri"/>
          <w:lang w:val="mk-MK"/>
        </w:rPr>
        <w:t>Институт за македонска литература</w:t>
      </w:r>
    </w:p>
    <w:p w14:paraId="2A13642D" w14:textId="77777777" w:rsidR="007947BF" w:rsidRPr="008662BF" w:rsidRDefault="00973194" w:rsidP="007947BF">
      <w:pPr>
        <w:pStyle w:val="Heading5"/>
        <w:spacing w:after="240"/>
        <w:rPr>
          <w:rFonts w:ascii="Calibri" w:hAnsi="Calibri" w:cs="Calibri"/>
          <w:lang w:val="mk-MK"/>
        </w:rPr>
      </w:pPr>
      <w:r w:rsidRPr="008662BF">
        <w:rPr>
          <w:rFonts w:ascii="Calibri" w:hAnsi="Calibri" w:cs="Calibri"/>
          <w:lang w:val="mk-MK"/>
        </w:rPr>
        <w:t>Академска библиотека</w:t>
      </w:r>
    </w:p>
    <w:p w14:paraId="44F6EB23" w14:textId="77777777" w:rsidR="00973194" w:rsidRPr="008662BF" w:rsidRDefault="00973194" w:rsidP="00973194">
      <w:pPr>
        <w:jc w:val="both"/>
        <w:rPr>
          <w:lang w:val="mk-MK"/>
        </w:rPr>
      </w:pPr>
      <w:r w:rsidRPr="008662BF">
        <w:rPr>
          <w:lang w:val="mk-MK"/>
        </w:rPr>
        <w:t xml:space="preserve">Библиотеката на Институтот за македонска литература обезбедува поддршка со библиотечен материјал и </w:t>
      </w:r>
      <w:r w:rsidR="00A446A6">
        <w:rPr>
          <w:lang w:val="mk-MK"/>
        </w:rPr>
        <w:t xml:space="preserve">со </w:t>
      </w:r>
      <w:r w:rsidRPr="008662BF">
        <w:rPr>
          <w:lang w:val="mk-MK"/>
        </w:rPr>
        <w:t>информации на научните истражувачи и</w:t>
      </w:r>
      <w:r w:rsidR="00A446A6">
        <w:rPr>
          <w:lang w:val="mk-MK"/>
        </w:rPr>
        <w:t xml:space="preserve"> на</w:t>
      </w:r>
      <w:r w:rsidRPr="008662BF">
        <w:rPr>
          <w:lang w:val="mk-MK"/>
        </w:rPr>
        <w:t xml:space="preserve"> студентите на Институтот, како и на научните и високообразовните институции во рамките на Универзитетот „Св. Кирил и Методиј“ во Скопје.</w:t>
      </w:r>
    </w:p>
    <w:p w14:paraId="4FA780EB" w14:textId="77777777" w:rsidR="00973194" w:rsidRPr="008662BF" w:rsidRDefault="00973194" w:rsidP="00973194">
      <w:pPr>
        <w:jc w:val="both"/>
        <w:rPr>
          <w:lang w:val="mk-MK"/>
        </w:rPr>
      </w:pPr>
      <w:r w:rsidRPr="008662BF">
        <w:rPr>
          <w:lang w:val="mk-MK"/>
        </w:rPr>
        <w:t xml:space="preserve">Во моментов има вкупно 7.403 монографии и 131 списанија од областа на литературата и </w:t>
      </w:r>
      <w:r w:rsidR="00A446A6">
        <w:rPr>
          <w:lang w:val="mk-MK"/>
        </w:rPr>
        <w:t xml:space="preserve">од </w:t>
      </w:r>
      <w:r w:rsidRPr="008662BF">
        <w:rPr>
          <w:lang w:val="mk-MK"/>
        </w:rPr>
        <w:t>другите области на хуманистичките науки. Во Библиотеката има 140 сопствени изданија (100 монографии и 40 зборници на трудови) на Институтот за македонска литература, а автори се научни истражувачи од Институтот. Институтот за македонска литература во Скопје издава три научни списанија „Спектар“ (76 броја), „Контекст“ (22 броја) и „Филолошки студии“ (18 броја со два тома).</w:t>
      </w:r>
    </w:p>
    <w:p w14:paraId="6809A417" w14:textId="77777777" w:rsidR="00973194" w:rsidRPr="008662BF" w:rsidRDefault="00973194" w:rsidP="00973194">
      <w:pPr>
        <w:jc w:val="both"/>
        <w:rPr>
          <w:lang w:val="mk-MK"/>
        </w:rPr>
      </w:pPr>
      <w:r w:rsidRPr="008662BF">
        <w:rPr>
          <w:lang w:val="mk-MK"/>
        </w:rPr>
        <w:t xml:space="preserve">Услуги </w:t>
      </w:r>
      <w:r w:rsidR="00601D86" w:rsidRPr="008662BF">
        <w:rPr>
          <w:lang w:val="mk-MK"/>
        </w:rPr>
        <w:t>ш</w:t>
      </w:r>
      <w:r w:rsidRPr="008662BF">
        <w:rPr>
          <w:lang w:val="mk-MK"/>
        </w:rPr>
        <w:t>то се обезбедуваат: Библиотеката содржи дела од областа на науката за литературата и</w:t>
      </w:r>
      <w:r w:rsidR="00A446A6">
        <w:rPr>
          <w:lang w:val="mk-MK"/>
        </w:rPr>
        <w:t xml:space="preserve"> од</w:t>
      </w:r>
      <w:r w:rsidRPr="008662BF">
        <w:rPr>
          <w:lang w:val="mk-MK"/>
        </w:rPr>
        <w:t xml:space="preserve"> сродните научни области (науката за јазикот, драмската уметност, етнологијата, филозофијата, историските науки и др.), периодични списанија, докторски дисертации, магистерски трудови, трудови од научно-истражувачки проекти, збирки од научни собири и други видови библиотечен материјал (архивски материјал, стари ракописи, факсимили и сл.)</w:t>
      </w:r>
      <w:r w:rsidR="00601D86" w:rsidRPr="008662BF">
        <w:rPr>
          <w:lang w:val="mk-MK"/>
        </w:rPr>
        <w:t>.</w:t>
      </w:r>
    </w:p>
    <w:p w14:paraId="54E8F5B3" w14:textId="77777777" w:rsidR="00306043" w:rsidRPr="008662BF" w:rsidRDefault="00306043" w:rsidP="007947BF">
      <w:pPr>
        <w:pStyle w:val="Heading4"/>
        <w:spacing w:after="240"/>
        <w:rPr>
          <w:rFonts w:ascii="Calibri" w:hAnsi="Calibri" w:cs="Calibri"/>
          <w:lang w:val="mk-MK"/>
        </w:rPr>
      </w:pPr>
      <w:r w:rsidRPr="008662BF">
        <w:rPr>
          <w:rFonts w:ascii="Calibri" w:hAnsi="Calibri" w:cs="Calibri"/>
          <w:lang w:val="mk-MK"/>
        </w:rPr>
        <w:lastRenderedPageBreak/>
        <w:t>Институт за фолклор „Марко Цепенков“</w:t>
      </w:r>
    </w:p>
    <w:p w14:paraId="0826AAB9" w14:textId="66FE1DDC" w:rsidR="00306043" w:rsidRPr="008662BF" w:rsidRDefault="00306043" w:rsidP="00306043">
      <w:pPr>
        <w:jc w:val="both"/>
        <w:rPr>
          <w:lang w:val="mk-MK"/>
        </w:rPr>
      </w:pPr>
      <w:r w:rsidRPr="008662BF">
        <w:rPr>
          <w:lang w:val="mk-MK"/>
        </w:rPr>
        <w:t>Институ</w:t>
      </w:r>
      <w:r w:rsidR="00601D86" w:rsidRPr="008662BF">
        <w:rPr>
          <w:lang w:val="mk-MK"/>
        </w:rPr>
        <w:t>тот за фолклор „Марко Цепенков“</w:t>
      </w:r>
      <w:r w:rsidR="00A446A6">
        <w:rPr>
          <w:lang w:val="mk-MK"/>
        </w:rPr>
        <w:t xml:space="preserve"> </w:t>
      </w:r>
      <w:r w:rsidRPr="008662BF">
        <w:rPr>
          <w:lang w:val="mk-MK"/>
        </w:rPr>
        <w:t>се занимава со собирање и</w:t>
      </w:r>
      <w:r w:rsidR="00A446A6">
        <w:rPr>
          <w:lang w:val="mk-MK"/>
        </w:rPr>
        <w:t xml:space="preserve"> со</w:t>
      </w:r>
      <w:r w:rsidRPr="008662BF">
        <w:rPr>
          <w:lang w:val="mk-MK"/>
        </w:rPr>
        <w:t xml:space="preserve"> зачувување на локалниот и </w:t>
      </w:r>
      <w:r w:rsidR="00A446A6">
        <w:rPr>
          <w:lang w:val="mk-MK"/>
        </w:rPr>
        <w:t xml:space="preserve">на </w:t>
      </w:r>
      <w:r w:rsidRPr="008662BF">
        <w:rPr>
          <w:lang w:val="mk-MK"/>
        </w:rPr>
        <w:t>националниот фолклор и</w:t>
      </w:r>
      <w:r w:rsidR="00A446A6">
        <w:rPr>
          <w:lang w:val="mk-MK"/>
        </w:rPr>
        <w:t xml:space="preserve"> со</w:t>
      </w:r>
      <w:r w:rsidRPr="008662BF">
        <w:rPr>
          <w:lang w:val="mk-MK"/>
        </w:rPr>
        <w:t xml:space="preserve"> воспоставување академски врски со научни институции како што е Македонската академија на науките и уметностите. Главната цел е да се прошири спектарот на истражувачки теми </w:t>
      </w:r>
      <w:r w:rsidR="00A446A6">
        <w:rPr>
          <w:lang w:val="mk-MK"/>
        </w:rPr>
        <w:t>што</w:t>
      </w:r>
      <w:r w:rsidRPr="008662BF">
        <w:rPr>
          <w:lang w:val="mk-MK"/>
        </w:rPr>
        <w:t xml:space="preserve"> се однесуваат на македонскиот фолклор во споредба со фолклорот на Балканот и пошироко.</w:t>
      </w:r>
    </w:p>
    <w:p w14:paraId="4E7034C0" w14:textId="64237665" w:rsidR="00306043" w:rsidRPr="008662BF" w:rsidRDefault="00A446A6" w:rsidP="00306043">
      <w:pPr>
        <w:jc w:val="both"/>
        <w:rPr>
          <w:lang w:val="mk-MK"/>
        </w:rPr>
      </w:pPr>
      <w:r>
        <w:rPr>
          <w:lang w:val="mk-MK"/>
        </w:rPr>
        <w:t>Архивата што</w:t>
      </w:r>
      <w:r w:rsidRPr="008662BF">
        <w:rPr>
          <w:lang w:val="mk-MK"/>
        </w:rPr>
        <w:t xml:space="preserve"> ја поседува </w:t>
      </w:r>
      <w:r w:rsidR="00306043" w:rsidRPr="008662BF">
        <w:rPr>
          <w:lang w:val="mk-MK"/>
        </w:rPr>
        <w:t>Институтот</w:t>
      </w:r>
      <w:r>
        <w:rPr>
          <w:lang w:val="mk-MK"/>
        </w:rPr>
        <w:t xml:space="preserve"> е</w:t>
      </w:r>
      <w:r w:rsidR="00306043" w:rsidRPr="008662BF">
        <w:rPr>
          <w:lang w:val="mk-MK"/>
        </w:rPr>
        <w:t xml:space="preserve"> една од најбогатите во </w:t>
      </w:r>
      <w:r w:rsidR="00417197">
        <w:rPr>
          <w:lang w:val="mk-MK"/>
        </w:rPr>
        <w:t>Република Северна Македонија</w:t>
      </w:r>
      <w:r w:rsidR="00306043" w:rsidRPr="008662BF">
        <w:rPr>
          <w:lang w:val="mk-MK"/>
        </w:rPr>
        <w:t>. Во архивата се чуваат многу материјали во форма на касети, видеа и стари народни орнаменти собрани од теренските истражувања, а вработените во моментов работат на тоа овие податоци да станат достапни за пошироката јавност преку нивно</w:t>
      </w:r>
      <w:r>
        <w:rPr>
          <w:lang w:val="mk-MK"/>
        </w:rPr>
        <w:t>то</w:t>
      </w:r>
      <w:r w:rsidR="00306043" w:rsidRPr="008662BF">
        <w:rPr>
          <w:lang w:val="mk-MK"/>
        </w:rPr>
        <w:t xml:space="preserve"> форматирање во дигитална форма. Многу материјали во архивата допрва треба да го добијат своето заслужено признание. Со теренски</w:t>
      </w:r>
      <w:r>
        <w:rPr>
          <w:lang w:val="mk-MK"/>
        </w:rPr>
        <w:t>те</w:t>
      </w:r>
      <w:r w:rsidR="00306043" w:rsidRPr="008662BF">
        <w:rPr>
          <w:lang w:val="mk-MK"/>
        </w:rPr>
        <w:t xml:space="preserve"> истражувања на различни локации низ </w:t>
      </w:r>
      <w:r w:rsidR="00417197">
        <w:rPr>
          <w:lang w:val="mk-MK"/>
        </w:rPr>
        <w:t>Република Северна Македонија</w:t>
      </w:r>
      <w:r w:rsidR="00306043" w:rsidRPr="008662BF">
        <w:rPr>
          <w:lang w:val="mk-MK"/>
        </w:rPr>
        <w:t xml:space="preserve"> се обезбедени значајни податоци </w:t>
      </w:r>
      <w:r>
        <w:rPr>
          <w:lang w:val="mk-MK"/>
        </w:rPr>
        <w:t>што</w:t>
      </w:r>
      <w:r w:rsidR="00306043" w:rsidRPr="008662BF">
        <w:rPr>
          <w:lang w:val="mk-MK"/>
        </w:rPr>
        <w:t xml:space="preserve"> можат да се анализираат во денешно време, а овие податоци се единствени и не можат да се најдат во други слични институции на Балканот.</w:t>
      </w:r>
    </w:p>
    <w:p w14:paraId="41A496C5" w14:textId="78C82A1A" w:rsidR="00306043" w:rsidRPr="008662BF" w:rsidRDefault="00306043" w:rsidP="00306043">
      <w:pPr>
        <w:jc w:val="both"/>
        <w:rPr>
          <w:lang w:val="mk-MK"/>
        </w:rPr>
      </w:pPr>
      <w:r w:rsidRPr="008662BF">
        <w:rPr>
          <w:lang w:val="mk-MK"/>
        </w:rPr>
        <w:t xml:space="preserve">Една од целите на Институтот е да обезбеди поширок пристап до собраните податоци на истражувачите кои живеат во </w:t>
      </w:r>
      <w:r w:rsidR="00417197">
        <w:rPr>
          <w:lang w:val="mk-MK"/>
        </w:rPr>
        <w:t>Република Северна Македонија</w:t>
      </w:r>
      <w:r w:rsidRPr="008662BF">
        <w:rPr>
          <w:lang w:val="mk-MK"/>
        </w:rPr>
        <w:t xml:space="preserve"> и во странство.</w:t>
      </w:r>
    </w:p>
    <w:p w14:paraId="6238E86B" w14:textId="77777777" w:rsidR="00B84BEB" w:rsidRPr="00FF03D3" w:rsidRDefault="00B84BEB" w:rsidP="007947BF">
      <w:pPr>
        <w:pStyle w:val="Heading4"/>
        <w:spacing w:after="240"/>
        <w:rPr>
          <w:rFonts w:asciiTheme="minorHAnsi" w:hAnsiTheme="minorHAnsi" w:cstheme="minorHAnsi"/>
          <w:lang w:val="mk-MK"/>
        </w:rPr>
      </w:pPr>
      <w:r w:rsidRPr="00FF03D3">
        <w:rPr>
          <w:rFonts w:asciiTheme="minorHAnsi" w:hAnsiTheme="minorHAnsi" w:cstheme="minorHAnsi"/>
          <w:lang w:val="mk-MK"/>
        </w:rPr>
        <w:t>Институт за национална историја</w:t>
      </w:r>
    </w:p>
    <w:p w14:paraId="3C393D71" w14:textId="64779CCA" w:rsidR="00ED2164" w:rsidRPr="008662BF" w:rsidRDefault="00ED2164" w:rsidP="00ED2164">
      <w:pPr>
        <w:jc w:val="both"/>
        <w:rPr>
          <w:lang w:val="mk-MK"/>
        </w:rPr>
      </w:pPr>
      <w:r w:rsidRPr="008662BF">
        <w:rPr>
          <w:lang w:val="mk-MK"/>
        </w:rPr>
        <w:t xml:space="preserve">Институтот за национална историја е јавна научна институција која се занимава со истражување на историјата на </w:t>
      </w:r>
      <w:r w:rsidR="00417197">
        <w:rPr>
          <w:lang w:val="mk-MK"/>
        </w:rPr>
        <w:t>Република Северна Македонија</w:t>
      </w:r>
      <w:r w:rsidRPr="008662BF">
        <w:rPr>
          <w:lang w:val="mk-MK"/>
        </w:rPr>
        <w:t xml:space="preserve"> и на Балканот. Неговото поле на работа опфаќа: ресурси засновани на знаење, користење архивски документи, извори, податоци и информации од достапна литература, теренски истражувања, интервјуирање поединци, собирање фотодокументација итн.</w:t>
      </w:r>
    </w:p>
    <w:p w14:paraId="7AF6F974" w14:textId="79ECBC23" w:rsidR="00ED2164" w:rsidRPr="008662BF" w:rsidRDefault="00ED2164" w:rsidP="00ED2164">
      <w:pPr>
        <w:jc w:val="both"/>
        <w:rPr>
          <w:lang w:val="mk-MK"/>
        </w:rPr>
      </w:pPr>
      <w:r w:rsidRPr="008662BF">
        <w:rPr>
          <w:lang w:val="mk-MK"/>
        </w:rPr>
        <w:t xml:space="preserve">Институтот соработува и ја зајакнува регионалната соработка со институции од областа на науката и образованието. Препознавајќи ја важноста на истражувачките инфраструктури како неопходни за развојот на триаголникот на знаење, составен од истражување, образование и иновации, Институтот спроведува истражувања за историските процеси на </w:t>
      </w:r>
      <w:r w:rsidR="00417197">
        <w:rPr>
          <w:lang w:val="mk-MK"/>
        </w:rPr>
        <w:t>Република Северна Македонија</w:t>
      </w:r>
      <w:r w:rsidRPr="008662BF">
        <w:rPr>
          <w:lang w:val="mk-MK"/>
        </w:rPr>
        <w:t xml:space="preserve"> и на Балканот, како и обука за нови историчари преку постдипломски и докторски студии. Студентите имаат можност да учествуваат во отворени </w:t>
      </w:r>
      <w:r w:rsidR="00601D86" w:rsidRPr="008662BF">
        <w:rPr>
          <w:lang w:val="mk-MK"/>
        </w:rPr>
        <w:t xml:space="preserve">општествени </w:t>
      </w:r>
      <w:r w:rsidRPr="008662BF">
        <w:rPr>
          <w:lang w:val="mk-MK"/>
        </w:rPr>
        <w:t>дебати преку предавања, промоции, форуми, интервјуа и сл. Преку сите овие активности Институтот придонесува за домашната и</w:t>
      </w:r>
      <w:r w:rsidR="00A446A6">
        <w:rPr>
          <w:lang w:val="mk-MK"/>
        </w:rPr>
        <w:t xml:space="preserve"> за</w:t>
      </w:r>
      <w:r w:rsidRPr="008662BF">
        <w:rPr>
          <w:lang w:val="mk-MK"/>
        </w:rPr>
        <w:t xml:space="preserve"> светската научна заедница.</w:t>
      </w:r>
    </w:p>
    <w:p w14:paraId="6FCCDC6F" w14:textId="07F23A3B" w:rsidR="00ED2164" w:rsidRDefault="00ED2164" w:rsidP="00ED2164">
      <w:pPr>
        <w:jc w:val="both"/>
        <w:rPr>
          <w:lang w:val="mk-MK"/>
        </w:rPr>
      </w:pPr>
      <w:r w:rsidRPr="008662BF">
        <w:rPr>
          <w:lang w:val="mk-MK"/>
        </w:rPr>
        <w:t xml:space="preserve">Истражувачката инфраструктура на Институтот на корисниците </w:t>
      </w:r>
      <w:r w:rsidR="00A446A6" w:rsidRPr="008662BF">
        <w:rPr>
          <w:lang w:val="mk-MK"/>
        </w:rPr>
        <w:t xml:space="preserve">им обезбедува </w:t>
      </w:r>
      <w:r w:rsidRPr="008662BF">
        <w:rPr>
          <w:lang w:val="mk-MK"/>
        </w:rPr>
        <w:t xml:space="preserve">јасни и јавно достапни упатства и објави кои ги содржат сите релевантни информации за процесите на пристап (потребни документи, временски рокови, трошоци, права и обврски </w:t>
      </w:r>
      <w:r w:rsidR="00A446A6">
        <w:rPr>
          <w:lang w:val="mk-MK"/>
        </w:rPr>
        <w:t>што</w:t>
      </w:r>
      <w:r w:rsidRPr="008662BF">
        <w:rPr>
          <w:lang w:val="mk-MK"/>
        </w:rPr>
        <w:t xml:space="preserve"> произлегуваат од пристапот).</w:t>
      </w:r>
    </w:p>
    <w:p w14:paraId="213193EC" w14:textId="77777777" w:rsidR="009E69D0" w:rsidRDefault="009E69D0" w:rsidP="00ED2164">
      <w:pPr>
        <w:jc w:val="both"/>
        <w:rPr>
          <w:lang w:val="mk-MK"/>
        </w:rPr>
      </w:pPr>
    </w:p>
    <w:p w14:paraId="0604997B" w14:textId="77777777" w:rsidR="009E69D0" w:rsidRDefault="009E69D0" w:rsidP="00ED2164">
      <w:pPr>
        <w:jc w:val="both"/>
        <w:rPr>
          <w:lang w:val="mk-MK"/>
        </w:rPr>
      </w:pPr>
    </w:p>
    <w:p w14:paraId="5C8074BA" w14:textId="77777777" w:rsidR="007947BF" w:rsidRDefault="00ED2164" w:rsidP="001D4D17">
      <w:pPr>
        <w:pStyle w:val="Heading3"/>
        <w:numPr>
          <w:ilvl w:val="2"/>
          <w:numId w:val="54"/>
        </w:numPr>
        <w:rPr>
          <w:rFonts w:asciiTheme="minorHAnsi" w:hAnsiTheme="minorHAnsi"/>
          <w:lang w:val="mk-MK"/>
        </w:rPr>
      </w:pPr>
      <w:bookmarkStart w:id="20" w:name="_Toc86916056"/>
      <w:r w:rsidRPr="008662BF">
        <w:rPr>
          <w:rFonts w:asciiTheme="minorHAnsi" w:hAnsiTheme="minorHAnsi"/>
          <w:lang w:val="mk-MK"/>
        </w:rPr>
        <w:lastRenderedPageBreak/>
        <w:t xml:space="preserve">Универзитет </w:t>
      </w:r>
      <w:r w:rsidR="009E2032" w:rsidRPr="008662BF">
        <w:rPr>
          <w:rFonts w:asciiTheme="minorHAnsi" w:hAnsiTheme="minorHAnsi"/>
          <w:lang w:val="mk-MK"/>
        </w:rPr>
        <w:t>„</w:t>
      </w:r>
      <w:r w:rsidRPr="008662BF">
        <w:rPr>
          <w:rFonts w:asciiTheme="minorHAnsi" w:hAnsiTheme="minorHAnsi"/>
          <w:lang w:val="mk-MK"/>
        </w:rPr>
        <w:t>Гоце Делчев</w:t>
      </w:r>
      <w:r w:rsidR="009E2032" w:rsidRPr="008662BF">
        <w:rPr>
          <w:rFonts w:asciiTheme="minorHAnsi" w:hAnsiTheme="minorHAnsi"/>
          <w:lang w:val="mk-MK"/>
        </w:rPr>
        <w:t>“</w:t>
      </w:r>
      <w:bookmarkEnd w:id="20"/>
    </w:p>
    <w:p w14:paraId="470ADEC2" w14:textId="77777777" w:rsidR="00194D25" w:rsidRPr="008662BF" w:rsidRDefault="00194D25" w:rsidP="007947BF">
      <w:pPr>
        <w:pStyle w:val="Heading4"/>
        <w:spacing w:after="240"/>
        <w:rPr>
          <w:rFonts w:asciiTheme="minorHAnsi" w:hAnsiTheme="minorHAnsi"/>
          <w:lang w:val="mk-MK"/>
        </w:rPr>
      </w:pPr>
      <w:r w:rsidRPr="008662BF">
        <w:rPr>
          <w:rFonts w:asciiTheme="minorHAnsi" w:hAnsiTheme="minorHAnsi"/>
          <w:lang w:val="mk-MK"/>
        </w:rPr>
        <w:t>Факултет за природни и технички науки</w:t>
      </w:r>
    </w:p>
    <w:p w14:paraId="0710947E" w14:textId="77777777" w:rsidR="00194D25" w:rsidRPr="008662BF" w:rsidRDefault="00194D25" w:rsidP="007947BF">
      <w:pPr>
        <w:pStyle w:val="Heading5"/>
        <w:spacing w:after="240"/>
        <w:rPr>
          <w:rFonts w:asciiTheme="minorHAnsi" w:hAnsiTheme="minorHAnsi"/>
          <w:lang w:val="mk-MK"/>
        </w:rPr>
      </w:pPr>
      <w:r w:rsidRPr="008662BF">
        <w:rPr>
          <w:rFonts w:asciiTheme="minorHAnsi" w:hAnsiTheme="minorHAnsi"/>
          <w:lang w:val="mk-MK"/>
        </w:rPr>
        <w:t>Истражувачка група АМБИКОН</w:t>
      </w:r>
    </w:p>
    <w:p w14:paraId="221D5B59" w14:textId="06B7DD7D" w:rsidR="00194D25" w:rsidRPr="008662BF" w:rsidRDefault="00601D86" w:rsidP="00194D25">
      <w:pPr>
        <w:jc w:val="both"/>
        <w:rPr>
          <w:lang w:val="mk-MK"/>
        </w:rPr>
      </w:pPr>
      <w:r w:rsidRPr="008662BF">
        <w:rPr>
          <w:lang w:val="mk-MK"/>
        </w:rPr>
        <w:t xml:space="preserve">Лабораторијата АМБИКОН </w:t>
      </w:r>
      <w:r w:rsidR="00194D25" w:rsidRPr="008662BF">
        <w:rPr>
          <w:lang w:val="mk-MK"/>
        </w:rPr>
        <w:t>се занимава со развој на методолошката основа за следење на амбиенталниот воздух и</w:t>
      </w:r>
      <w:r w:rsidR="003E1759">
        <w:rPr>
          <w:lang w:val="mk-MK"/>
        </w:rPr>
        <w:t xml:space="preserve"> за</w:t>
      </w:r>
      <w:r w:rsidR="00194D25" w:rsidRPr="008662BF">
        <w:rPr>
          <w:lang w:val="mk-MK"/>
        </w:rPr>
        <w:t xml:space="preserve"> еколошки анализи.</w:t>
      </w:r>
      <w:r w:rsidR="003E1759">
        <w:rPr>
          <w:lang w:val="mk-MK"/>
        </w:rPr>
        <w:t xml:space="preserve"> </w:t>
      </w:r>
      <w:r w:rsidR="00194D25" w:rsidRPr="008662BF">
        <w:rPr>
          <w:lang w:val="mk-MK"/>
        </w:rPr>
        <w:t>АМБИКОН обединува три научни групи, односно група за амбиенталната контрола и</w:t>
      </w:r>
      <w:r w:rsidR="003E1759">
        <w:rPr>
          <w:lang w:val="mk-MK"/>
        </w:rPr>
        <w:t xml:space="preserve"> за</w:t>
      </w:r>
      <w:r w:rsidR="00194D25" w:rsidRPr="008662BF">
        <w:rPr>
          <w:lang w:val="mk-MK"/>
        </w:rPr>
        <w:t xml:space="preserve"> земање примероци, група за скенирање со електронски микроскоп и група за елементарна анализа. Од 2014 година лабораторијата е акредитирана во согласност со стандардот ISO 17025 за животна средина и </w:t>
      </w:r>
      <w:r w:rsidR="003E1759">
        <w:rPr>
          <w:lang w:val="mk-MK"/>
        </w:rPr>
        <w:t xml:space="preserve">за </w:t>
      </w:r>
      <w:r w:rsidR="00194D25" w:rsidRPr="008662BF">
        <w:rPr>
          <w:lang w:val="mk-MK"/>
        </w:rPr>
        <w:t>земање примероци од областите за испитување на животната средина.</w:t>
      </w:r>
    </w:p>
    <w:p w14:paraId="5B463A4D" w14:textId="56B8B4D0" w:rsidR="00194D25" w:rsidRPr="008662BF" w:rsidRDefault="00194D25" w:rsidP="003E406D">
      <w:pPr>
        <w:jc w:val="both"/>
        <w:rPr>
          <w:lang w:val="mk-MK"/>
        </w:rPr>
      </w:pPr>
      <w:r w:rsidRPr="008662BF">
        <w:rPr>
          <w:lang w:val="mk-MK"/>
        </w:rPr>
        <w:t>Услуги што се обезбедуваат: Стандарден ме</w:t>
      </w:r>
      <w:r w:rsidR="00D974B6" w:rsidRPr="008662BF">
        <w:rPr>
          <w:lang w:val="mk-MK"/>
        </w:rPr>
        <w:t>тод на</w:t>
      </w:r>
      <w:r w:rsidR="003E1759">
        <w:rPr>
          <w:lang w:val="mk-MK"/>
        </w:rPr>
        <w:t xml:space="preserve"> </w:t>
      </w:r>
      <w:r w:rsidR="00D974B6" w:rsidRPr="008662BF">
        <w:rPr>
          <w:lang w:val="mk-MK"/>
        </w:rPr>
        <w:t xml:space="preserve">гравиметриско мерење </w:t>
      </w:r>
      <w:r w:rsidRPr="008662BF">
        <w:rPr>
          <w:lang w:val="mk-MK"/>
        </w:rPr>
        <w:t xml:space="preserve">за одредување на масена концентрација на PM10/PM2,5 на суспендирани цврсти честички; одредување на хемискиот состав на амбиенталните честички со помош на енергетско дисперзивна флуоресцентна спектрометрија со Х-зраци (EDXRF); </w:t>
      </w:r>
      <w:r w:rsidR="003E406D" w:rsidRPr="008662BF">
        <w:rPr>
          <w:lang w:val="mk-MK"/>
        </w:rPr>
        <w:t>директни анализи на филтри на минералогија на честички на амбиенталниот воздух со рендген</w:t>
      </w:r>
      <w:r w:rsidR="003E1759">
        <w:rPr>
          <w:lang w:val="mk-MK"/>
        </w:rPr>
        <w:t>-</w:t>
      </w:r>
      <w:r w:rsidR="003E406D" w:rsidRPr="008662BF">
        <w:rPr>
          <w:lang w:val="mk-MK"/>
        </w:rPr>
        <w:t xml:space="preserve">дифрактометар; геометрија/морфологија и состав на честички со помош на скенирачка  електронска  микроскопија со eнергетско-дисперзивен  спектрометар; трансмисометар со двојна бранова должина за одредување на црн јаглерод и </w:t>
      </w:r>
      <w:r w:rsidR="003E1759">
        <w:rPr>
          <w:lang w:val="mk-MK"/>
        </w:rPr>
        <w:t xml:space="preserve">на </w:t>
      </w:r>
      <w:r w:rsidR="003E406D" w:rsidRPr="008662BF">
        <w:rPr>
          <w:lang w:val="mk-MK"/>
        </w:rPr>
        <w:t>ароматични органски соединенија во амбиентални честички;</w:t>
      </w:r>
      <w:r w:rsidR="00653D76" w:rsidRPr="008662BF">
        <w:rPr>
          <w:lang w:val="mk-MK"/>
        </w:rPr>
        <w:t xml:space="preserve"> лична изложеност или заднинска концентрација на работното место на различни хемиски видови во воздухот со помош на инструменти за директно читање (електрохемиски, PID, инфрацрвен сензор) или дозиметриски цевки; истражувања за термичка удобност и вентилација и мерења и моделирање на бучава и вибрации, вклучувајќи лична изложеност на бучава (дозиметрија на бучава).</w:t>
      </w:r>
    </w:p>
    <w:p w14:paraId="30377510" w14:textId="77777777" w:rsidR="00653D76" w:rsidRPr="008662BF" w:rsidRDefault="00653D76" w:rsidP="007947BF">
      <w:pPr>
        <w:jc w:val="both"/>
        <w:rPr>
          <w:lang w:val="mk-MK"/>
        </w:rPr>
      </w:pPr>
      <w:r w:rsidRPr="008662BF">
        <w:rPr>
          <w:lang w:val="mk-MK"/>
        </w:rPr>
        <w:t>Истражувачка опрема: Лабораторијата располага со капитална истражувачка опрема чија сегашна вредност е проценета на 400.000 евра (набавната вредност изнесува 1,27 милиони евра). Целосно е опремена со сите потребни инструменти за земање примероци и анализа на амбиенталниот воздух.</w:t>
      </w:r>
    </w:p>
    <w:p w14:paraId="5A92BF87" w14:textId="77777777" w:rsidR="00FC0395" w:rsidRPr="008662BF" w:rsidRDefault="00FC0395" w:rsidP="007947BF">
      <w:pPr>
        <w:pStyle w:val="Heading4"/>
        <w:spacing w:after="240"/>
        <w:rPr>
          <w:rFonts w:asciiTheme="minorHAnsi" w:hAnsiTheme="minorHAnsi"/>
          <w:lang w:val="mk-MK"/>
        </w:rPr>
      </w:pPr>
      <w:r w:rsidRPr="008662BF">
        <w:rPr>
          <w:rFonts w:asciiTheme="minorHAnsi" w:hAnsiTheme="minorHAnsi"/>
          <w:lang w:val="mk-MK"/>
        </w:rPr>
        <w:t>Земјоделски факултет</w:t>
      </w:r>
    </w:p>
    <w:p w14:paraId="4ACA7A48" w14:textId="77777777" w:rsidR="00FC0395" w:rsidRPr="008662BF" w:rsidRDefault="00FC0395" w:rsidP="007947BF">
      <w:pPr>
        <w:pStyle w:val="Heading5"/>
        <w:spacing w:after="240"/>
        <w:rPr>
          <w:rFonts w:asciiTheme="minorHAnsi" w:hAnsiTheme="minorHAnsi"/>
          <w:lang w:val="mk-MK"/>
        </w:rPr>
      </w:pPr>
      <w:r w:rsidRPr="008662BF">
        <w:rPr>
          <w:rFonts w:asciiTheme="minorHAnsi" w:hAnsiTheme="minorHAnsi"/>
          <w:lang w:val="mk-MK"/>
        </w:rPr>
        <w:t>УНИЛАБ</w:t>
      </w:r>
    </w:p>
    <w:p w14:paraId="54C1E6A2" w14:textId="77777777" w:rsidR="00FC0395" w:rsidRPr="008662BF" w:rsidRDefault="00FC0395" w:rsidP="00FC0395">
      <w:pPr>
        <w:jc w:val="both"/>
        <w:rPr>
          <w:lang w:val="mk-MK"/>
        </w:rPr>
      </w:pPr>
      <w:r w:rsidRPr="008662BF">
        <w:rPr>
          <w:lang w:val="mk-MK"/>
        </w:rPr>
        <w:t>Во рамки на Земјоделскиот факултет, оваа лабораторија се занимава со софистицирана агрохемиска анализа на почвата, семиња</w:t>
      </w:r>
      <w:r w:rsidR="003E1759">
        <w:rPr>
          <w:lang w:val="mk-MK"/>
        </w:rPr>
        <w:t>та</w:t>
      </w:r>
      <w:r w:rsidRPr="008662BF">
        <w:rPr>
          <w:lang w:val="mk-MK"/>
        </w:rPr>
        <w:t>,</w:t>
      </w:r>
      <w:r w:rsidR="003E1759">
        <w:rPr>
          <w:lang w:val="mk-MK"/>
        </w:rPr>
        <w:t xml:space="preserve"> на</w:t>
      </w:r>
      <w:r w:rsidRPr="008662BF">
        <w:rPr>
          <w:lang w:val="mk-MK"/>
        </w:rPr>
        <w:t xml:space="preserve"> сурови</w:t>
      </w:r>
      <w:r w:rsidR="003E1759">
        <w:rPr>
          <w:lang w:val="mk-MK"/>
        </w:rPr>
        <w:t>те</w:t>
      </w:r>
      <w:r w:rsidRPr="008662BF">
        <w:rPr>
          <w:lang w:val="mk-MK"/>
        </w:rPr>
        <w:t xml:space="preserve"> производи, масла</w:t>
      </w:r>
      <w:r w:rsidR="003E1759">
        <w:rPr>
          <w:lang w:val="mk-MK"/>
        </w:rPr>
        <w:t>та</w:t>
      </w:r>
      <w:r w:rsidRPr="008662BF">
        <w:rPr>
          <w:lang w:val="mk-MK"/>
        </w:rPr>
        <w:t>, вина</w:t>
      </w:r>
      <w:r w:rsidR="003E1759">
        <w:rPr>
          <w:lang w:val="mk-MK"/>
        </w:rPr>
        <w:t>та</w:t>
      </w:r>
      <w:r w:rsidRPr="008662BF">
        <w:rPr>
          <w:lang w:val="mk-MK"/>
        </w:rPr>
        <w:t>. Опремена е со софистициран хемиски оддел за одредување на макро</w:t>
      </w:r>
      <w:r w:rsidR="003E1759">
        <w:rPr>
          <w:lang w:val="mk-MK"/>
        </w:rPr>
        <w:t>-</w:t>
      </w:r>
      <w:r w:rsidRPr="008662BF">
        <w:rPr>
          <w:lang w:val="mk-MK"/>
        </w:rPr>
        <w:t>, микро</w:t>
      </w:r>
      <w:r w:rsidR="003E1759">
        <w:rPr>
          <w:lang w:val="mk-MK"/>
        </w:rPr>
        <w:t>-</w:t>
      </w:r>
      <w:r w:rsidRPr="008662BF">
        <w:rPr>
          <w:lang w:val="mk-MK"/>
        </w:rPr>
        <w:t xml:space="preserve"> и елементи во траги во цврсти и течни примероци.</w:t>
      </w:r>
    </w:p>
    <w:p w14:paraId="2DB9C3D2" w14:textId="54522EFE" w:rsidR="00FC0395" w:rsidRPr="008662BF" w:rsidRDefault="00FC0395" w:rsidP="00FC0395">
      <w:pPr>
        <w:jc w:val="both"/>
        <w:rPr>
          <w:lang w:val="mk-MK"/>
        </w:rPr>
      </w:pPr>
      <w:r w:rsidRPr="008662BF">
        <w:rPr>
          <w:lang w:val="mk-MK"/>
        </w:rPr>
        <w:t xml:space="preserve">Услуги што се обезбедуваат: Лабораторијата ги нуди следните акредитирани услуги: квалитет на почва </w:t>
      </w:r>
      <w:r w:rsidR="003E1759">
        <w:rPr>
          <w:rFonts w:cstheme="minorHAnsi"/>
          <w:lang w:val="mk-MK"/>
        </w:rPr>
        <w:t>–</w:t>
      </w:r>
      <w:r w:rsidRPr="008662BF">
        <w:rPr>
          <w:lang w:val="mk-MK"/>
        </w:rPr>
        <w:t xml:space="preserve"> предтретман на примерок од почва за физичко-хемиска анализа (ISO 11464:2006); квалитет на почва </w:t>
      </w:r>
      <w:r w:rsidR="00617E5C">
        <w:rPr>
          <w:rFonts w:cstheme="minorHAnsi"/>
          <w:lang w:val="mk-MK"/>
        </w:rPr>
        <w:t>–</w:t>
      </w:r>
      <w:r w:rsidRPr="008662BF">
        <w:rPr>
          <w:lang w:val="mk-MK"/>
        </w:rPr>
        <w:t xml:space="preserve"> растворање за да се одреди вкупната содржина на елементите </w:t>
      </w:r>
      <w:r w:rsidR="00617E5C">
        <w:rPr>
          <w:rFonts w:cstheme="minorHAnsi"/>
          <w:lang w:val="mk-MK"/>
        </w:rPr>
        <w:t>–</w:t>
      </w:r>
      <w:r w:rsidRPr="008662BF">
        <w:rPr>
          <w:lang w:val="mk-MK"/>
        </w:rPr>
        <w:t xml:space="preserve"> Дел 1: Разредување со флуор и перхлорна киселина (ISO 14869-1:2001(E)); квалитет на вода </w:t>
      </w:r>
      <w:r w:rsidR="00617E5C">
        <w:rPr>
          <w:rFonts w:cstheme="minorHAnsi"/>
          <w:lang w:val="mk-MK"/>
        </w:rPr>
        <w:t>–</w:t>
      </w:r>
      <w:r w:rsidRPr="008662BF">
        <w:rPr>
          <w:lang w:val="mk-MK"/>
        </w:rPr>
        <w:t xml:space="preserve"> примена на индуктивно спрегната плазма со масена спектрометрија (ICP-MS) </w:t>
      </w:r>
      <w:r w:rsidR="00617E5C">
        <w:rPr>
          <w:rFonts w:cstheme="minorHAnsi"/>
          <w:lang w:val="mk-MK"/>
        </w:rPr>
        <w:t>–</w:t>
      </w:r>
      <w:r w:rsidRPr="008662BF">
        <w:rPr>
          <w:lang w:val="mk-MK"/>
        </w:rPr>
        <w:t xml:space="preserve"> Дел 2: Определување на 62 елементи (EN ISO 17294-2:2009); определување на квалитетот на почвата на вкупниот азот (ISO </w:t>
      </w:r>
      <w:r w:rsidRPr="008662BF">
        <w:rPr>
          <w:lang w:val="mk-MK"/>
        </w:rPr>
        <w:lastRenderedPageBreak/>
        <w:t>11261:1995). Исто така, над 40 методи за тестирање на ѓубрива, семиња, храна и пијалоци се акредитирани и редовно се нудат како услуга на надворешни клиенти.</w:t>
      </w:r>
    </w:p>
    <w:p w14:paraId="4A9A2981" w14:textId="77777777" w:rsidR="00FC0395" w:rsidRPr="008662BF" w:rsidRDefault="00FC0395" w:rsidP="007947BF">
      <w:pPr>
        <w:jc w:val="both"/>
        <w:rPr>
          <w:lang w:val="mk-MK"/>
        </w:rPr>
      </w:pPr>
      <w:r w:rsidRPr="008662BF">
        <w:rPr>
          <w:lang w:val="mk-MK"/>
        </w:rPr>
        <w:t xml:space="preserve">Истражувачка опрема: Лабораторијата располага со капитална истражувачка опрема чија сегашна вредност е проценета на 400.000 евра (набавната вредност изнесува 780.000 евра). Списокот на единечна истражувачка капитална опрема во вредност од над 50.000 евра е даден во </w:t>
      </w:r>
      <w:r w:rsidR="004753FD" w:rsidRPr="008662BF">
        <w:rPr>
          <w:lang w:val="mk-MK"/>
        </w:rPr>
        <w:t>Прилог 1</w:t>
      </w:r>
      <w:r w:rsidRPr="008662BF">
        <w:rPr>
          <w:lang w:val="mk-MK"/>
        </w:rPr>
        <w:t>.</w:t>
      </w:r>
    </w:p>
    <w:p w14:paraId="17370804" w14:textId="77777777" w:rsidR="00FC0395" w:rsidRPr="008662BF" w:rsidRDefault="00FC0395" w:rsidP="007947BF">
      <w:pPr>
        <w:pStyle w:val="Heading4"/>
        <w:spacing w:after="240"/>
        <w:rPr>
          <w:rFonts w:asciiTheme="minorHAnsi" w:hAnsiTheme="minorHAnsi"/>
          <w:lang w:val="mk-MK"/>
        </w:rPr>
      </w:pPr>
      <w:r w:rsidRPr="008662BF">
        <w:rPr>
          <w:rFonts w:asciiTheme="minorHAnsi" w:hAnsiTheme="minorHAnsi"/>
          <w:lang w:val="mk-MK"/>
        </w:rPr>
        <w:t>Факултет за медицински науки</w:t>
      </w:r>
    </w:p>
    <w:p w14:paraId="353B463D" w14:textId="77777777" w:rsidR="00FC0395" w:rsidRPr="008662BF" w:rsidRDefault="00FC0395" w:rsidP="007947BF">
      <w:pPr>
        <w:pStyle w:val="Heading5"/>
        <w:spacing w:after="240"/>
        <w:rPr>
          <w:rFonts w:asciiTheme="minorHAnsi" w:hAnsiTheme="minorHAnsi"/>
          <w:lang w:val="mk-MK"/>
        </w:rPr>
      </w:pPr>
      <w:r w:rsidRPr="008662BF">
        <w:rPr>
          <w:rFonts w:asciiTheme="minorHAnsi" w:hAnsiTheme="minorHAnsi"/>
          <w:lang w:val="mk-MK"/>
        </w:rPr>
        <w:t>Истражувачка група за здравствени науки</w:t>
      </w:r>
    </w:p>
    <w:p w14:paraId="3E026242" w14:textId="77777777" w:rsidR="00FC0395" w:rsidRPr="008662BF" w:rsidRDefault="00FC0395" w:rsidP="007947BF">
      <w:pPr>
        <w:jc w:val="both"/>
        <w:rPr>
          <w:lang w:val="mk-MK"/>
        </w:rPr>
      </w:pPr>
      <w:r w:rsidRPr="008662BF">
        <w:rPr>
          <w:b/>
          <w:lang w:val="mk-MK"/>
        </w:rPr>
        <w:t>Лабораторијата за радиофармација</w:t>
      </w:r>
      <w:r w:rsidRPr="008662BF">
        <w:rPr>
          <w:lang w:val="mk-MK"/>
        </w:rPr>
        <w:t xml:space="preserve"> е составен дел на Катедрата по фармацевтска хемија при Факултетот за медицински науки. Истражувачката дејност е насочена кон дизајнирање, развој и синтеза на нови лиганди, прекурсори и референтни молекули и</w:t>
      </w:r>
      <w:r w:rsidR="00617E5C">
        <w:rPr>
          <w:lang w:val="mk-MK"/>
        </w:rPr>
        <w:t xml:space="preserve"> кон</w:t>
      </w:r>
      <w:r w:rsidRPr="008662BF">
        <w:rPr>
          <w:lang w:val="mk-MK"/>
        </w:rPr>
        <w:t xml:space="preserve"> методи за нивно обележување со радиоактивни изотопи наменети за дијагностички, терапевтски цели, како и за базични истражувања кои ги опфаќаат сите аспекти на развој на нови лекови и лековити препарати, </w:t>
      </w:r>
      <w:r w:rsidR="00617E5C">
        <w:rPr>
          <w:lang w:val="mk-MK"/>
        </w:rPr>
        <w:t xml:space="preserve">кон </w:t>
      </w:r>
      <w:r w:rsidRPr="008662BF">
        <w:rPr>
          <w:lang w:val="mk-MK"/>
        </w:rPr>
        <w:t>истражувања од областа на фармацијата, медицината, биологијата, хемијата и сродни</w:t>
      </w:r>
      <w:r w:rsidR="00617E5C">
        <w:rPr>
          <w:lang w:val="mk-MK"/>
        </w:rPr>
        <w:t>те</w:t>
      </w:r>
      <w:r w:rsidRPr="008662BF">
        <w:rPr>
          <w:lang w:val="mk-MK"/>
        </w:rPr>
        <w:t xml:space="preserve"> науки, како и за и претклинички и клинички испитувања на нови и постоечки радиофармацевтици.</w:t>
      </w:r>
    </w:p>
    <w:p w14:paraId="7C805E7B" w14:textId="6FE1A714" w:rsidR="006E1911" w:rsidRPr="008662BF" w:rsidRDefault="006E1911" w:rsidP="006E1911">
      <w:pPr>
        <w:jc w:val="both"/>
        <w:rPr>
          <w:lang w:val="mk-MK"/>
        </w:rPr>
      </w:pPr>
      <w:r w:rsidRPr="008662BF">
        <w:rPr>
          <w:lang w:val="mk-MK"/>
        </w:rPr>
        <w:t xml:space="preserve">Услуги што се </w:t>
      </w:r>
      <w:r w:rsidR="00601D86" w:rsidRPr="008662BF">
        <w:rPr>
          <w:lang w:val="mk-MK"/>
        </w:rPr>
        <w:t>обезбедуваат</w:t>
      </w:r>
      <w:r w:rsidRPr="008662BF">
        <w:rPr>
          <w:lang w:val="mk-MK"/>
        </w:rPr>
        <w:t>: воведување валидирани и акредитирани постапки за дефинирање на состав, форма на специфични радиофармацевтски препарати и нивна контрола на квалитет. Лабораторијата за радиофармација со својот кадровски и технички потенцијал е вклучена во програмата за прв и втор циклус студии, како и</w:t>
      </w:r>
      <w:r w:rsidR="00617E5C">
        <w:rPr>
          <w:lang w:val="mk-MK"/>
        </w:rPr>
        <w:t xml:space="preserve"> во</w:t>
      </w:r>
      <w:r w:rsidRPr="008662BF">
        <w:rPr>
          <w:lang w:val="mk-MK"/>
        </w:rPr>
        <w:t xml:space="preserve"> континуирана</w:t>
      </w:r>
      <w:r w:rsidR="00617E5C">
        <w:rPr>
          <w:lang w:val="mk-MK"/>
        </w:rPr>
        <w:t>та</w:t>
      </w:r>
      <w:r w:rsidRPr="008662BF">
        <w:rPr>
          <w:lang w:val="mk-MK"/>
        </w:rPr>
        <w:t xml:space="preserve"> едукација на кадри во рамките на националните и меѓународните програми од областа на радиофармацијата и радиохемијата.</w:t>
      </w:r>
    </w:p>
    <w:p w14:paraId="63B59316" w14:textId="77777777" w:rsidR="00486176" w:rsidRPr="008662BF" w:rsidRDefault="00486176" w:rsidP="007947BF">
      <w:pPr>
        <w:jc w:val="both"/>
        <w:rPr>
          <w:lang w:val="mk-MK"/>
        </w:rPr>
      </w:pPr>
      <w:r w:rsidRPr="008662BF">
        <w:rPr>
          <w:b/>
          <w:lang w:val="mk-MK"/>
        </w:rPr>
        <w:t>Лабораторијата за стоматолошка научно-истражувачка дејност</w:t>
      </w:r>
      <w:r w:rsidRPr="008662BF">
        <w:rPr>
          <w:lang w:val="mk-MK"/>
        </w:rPr>
        <w:t xml:space="preserve"> врши научно-истражувачка, едукативна и апликативна дејност во повеќе научни стоматолошки области: реставративна стоматологија, стоматолошка протетика, стоматолошка ласерска терапија, орална хирургија, ортодонција и дентална имплантологија.</w:t>
      </w:r>
    </w:p>
    <w:p w14:paraId="47D89D51" w14:textId="77777777" w:rsidR="00486176" w:rsidRPr="008662BF" w:rsidRDefault="00486176" w:rsidP="007947BF">
      <w:pPr>
        <w:jc w:val="both"/>
        <w:rPr>
          <w:lang w:val="mk-MK"/>
        </w:rPr>
      </w:pPr>
      <w:r w:rsidRPr="008662BF">
        <w:rPr>
          <w:lang w:val="mk-MK"/>
        </w:rPr>
        <w:t xml:space="preserve">Услуги што се обезбедуваат: Лабораторија им е достапна на студентите во наставниот процес од прв, втор и трет циклус студии, односно се користи во процесот на изработка на специјалистички теми на студиите од втор циклус, </w:t>
      </w:r>
      <w:r w:rsidR="00617E5C">
        <w:rPr>
          <w:lang w:val="mk-MK"/>
        </w:rPr>
        <w:t xml:space="preserve">на </w:t>
      </w:r>
      <w:r w:rsidRPr="008662BF">
        <w:rPr>
          <w:lang w:val="mk-MK"/>
        </w:rPr>
        <w:t xml:space="preserve">магистерски теми </w:t>
      </w:r>
      <w:r w:rsidR="00601D86" w:rsidRPr="008662BF">
        <w:rPr>
          <w:lang w:val="mk-MK"/>
        </w:rPr>
        <w:t>и докторски дисертации, како и н</w:t>
      </w:r>
      <w:r w:rsidRPr="008662BF">
        <w:rPr>
          <w:lang w:val="mk-MK"/>
        </w:rPr>
        <w:t>а научни работници кои сакаат да работат на научни истражувања и научно</w:t>
      </w:r>
      <w:r w:rsidR="00601D86" w:rsidRPr="008662BF">
        <w:rPr>
          <w:lang w:val="mk-MK"/>
        </w:rPr>
        <w:t>-</w:t>
      </w:r>
      <w:r w:rsidRPr="008662BF">
        <w:rPr>
          <w:lang w:val="mk-MK"/>
        </w:rPr>
        <w:t>апликативни проекти од областа на стоматологијата и стоматолошки материјали.</w:t>
      </w:r>
    </w:p>
    <w:p w14:paraId="5C17FC99" w14:textId="77777777" w:rsidR="00486176" w:rsidRPr="008662BF" w:rsidRDefault="00486176" w:rsidP="007947BF">
      <w:pPr>
        <w:jc w:val="both"/>
        <w:rPr>
          <w:lang w:val="mk-MK"/>
        </w:rPr>
      </w:pPr>
      <w:r w:rsidRPr="008662BF">
        <w:rPr>
          <w:lang w:val="mk-MK"/>
        </w:rPr>
        <w:t xml:space="preserve">Истражувачка опрема: Лабораторијата располага со капитална истражувачка опрема чија сегашна вредност е проценета на 200.000 евра (набавната вредност изнесува 900.000 евра). Списокот на единечна капитална истражувачка опрема со вредност од над 50.000 евра е даден во </w:t>
      </w:r>
      <w:r w:rsidR="004753FD" w:rsidRPr="008662BF">
        <w:rPr>
          <w:lang w:val="mk-MK"/>
        </w:rPr>
        <w:t>Прилог 1</w:t>
      </w:r>
      <w:r w:rsidRPr="008662BF">
        <w:rPr>
          <w:lang w:val="mk-MK"/>
        </w:rPr>
        <w:t>.</w:t>
      </w:r>
    </w:p>
    <w:p w14:paraId="1F42610F" w14:textId="77777777" w:rsidR="00601D86" w:rsidRPr="008662BF" w:rsidRDefault="00601D86" w:rsidP="007947BF">
      <w:pPr>
        <w:jc w:val="both"/>
        <w:rPr>
          <w:lang w:val="mk-MK"/>
        </w:rPr>
      </w:pPr>
    </w:p>
    <w:p w14:paraId="5092505E" w14:textId="77777777" w:rsidR="00486176" w:rsidRPr="008662BF" w:rsidRDefault="00486176" w:rsidP="00486176">
      <w:pPr>
        <w:pStyle w:val="Heading3"/>
        <w:numPr>
          <w:ilvl w:val="2"/>
          <w:numId w:val="54"/>
        </w:numPr>
        <w:spacing w:after="240"/>
        <w:rPr>
          <w:rFonts w:asciiTheme="minorHAnsi" w:hAnsiTheme="minorHAnsi"/>
          <w:lang w:val="mk-MK"/>
        </w:rPr>
      </w:pPr>
      <w:bookmarkStart w:id="21" w:name="_Toc86916057"/>
      <w:r w:rsidRPr="008662BF">
        <w:rPr>
          <w:rFonts w:asciiTheme="minorHAnsi" w:hAnsiTheme="minorHAnsi"/>
          <w:lang w:val="mk-MK"/>
        </w:rPr>
        <w:lastRenderedPageBreak/>
        <w:t xml:space="preserve">Универзитет </w:t>
      </w:r>
      <w:r w:rsidR="009E2032" w:rsidRPr="008662BF">
        <w:rPr>
          <w:rFonts w:asciiTheme="minorHAnsi" w:hAnsiTheme="minorHAnsi"/>
          <w:lang w:val="mk-MK"/>
        </w:rPr>
        <w:t>„</w:t>
      </w:r>
      <w:r w:rsidRPr="008662BF">
        <w:rPr>
          <w:rFonts w:asciiTheme="minorHAnsi" w:hAnsiTheme="minorHAnsi"/>
          <w:lang w:val="mk-MK"/>
        </w:rPr>
        <w:t>Свети Климент Охридски</w:t>
      </w:r>
      <w:r w:rsidR="009E2032" w:rsidRPr="008662BF">
        <w:rPr>
          <w:rFonts w:asciiTheme="minorHAnsi" w:hAnsiTheme="minorHAnsi"/>
          <w:lang w:val="mk-MK"/>
        </w:rPr>
        <w:t>“</w:t>
      </w:r>
      <w:r w:rsidRPr="008662BF">
        <w:rPr>
          <w:rFonts w:asciiTheme="minorHAnsi" w:hAnsiTheme="minorHAnsi"/>
          <w:lang w:val="mk-MK"/>
        </w:rPr>
        <w:t xml:space="preserve"> – Битола</w:t>
      </w:r>
      <w:bookmarkEnd w:id="21"/>
    </w:p>
    <w:p w14:paraId="182210C6" w14:textId="77777777" w:rsidR="00486176" w:rsidRPr="008662BF" w:rsidRDefault="00486176" w:rsidP="007947BF">
      <w:pPr>
        <w:pStyle w:val="Heading4"/>
        <w:spacing w:after="240"/>
        <w:rPr>
          <w:rFonts w:asciiTheme="minorHAnsi" w:hAnsiTheme="minorHAnsi"/>
          <w:lang w:val="mk-MK"/>
        </w:rPr>
      </w:pPr>
      <w:r w:rsidRPr="008662BF">
        <w:rPr>
          <w:rFonts w:asciiTheme="minorHAnsi" w:hAnsiTheme="minorHAnsi"/>
          <w:lang w:val="mk-MK"/>
        </w:rPr>
        <w:t>Ветеринарен факултет</w:t>
      </w:r>
    </w:p>
    <w:p w14:paraId="6DEA419C" w14:textId="3ED39E2E" w:rsidR="007A4724" w:rsidRPr="008662BF" w:rsidRDefault="007A4724" w:rsidP="007947BF">
      <w:pPr>
        <w:spacing w:after="0"/>
        <w:jc w:val="both"/>
        <w:rPr>
          <w:lang w:val="mk-MK"/>
        </w:rPr>
      </w:pPr>
      <w:r w:rsidRPr="008662BF">
        <w:rPr>
          <w:lang w:val="mk-MK"/>
        </w:rPr>
        <w:t xml:space="preserve">Во рамките на лабораториите </w:t>
      </w:r>
      <w:r w:rsidR="00617E5C">
        <w:rPr>
          <w:lang w:val="mk-MK"/>
        </w:rPr>
        <w:t>што</w:t>
      </w:r>
      <w:r w:rsidRPr="008662BF">
        <w:rPr>
          <w:lang w:val="mk-MK"/>
        </w:rPr>
        <w:t xml:space="preserve"> работат на Ветеринарниот факултет се спроведуваат следните научно-истражувачки дејности:</w:t>
      </w:r>
    </w:p>
    <w:p w14:paraId="4EE3FB07" w14:textId="77777777" w:rsidR="007A4724" w:rsidRPr="008662BF" w:rsidRDefault="007A4724" w:rsidP="00601D86">
      <w:pPr>
        <w:pStyle w:val="ListParagraph"/>
        <w:numPr>
          <w:ilvl w:val="0"/>
          <w:numId w:val="32"/>
        </w:numPr>
        <w:jc w:val="both"/>
        <w:rPr>
          <w:lang w:val="mk-MK"/>
        </w:rPr>
      </w:pPr>
      <w:r w:rsidRPr="008662BF">
        <w:rPr>
          <w:lang w:val="mk-MK"/>
        </w:rPr>
        <w:t>Лаборатор</w:t>
      </w:r>
      <w:r w:rsidR="00601D86" w:rsidRPr="008662BF">
        <w:rPr>
          <w:lang w:val="mk-MK"/>
        </w:rPr>
        <w:t>ија за молекуларна биологија – е</w:t>
      </w:r>
      <w:r w:rsidRPr="008662BF">
        <w:rPr>
          <w:lang w:val="mk-MK"/>
        </w:rPr>
        <w:t>лектрофореза на ДНК, РНК и протеински примероци; анализа на генска експресија, валидација на податоци со микро-низа, SNP-генотипизација, детекција на патогени, анализа за ДНК метилација, студии за хроматинска  имунопреципитација.</w:t>
      </w:r>
    </w:p>
    <w:p w14:paraId="1B22110A" w14:textId="77777777" w:rsidR="00800996" w:rsidRPr="008662BF" w:rsidRDefault="00800996" w:rsidP="00601D86">
      <w:pPr>
        <w:pStyle w:val="ListParagraph"/>
        <w:numPr>
          <w:ilvl w:val="0"/>
          <w:numId w:val="32"/>
        </w:numPr>
        <w:jc w:val="both"/>
        <w:rPr>
          <w:lang w:val="mk-MK"/>
        </w:rPr>
      </w:pPr>
      <w:r w:rsidRPr="008662BF">
        <w:rPr>
          <w:lang w:val="mk-MK"/>
        </w:rPr>
        <w:t>Лабораторија за млеко – испитувања на масти, протеини, лактоза и</w:t>
      </w:r>
      <w:r w:rsidR="00617E5C">
        <w:rPr>
          <w:lang w:val="mk-MK"/>
        </w:rPr>
        <w:t xml:space="preserve"> на</w:t>
      </w:r>
      <w:r w:rsidRPr="008662BF">
        <w:rPr>
          <w:lang w:val="mk-MK"/>
        </w:rPr>
        <w:t xml:space="preserve"> вкупна сува материја на млеко; испитување на вкупен број на бактерии и соматски клетки.</w:t>
      </w:r>
    </w:p>
    <w:p w14:paraId="04F469C7" w14:textId="77777777" w:rsidR="00800996" w:rsidRPr="008662BF" w:rsidRDefault="00800996" w:rsidP="00601D86">
      <w:pPr>
        <w:pStyle w:val="ListParagraph"/>
        <w:numPr>
          <w:ilvl w:val="0"/>
          <w:numId w:val="32"/>
        </w:numPr>
        <w:jc w:val="both"/>
        <w:rPr>
          <w:lang w:val="mk-MK"/>
        </w:rPr>
      </w:pPr>
      <w:r w:rsidRPr="008662BF">
        <w:rPr>
          <w:lang w:val="mk-MK"/>
        </w:rPr>
        <w:t>Хематолошка лабораторија – крвна слика, 22-параметри: FBC, Hb, бели крвни клетки, број на тромбоцити; биохемиски анализи на крвта.</w:t>
      </w:r>
    </w:p>
    <w:p w14:paraId="2F8AB329" w14:textId="514F06E5" w:rsidR="00800996" w:rsidRPr="008662BF" w:rsidRDefault="00800996" w:rsidP="00601D86">
      <w:pPr>
        <w:pStyle w:val="ListParagraph"/>
        <w:numPr>
          <w:ilvl w:val="0"/>
          <w:numId w:val="32"/>
        </w:numPr>
        <w:jc w:val="both"/>
        <w:rPr>
          <w:lang w:val="mk-MK"/>
        </w:rPr>
      </w:pPr>
      <w:r w:rsidRPr="008662BF">
        <w:rPr>
          <w:lang w:val="mk-MK"/>
        </w:rPr>
        <w:t xml:space="preserve">Лабораторија за имунолошки/серолошки тестови </w:t>
      </w:r>
      <w:r w:rsidR="003D391A">
        <w:rPr>
          <w:rFonts w:cstheme="minorHAnsi"/>
          <w:lang w:val="mk-MK"/>
        </w:rPr>
        <w:t>–</w:t>
      </w:r>
      <w:r w:rsidRPr="008662BF">
        <w:rPr>
          <w:lang w:val="mk-MK"/>
        </w:rPr>
        <w:t xml:space="preserve"> интеракција антиген-антитела како дијагностичка алатка </w:t>
      </w:r>
      <w:r w:rsidR="003D391A">
        <w:rPr>
          <w:rFonts w:cstheme="minorHAnsi"/>
          <w:lang w:val="mk-MK"/>
        </w:rPr>
        <w:t>–</w:t>
      </w:r>
      <w:r w:rsidRPr="008662BF">
        <w:rPr>
          <w:lang w:val="mk-MK"/>
        </w:rPr>
        <w:t xml:space="preserve"> ензимскa имуносорбентна анализа (ELISA).</w:t>
      </w:r>
    </w:p>
    <w:p w14:paraId="77080AC0" w14:textId="77777777" w:rsidR="00800996" w:rsidRPr="008662BF" w:rsidRDefault="00800996" w:rsidP="007947BF">
      <w:pPr>
        <w:jc w:val="both"/>
        <w:rPr>
          <w:lang w:val="mk-MK"/>
        </w:rPr>
      </w:pPr>
      <w:r w:rsidRPr="008662BF">
        <w:rPr>
          <w:lang w:val="mk-MK"/>
        </w:rPr>
        <w:t xml:space="preserve">Истражувачка опрема: Факултетот располага со капитална истражувачка опрема. Вкупната проценета вредност на истражувачката опрема изнесува 105.000 евра (набавната вредност изнесува 229.000 евра). Истражувачката опрема е набавена во 2011 година како дел од проектот </w:t>
      </w:r>
      <w:r w:rsidR="003D391A">
        <w:rPr>
          <w:lang w:val="mk-MK"/>
        </w:rPr>
        <w:t xml:space="preserve">што е </w:t>
      </w:r>
      <w:r w:rsidRPr="008662BF">
        <w:rPr>
          <w:lang w:val="mk-MK"/>
        </w:rPr>
        <w:t>финансиран од Министерството за образование и наука.</w:t>
      </w:r>
    </w:p>
    <w:p w14:paraId="0A91664F" w14:textId="77777777" w:rsidR="007947BF" w:rsidRPr="008662BF" w:rsidRDefault="00800996" w:rsidP="007947BF">
      <w:pPr>
        <w:pStyle w:val="Heading4"/>
        <w:spacing w:after="240"/>
        <w:rPr>
          <w:rFonts w:asciiTheme="minorHAnsi" w:hAnsiTheme="minorHAnsi"/>
          <w:lang w:val="mk-MK"/>
        </w:rPr>
      </w:pPr>
      <w:r w:rsidRPr="008662BF">
        <w:rPr>
          <w:rFonts w:asciiTheme="minorHAnsi" w:hAnsiTheme="minorHAnsi"/>
          <w:lang w:val="mk-MK"/>
        </w:rPr>
        <w:t>Факултет за биотехнички науки</w:t>
      </w:r>
    </w:p>
    <w:p w14:paraId="070E903D" w14:textId="77777777" w:rsidR="00B167AE" w:rsidRPr="008662BF" w:rsidRDefault="00B167AE" w:rsidP="007947BF">
      <w:pPr>
        <w:spacing w:after="0"/>
        <w:jc w:val="both"/>
        <w:rPr>
          <w:lang w:val="mk-MK"/>
        </w:rPr>
      </w:pPr>
      <w:r w:rsidRPr="008662BF">
        <w:rPr>
          <w:lang w:val="mk-MK"/>
        </w:rPr>
        <w:t>Во рамките на Факултетот за биотехнички науки истражувачка дејност се врши во следните лаборатории:</w:t>
      </w:r>
    </w:p>
    <w:p w14:paraId="54C015BA" w14:textId="5FC85894" w:rsidR="00B167AE" w:rsidRPr="008662BF" w:rsidRDefault="00B167AE" w:rsidP="00B167AE">
      <w:pPr>
        <w:pStyle w:val="ListParagraph"/>
        <w:numPr>
          <w:ilvl w:val="0"/>
          <w:numId w:val="33"/>
        </w:numPr>
        <w:jc w:val="both"/>
        <w:rPr>
          <w:lang w:val="mk-MK"/>
        </w:rPr>
      </w:pPr>
      <w:r w:rsidRPr="008662BF">
        <w:rPr>
          <w:lang w:val="mk-MK"/>
        </w:rPr>
        <w:t>Лабораторија за екстракција на етерични масла од зачински и лековити растенија и определување на биолошки активни материи. Опремена е со софистицирана опрема: FID и масен детектор; FAST течен хроматограф со детектор со низа од диоди; HPLC</w:t>
      </w:r>
      <w:r w:rsidR="003D391A">
        <w:rPr>
          <w:lang w:val="mk-MK"/>
        </w:rPr>
        <w:t>-</w:t>
      </w:r>
      <w:r w:rsidRPr="008662BF">
        <w:rPr>
          <w:lang w:val="mk-MK"/>
        </w:rPr>
        <w:t>систем со детектор со низа од диоди со постколонска дериватизација; атомски апсорпционен спектрометар; спектрофотометар UV-VIS со детектор со низа од диоди.</w:t>
      </w:r>
    </w:p>
    <w:p w14:paraId="680E68CB" w14:textId="77777777" w:rsidR="00CD25B0" w:rsidRPr="008662BF" w:rsidRDefault="00CD25B0" w:rsidP="00CD25B0">
      <w:pPr>
        <w:pStyle w:val="ListParagraph"/>
        <w:numPr>
          <w:ilvl w:val="0"/>
          <w:numId w:val="33"/>
        </w:numPr>
        <w:jc w:val="both"/>
        <w:rPr>
          <w:lang w:val="mk-MK"/>
        </w:rPr>
      </w:pPr>
      <w:r w:rsidRPr="008662BF">
        <w:rPr>
          <w:lang w:val="mk-MK"/>
        </w:rPr>
        <w:t>Лабораторија за изведување на практична нас</w:t>
      </w:r>
      <w:r w:rsidR="00146D97" w:rsidRPr="008662BF">
        <w:rPr>
          <w:lang w:val="mk-MK"/>
        </w:rPr>
        <w:t>тава по предметите б</w:t>
      </w:r>
      <w:r w:rsidRPr="008662BF">
        <w:rPr>
          <w:lang w:val="mk-MK"/>
        </w:rPr>
        <w:t xml:space="preserve">иологија </w:t>
      </w:r>
      <w:r w:rsidR="00146D97" w:rsidRPr="008662BF">
        <w:rPr>
          <w:lang w:val="mk-MK"/>
        </w:rPr>
        <w:t>и м</w:t>
      </w:r>
      <w:r w:rsidRPr="008662BF">
        <w:rPr>
          <w:lang w:val="mk-MK"/>
        </w:rPr>
        <w:t xml:space="preserve">икробиологија на анимални производи. Опремена е со микроскопи и микроскопски препарати, </w:t>
      </w:r>
      <w:r w:rsidR="003D391A">
        <w:rPr>
          <w:lang w:val="mk-MK"/>
        </w:rPr>
        <w:t xml:space="preserve">со </w:t>
      </w:r>
      <w:r w:rsidRPr="008662BF">
        <w:rPr>
          <w:lang w:val="mk-MK"/>
        </w:rPr>
        <w:t>нагледни средства за изучување на структурната организација на живите организми и нивната разновидност.</w:t>
      </w:r>
    </w:p>
    <w:p w14:paraId="0BD726FD" w14:textId="69F28CE1" w:rsidR="00CD25B0" w:rsidRPr="008662BF" w:rsidRDefault="00CD25B0" w:rsidP="00CD25B0">
      <w:pPr>
        <w:pStyle w:val="ListParagraph"/>
        <w:numPr>
          <w:ilvl w:val="0"/>
          <w:numId w:val="33"/>
        </w:numPr>
        <w:jc w:val="both"/>
        <w:rPr>
          <w:lang w:val="mk-MK"/>
        </w:rPr>
      </w:pPr>
      <w:r w:rsidRPr="008662BF">
        <w:rPr>
          <w:lang w:val="mk-MK"/>
        </w:rPr>
        <w:t>Лабораторија за изведување практична настава настава по предмети</w:t>
      </w:r>
      <w:r w:rsidR="00146D97" w:rsidRPr="008662BF">
        <w:rPr>
          <w:lang w:val="mk-MK"/>
        </w:rPr>
        <w:t>те хемија, б</w:t>
      </w:r>
      <w:r w:rsidRPr="008662BF">
        <w:rPr>
          <w:lang w:val="mk-MK"/>
        </w:rPr>
        <w:t xml:space="preserve">иохемија </w:t>
      </w:r>
      <w:r w:rsidR="00146D97" w:rsidRPr="008662BF">
        <w:rPr>
          <w:lang w:val="mk-MK"/>
        </w:rPr>
        <w:t>и х</w:t>
      </w:r>
      <w:r w:rsidRPr="008662BF">
        <w:rPr>
          <w:lang w:val="mk-MK"/>
        </w:rPr>
        <w:t xml:space="preserve">емиско инструментални методи   за   контрола   на   анималните производи. Опремена </w:t>
      </w:r>
      <w:r w:rsidR="003D391A">
        <w:rPr>
          <w:lang w:val="mk-MK"/>
        </w:rPr>
        <w:t>е</w:t>
      </w:r>
      <w:r w:rsidRPr="008662BF">
        <w:rPr>
          <w:lang w:val="mk-MK"/>
        </w:rPr>
        <w:t xml:space="preserve"> со</w:t>
      </w:r>
      <w:r w:rsidR="003D391A">
        <w:rPr>
          <w:lang w:val="mk-MK"/>
        </w:rPr>
        <w:t xml:space="preserve"> </w:t>
      </w:r>
      <w:r w:rsidRPr="008662BF">
        <w:rPr>
          <w:lang w:val="mk-MK"/>
        </w:rPr>
        <w:t>основниот лабораториски</w:t>
      </w:r>
      <w:r w:rsidR="003D391A">
        <w:rPr>
          <w:lang w:val="mk-MK"/>
        </w:rPr>
        <w:t xml:space="preserve"> </w:t>
      </w:r>
      <w:r w:rsidRPr="008662BF">
        <w:rPr>
          <w:lang w:val="mk-MK"/>
        </w:rPr>
        <w:t>прибор</w:t>
      </w:r>
      <w:r w:rsidR="003D391A">
        <w:rPr>
          <w:lang w:val="mk-MK"/>
        </w:rPr>
        <w:t xml:space="preserve"> </w:t>
      </w:r>
      <w:r w:rsidRPr="008662BF">
        <w:rPr>
          <w:lang w:val="mk-MK"/>
        </w:rPr>
        <w:t>за  непречено изведување на вежбите како и со современи апарати за хемиски и биохемиски анализи.</w:t>
      </w:r>
    </w:p>
    <w:p w14:paraId="57FF7952" w14:textId="191385EF" w:rsidR="00CD25B0" w:rsidRPr="008662BF" w:rsidRDefault="00CD25B0" w:rsidP="00CD25B0">
      <w:pPr>
        <w:pStyle w:val="ListParagraph"/>
        <w:numPr>
          <w:ilvl w:val="0"/>
          <w:numId w:val="33"/>
        </w:numPr>
        <w:jc w:val="both"/>
        <w:rPr>
          <w:lang w:val="mk-MK"/>
        </w:rPr>
      </w:pPr>
      <w:r w:rsidRPr="008662BF">
        <w:rPr>
          <w:lang w:val="mk-MK"/>
        </w:rPr>
        <w:t>Лабораторија за квалитет</w:t>
      </w:r>
      <w:r w:rsidR="003D391A">
        <w:rPr>
          <w:lang w:val="mk-MK"/>
        </w:rPr>
        <w:t>от</w:t>
      </w:r>
      <w:r w:rsidRPr="008662BF">
        <w:rPr>
          <w:lang w:val="mk-MK"/>
        </w:rPr>
        <w:t xml:space="preserve"> и безбедност</w:t>
      </w:r>
      <w:r w:rsidR="003D391A">
        <w:rPr>
          <w:lang w:val="mk-MK"/>
        </w:rPr>
        <w:t>а</w:t>
      </w:r>
      <w:r w:rsidRPr="008662BF">
        <w:rPr>
          <w:lang w:val="mk-MK"/>
        </w:rPr>
        <w:t xml:space="preserve"> на млеко</w:t>
      </w:r>
      <w:r w:rsidR="003D391A">
        <w:rPr>
          <w:lang w:val="mk-MK"/>
        </w:rPr>
        <w:t>то</w:t>
      </w:r>
      <w:r w:rsidRPr="008662BF">
        <w:rPr>
          <w:lang w:val="mk-MK"/>
        </w:rPr>
        <w:t xml:space="preserve"> и</w:t>
      </w:r>
      <w:r w:rsidR="003D391A">
        <w:rPr>
          <w:lang w:val="mk-MK"/>
        </w:rPr>
        <w:t xml:space="preserve"> на</w:t>
      </w:r>
      <w:r w:rsidRPr="008662BF">
        <w:rPr>
          <w:lang w:val="mk-MK"/>
        </w:rPr>
        <w:t xml:space="preserve"> млечни</w:t>
      </w:r>
      <w:r w:rsidR="003D391A">
        <w:rPr>
          <w:lang w:val="mk-MK"/>
        </w:rPr>
        <w:t>те</w:t>
      </w:r>
      <w:r w:rsidRPr="008662BF">
        <w:rPr>
          <w:lang w:val="mk-MK"/>
        </w:rPr>
        <w:t xml:space="preserve"> производи. Лабораторијата врши истражувачка дејност во областа на технологија на млеко</w:t>
      </w:r>
      <w:r w:rsidR="003D391A">
        <w:rPr>
          <w:lang w:val="mk-MK"/>
        </w:rPr>
        <w:t>то</w:t>
      </w:r>
      <w:r w:rsidRPr="008662BF">
        <w:rPr>
          <w:lang w:val="mk-MK"/>
        </w:rPr>
        <w:t xml:space="preserve"> и млечни</w:t>
      </w:r>
      <w:r w:rsidR="003D391A">
        <w:rPr>
          <w:lang w:val="mk-MK"/>
        </w:rPr>
        <w:t>те</w:t>
      </w:r>
      <w:r w:rsidRPr="008662BF">
        <w:rPr>
          <w:lang w:val="mk-MK"/>
        </w:rPr>
        <w:t xml:space="preserve"> производи, </w:t>
      </w:r>
      <w:r w:rsidR="003D391A">
        <w:rPr>
          <w:lang w:val="mk-MK"/>
        </w:rPr>
        <w:t xml:space="preserve">на </w:t>
      </w:r>
      <w:r w:rsidRPr="008662BF">
        <w:rPr>
          <w:lang w:val="mk-MK"/>
        </w:rPr>
        <w:t>квалитет</w:t>
      </w:r>
      <w:r w:rsidR="003D391A">
        <w:rPr>
          <w:lang w:val="mk-MK"/>
        </w:rPr>
        <w:t>от</w:t>
      </w:r>
      <w:r w:rsidRPr="008662BF">
        <w:rPr>
          <w:lang w:val="mk-MK"/>
        </w:rPr>
        <w:t xml:space="preserve"> и безбедност</w:t>
      </w:r>
      <w:r w:rsidR="003D391A">
        <w:rPr>
          <w:lang w:val="mk-MK"/>
        </w:rPr>
        <w:t>а</w:t>
      </w:r>
      <w:r w:rsidRPr="008662BF">
        <w:rPr>
          <w:lang w:val="mk-MK"/>
        </w:rPr>
        <w:t xml:space="preserve"> на млеко</w:t>
      </w:r>
      <w:r w:rsidR="003D391A">
        <w:rPr>
          <w:lang w:val="mk-MK"/>
        </w:rPr>
        <w:t>то</w:t>
      </w:r>
      <w:r w:rsidRPr="008662BF">
        <w:rPr>
          <w:lang w:val="mk-MK"/>
        </w:rPr>
        <w:t xml:space="preserve"> и млечни</w:t>
      </w:r>
      <w:r w:rsidR="003D391A">
        <w:rPr>
          <w:lang w:val="mk-MK"/>
        </w:rPr>
        <w:t>те</w:t>
      </w:r>
      <w:r w:rsidRPr="008662BF">
        <w:rPr>
          <w:lang w:val="mk-MK"/>
        </w:rPr>
        <w:t xml:space="preserve"> производи и сензорна анализа на млечните производи. Опремена е со опрема за анализа на физичко-хемискиот состав на млекото   и </w:t>
      </w:r>
      <w:r w:rsidR="003D391A">
        <w:rPr>
          <w:lang w:val="mk-MK"/>
        </w:rPr>
        <w:t xml:space="preserve">со </w:t>
      </w:r>
      <w:r w:rsidRPr="008662BF">
        <w:rPr>
          <w:lang w:val="mk-MK"/>
        </w:rPr>
        <w:t>опрема   за   индивидуално производство на кисело-млечни производи и преработки (сирење, кашкавал) со студентите од сите студиски програми на факултетот.</w:t>
      </w:r>
    </w:p>
    <w:p w14:paraId="7EDE2E94" w14:textId="1D05CE69" w:rsidR="00CD25B0" w:rsidRPr="008662BF" w:rsidRDefault="00CD25B0" w:rsidP="00CD25B0">
      <w:pPr>
        <w:pStyle w:val="ListParagraph"/>
        <w:numPr>
          <w:ilvl w:val="0"/>
          <w:numId w:val="33"/>
        </w:numPr>
        <w:jc w:val="both"/>
        <w:rPr>
          <w:lang w:val="mk-MK"/>
        </w:rPr>
      </w:pPr>
      <w:r w:rsidRPr="008662BF">
        <w:rPr>
          <w:lang w:val="mk-MK"/>
        </w:rPr>
        <w:lastRenderedPageBreak/>
        <w:t>Лабораторија за квалитет и безбедност на месо и месни производи. Лабораторијата врши истражувачка дејност во областа на технологија на месо и преработки од месо и сензорна анализа на месните производи. Опремена е со опрема за анализа на  физичко-хемискиот  состав  на  месото и</w:t>
      </w:r>
      <w:r w:rsidR="003D391A">
        <w:rPr>
          <w:lang w:val="mk-MK"/>
        </w:rPr>
        <w:t xml:space="preserve"> со</w:t>
      </w:r>
      <w:r w:rsidRPr="008662BF">
        <w:rPr>
          <w:lang w:val="mk-MK"/>
        </w:rPr>
        <w:t xml:space="preserve"> опрема  за  индивидуално  производство  на месни преработки (колбаси) со студентите од сите студиски програми на факултетот.</w:t>
      </w:r>
    </w:p>
    <w:p w14:paraId="2CADE445" w14:textId="77777777" w:rsidR="00CD25B0" w:rsidRPr="008662BF" w:rsidRDefault="00CD25B0" w:rsidP="007947BF">
      <w:pPr>
        <w:jc w:val="both"/>
        <w:rPr>
          <w:lang w:val="mk-MK"/>
        </w:rPr>
      </w:pPr>
      <w:r w:rsidRPr="008662BF">
        <w:rPr>
          <w:lang w:val="mk-MK"/>
        </w:rPr>
        <w:t>Истражувачка опрема: Лабораториите беа опремени во 2013 година како дел од проектот што го спроведува Министерството за образование и наука.</w:t>
      </w:r>
    </w:p>
    <w:p w14:paraId="261AF253" w14:textId="77777777" w:rsidR="00CD25B0" w:rsidRPr="008662BF" w:rsidRDefault="00CD25B0" w:rsidP="007947BF">
      <w:pPr>
        <w:pStyle w:val="Heading4"/>
        <w:spacing w:after="240"/>
        <w:rPr>
          <w:rFonts w:asciiTheme="minorHAnsi" w:hAnsiTheme="minorHAnsi"/>
          <w:lang w:val="mk-MK"/>
        </w:rPr>
      </w:pPr>
      <w:r w:rsidRPr="008662BF">
        <w:rPr>
          <w:rFonts w:asciiTheme="minorHAnsi" w:hAnsiTheme="minorHAnsi"/>
          <w:lang w:val="mk-MK"/>
        </w:rPr>
        <w:t>Факултет за туризам и угостителство</w:t>
      </w:r>
    </w:p>
    <w:p w14:paraId="72CF2A06" w14:textId="77777777" w:rsidR="003C6D08" w:rsidRPr="008662BF" w:rsidRDefault="003C6D08" w:rsidP="00146D97">
      <w:pPr>
        <w:jc w:val="both"/>
        <w:rPr>
          <w:lang w:val="mk-MK"/>
        </w:rPr>
      </w:pPr>
      <w:r w:rsidRPr="008662BF">
        <w:rPr>
          <w:lang w:val="mk-MK"/>
        </w:rPr>
        <w:t>Истражувачката дејност на Факултетот за туризам и угостителство се спроведуваат во Лабораторијата за гастрономски истражувања.</w:t>
      </w:r>
    </w:p>
    <w:p w14:paraId="108C1A26" w14:textId="77777777" w:rsidR="007947BF" w:rsidRPr="008662BF" w:rsidRDefault="004C503A" w:rsidP="007947BF">
      <w:pPr>
        <w:pStyle w:val="Heading5"/>
        <w:spacing w:after="240"/>
        <w:rPr>
          <w:rFonts w:asciiTheme="minorHAnsi" w:hAnsiTheme="minorHAnsi"/>
          <w:lang w:val="mk-MK"/>
        </w:rPr>
      </w:pPr>
      <w:r w:rsidRPr="008662BF">
        <w:rPr>
          <w:rFonts w:asciiTheme="minorHAnsi" w:hAnsiTheme="minorHAnsi"/>
          <w:lang w:val="mk-MK"/>
        </w:rPr>
        <w:t xml:space="preserve">Лабораторија за гастрономски истражувања </w:t>
      </w:r>
    </w:p>
    <w:p w14:paraId="69D3E1EB" w14:textId="7207D163" w:rsidR="004C503A" w:rsidRPr="008662BF" w:rsidRDefault="004C503A" w:rsidP="007947BF">
      <w:pPr>
        <w:jc w:val="both"/>
        <w:rPr>
          <w:lang w:val="mk-MK"/>
        </w:rPr>
      </w:pPr>
      <w:r w:rsidRPr="008662BF">
        <w:rPr>
          <w:lang w:val="mk-MK"/>
        </w:rPr>
        <w:t xml:space="preserve">Истражувачката инфраструктура на Лабораторија за </w:t>
      </w:r>
      <w:r w:rsidR="007414AD" w:rsidRPr="008662BF">
        <w:rPr>
          <w:lang w:val="mk-MK"/>
        </w:rPr>
        <w:t xml:space="preserve">гастрономија </w:t>
      </w:r>
      <w:r w:rsidRPr="008662BF">
        <w:rPr>
          <w:lang w:val="mk-MK"/>
        </w:rPr>
        <w:t xml:space="preserve">се состои од апарати со различни намени. Поголемиот дел од апаратите се користат за стручна обработка на храна, </w:t>
      </w:r>
      <w:r w:rsidR="00C77EE5">
        <w:rPr>
          <w:lang w:val="mk-MK"/>
        </w:rPr>
        <w:t xml:space="preserve">за </w:t>
      </w:r>
      <w:r w:rsidRPr="008662BF">
        <w:rPr>
          <w:lang w:val="mk-MK"/>
        </w:rPr>
        <w:t>складирање, длабоко замрзнување и</w:t>
      </w:r>
      <w:r w:rsidR="00C77EE5">
        <w:rPr>
          <w:lang w:val="mk-MK"/>
        </w:rPr>
        <w:t xml:space="preserve"> за</w:t>
      </w:r>
      <w:r w:rsidRPr="008662BF">
        <w:rPr>
          <w:lang w:val="mk-MK"/>
        </w:rPr>
        <w:t xml:space="preserve"> шок</w:t>
      </w:r>
      <w:r w:rsidR="00C77EE5">
        <w:rPr>
          <w:lang w:val="mk-MK"/>
        </w:rPr>
        <w:t>-</w:t>
      </w:r>
      <w:r w:rsidRPr="008662BF">
        <w:rPr>
          <w:lang w:val="mk-MK"/>
        </w:rPr>
        <w:t xml:space="preserve">замрзнување на цврста и течна храна. Лабораторијата се состои од модерна кујна и </w:t>
      </w:r>
      <w:r w:rsidR="00C77EE5">
        <w:rPr>
          <w:lang w:val="mk-MK"/>
        </w:rPr>
        <w:t xml:space="preserve">од </w:t>
      </w:r>
      <w:r w:rsidRPr="008662BF">
        <w:rPr>
          <w:lang w:val="mk-MK"/>
        </w:rPr>
        <w:t xml:space="preserve">ботаничка стаклена градина </w:t>
      </w:r>
      <w:r w:rsidR="00C77EE5">
        <w:rPr>
          <w:lang w:val="mk-MK"/>
        </w:rPr>
        <w:t>што</w:t>
      </w:r>
      <w:r w:rsidRPr="008662BF">
        <w:rPr>
          <w:lang w:val="mk-MK"/>
        </w:rPr>
        <w:t xml:space="preserve"> се користи за одгледување билки и зеленчук.</w:t>
      </w:r>
    </w:p>
    <w:p w14:paraId="008EE478" w14:textId="77777777" w:rsidR="004368D2" w:rsidRPr="008662BF" w:rsidRDefault="004368D2" w:rsidP="004368D2">
      <w:pPr>
        <w:jc w:val="both"/>
        <w:rPr>
          <w:lang w:val="mk-MK"/>
        </w:rPr>
      </w:pPr>
      <w:r w:rsidRPr="008662BF">
        <w:rPr>
          <w:lang w:val="mk-MK"/>
        </w:rPr>
        <w:t xml:space="preserve">Услуги што се обезбедуваат: Корисниците на истражувачката инфраструктура можат да вршат експерименти за откривање и </w:t>
      </w:r>
      <w:r w:rsidR="00C77EE5">
        <w:rPr>
          <w:lang w:val="mk-MK"/>
        </w:rPr>
        <w:t xml:space="preserve">за </w:t>
      </w:r>
      <w:r w:rsidRPr="008662BF">
        <w:rPr>
          <w:lang w:val="mk-MK"/>
        </w:rPr>
        <w:t>повторно откривање на храна (на пример, воведување на традиционални јадења во гастрономската понуда на регионот и економијата во целина). Тој е домаќин на стручни предавања на истакнати и познати екологисти и технолошки инженери во областа на индустријата за храна и пијалаци.</w:t>
      </w:r>
    </w:p>
    <w:p w14:paraId="04DF78E2" w14:textId="77777777" w:rsidR="004368D2" w:rsidRPr="008662BF" w:rsidRDefault="004368D2" w:rsidP="004368D2">
      <w:pPr>
        <w:jc w:val="both"/>
        <w:rPr>
          <w:lang w:val="mk-MK"/>
        </w:rPr>
      </w:pPr>
      <w:r w:rsidRPr="008662BF">
        <w:rPr>
          <w:lang w:val="mk-MK"/>
        </w:rPr>
        <w:t>Истражувачка опрема: Факултетот не поседува капитална истражувачка опрема. Вкупната проценета вредност на истражувачките инструменти што ги користи Лабораторијата изнесува 55.000 евра.</w:t>
      </w:r>
    </w:p>
    <w:p w14:paraId="0C2D2CCE" w14:textId="77777777" w:rsidR="007947BF" w:rsidRPr="008662BF" w:rsidRDefault="007744E3" w:rsidP="007947BF">
      <w:pPr>
        <w:pStyle w:val="Heading4"/>
        <w:spacing w:after="240"/>
        <w:rPr>
          <w:rFonts w:asciiTheme="minorHAnsi" w:hAnsiTheme="minorHAnsi"/>
          <w:lang w:val="mk-MK"/>
        </w:rPr>
      </w:pPr>
      <w:r w:rsidRPr="008662BF">
        <w:rPr>
          <w:rFonts w:asciiTheme="minorHAnsi" w:hAnsiTheme="minorHAnsi"/>
          <w:lang w:val="mk-MK"/>
        </w:rPr>
        <w:t xml:space="preserve">Научен институт за тутун </w:t>
      </w:r>
    </w:p>
    <w:p w14:paraId="3C1C8A60" w14:textId="30F8BB74" w:rsidR="007744E3" w:rsidRPr="008662BF" w:rsidRDefault="007744E3" w:rsidP="007744E3">
      <w:pPr>
        <w:jc w:val="both"/>
        <w:rPr>
          <w:lang w:val="mk-MK"/>
        </w:rPr>
      </w:pPr>
      <w:r w:rsidRPr="008662BF">
        <w:rPr>
          <w:lang w:val="mk-MK"/>
        </w:rPr>
        <w:t xml:space="preserve">Научниот институт за тутун се занимава со истражувачка дејност од областа на биотехнологијата (одгледување тутун и други култури). Научно-истражувачката дејност во оваа институција се изведува во повеќе насоки и тоа: </w:t>
      </w:r>
      <w:r w:rsidR="00C77EE5">
        <w:rPr>
          <w:lang w:val="mk-MK"/>
        </w:rPr>
        <w:t xml:space="preserve">во </w:t>
      </w:r>
      <w:r w:rsidRPr="008662BF">
        <w:rPr>
          <w:lang w:val="mk-MK"/>
        </w:rPr>
        <w:t xml:space="preserve">креирање нови сорти и одржување и подобрување на веќе признатите сорти тутун; </w:t>
      </w:r>
      <w:r w:rsidR="00C77EE5">
        <w:rPr>
          <w:lang w:val="mk-MK"/>
        </w:rPr>
        <w:t xml:space="preserve">во </w:t>
      </w:r>
      <w:r w:rsidRPr="008662BF">
        <w:rPr>
          <w:lang w:val="mk-MK"/>
        </w:rPr>
        <w:t xml:space="preserve">оптимизирање на агротехничките мерки; </w:t>
      </w:r>
      <w:r w:rsidR="00C77EE5">
        <w:rPr>
          <w:lang w:val="mk-MK"/>
        </w:rPr>
        <w:t xml:space="preserve">во </w:t>
      </w:r>
      <w:r w:rsidRPr="008662BF">
        <w:rPr>
          <w:lang w:val="mk-MK"/>
        </w:rPr>
        <w:t>проучување на болестите, штетниците и плевелите на тутунот;</w:t>
      </w:r>
      <w:r w:rsidR="00C77EE5">
        <w:rPr>
          <w:lang w:val="mk-MK"/>
        </w:rPr>
        <w:t xml:space="preserve"> во</w:t>
      </w:r>
      <w:r w:rsidRPr="008662BF">
        <w:rPr>
          <w:lang w:val="mk-MK"/>
        </w:rPr>
        <w:t xml:space="preserve"> испитување на хемискиот состав на тутунот и тутунските преработки; </w:t>
      </w:r>
      <w:r w:rsidR="00C77EE5">
        <w:rPr>
          <w:lang w:val="mk-MK"/>
        </w:rPr>
        <w:t xml:space="preserve">во </w:t>
      </w:r>
      <w:r w:rsidRPr="008662BF">
        <w:rPr>
          <w:lang w:val="mk-MK"/>
        </w:rPr>
        <w:t xml:space="preserve">проучување на процесите на побербената обработка на тутунската суровина; </w:t>
      </w:r>
      <w:r w:rsidR="00C77EE5">
        <w:rPr>
          <w:lang w:val="mk-MK"/>
        </w:rPr>
        <w:t xml:space="preserve">во </w:t>
      </w:r>
      <w:r w:rsidRPr="008662BF">
        <w:rPr>
          <w:lang w:val="mk-MK"/>
        </w:rPr>
        <w:t xml:space="preserve">проучување на економската проблематика на тутунското стопанисување; </w:t>
      </w:r>
      <w:r w:rsidR="00C77EE5">
        <w:rPr>
          <w:lang w:val="mk-MK"/>
        </w:rPr>
        <w:t xml:space="preserve">во </w:t>
      </w:r>
      <w:r w:rsidRPr="008662BF">
        <w:rPr>
          <w:lang w:val="mk-MK"/>
        </w:rPr>
        <w:t>испитувања на почвата:</w:t>
      </w:r>
      <w:r w:rsidR="00C77EE5">
        <w:rPr>
          <w:lang w:val="mk-MK"/>
        </w:rPr>
        <w:t xml:space="preserve"> во</w:t>
      </w:r>
      <w:r w:rsidRPr="008662BF">
        <w:rPr>
          <w:lang w:val="mk-MK"/>
        </w:rPr>
        <w:t xml:space="preserve"> плодност со препораки за ѓубрење, загадување и квалитет на водата за наводнување.</w:t>
      </w:r>
    </w:p>
    <w:p w14:paraId="2DF54D8A" w14:textId="77777777" w:rsidR="007744E3" w:rsidRPr="008662BF" w:rsidRDefault="007744E3" w:rsidP="007744E3">
      <w:pPr>
        <w:jc w:val="both"/>
        <w:rPr>
          <w:lang w:val="mk-MK"/>
        </w:rPr>
      </w:pPr>
      <w:r w:rsidRPr="008662BF">
        <w:rPr>
          <w:lang w:val="mk-MK"/>
        </w:rPr>
        <w:t>Услуги</w:t>
      </w:r>
      <w:r w:rsidR="00D80F65" w:rsidRPr="008662BF">
        <w:rPr>
          <w:lang w:val="mk-MK"/>
        </w:rPr>
        <w:t xml:space="preserve">те </w:t>
      </w:r>
      <w:r w:rsidRPr="008662BF">
        <w:rPr>
          <w:lang w:val="mk-MK"/>
        </w:rPr>
        <w:t>што се обезбедуваат опфаќаат: контрола на квалитетот на семе од земјоделски растенија; контрола на квалитетот на почва, вода, ѓубрива и растителен материјал; контрола на квалитетот на тутун и тутунски производи; контрола на автентичност и квалитет на тутунската суровина; контрола на здравјето на растенијата; итн.</w:t>
      </w:r>
    </w:p>
    <w:p w14:paraId="36AC69D2" w14:textId="513C1EB1" w:rsidR="007744E3" w:rsidRPr="008662BF" w:rsidRDefault="007744E3" w:rsidP="007744E3">
      <w:pPr>
        <w:jc w:val="both"/>
        <w:rPr>
          <w:lang w:val="mk-MK"/>
        </w:rPr>
      </w:pPr>
      <w:r w:rsidRPr="008662BF">
        <w:rPr>
          <w:lang w:val="mk-MK"/>
        </w:rPr>
        <w:lastRenderedPageBreak/>
        <w:t>Истражувачка опрема: Институтот нема капитална истражувачка опрема од висока вредност. Сепак, тој е опремен со истражувачки инструменти со помала вредност: атомски апсорпционен спектрометар, пламен фотометар, CEM</w:t>
      </w:r>
      <w:r w:rsidR="00C77EE5">
        <w:rPr>
          <w:lang w:val="mk-MK"/>
        </w:rPr>
        <w:t>-</w:t>
      </w:r>
      <w:r w:rsidRPr="008662BF">
        <w:rPr>
          <w:lang w:val="mk-MK"/>
        </w:rPr>
        <w:t>микробранови систем</w:t>
      </w:r>
      <w:r w:rsidR="00C77EE5">
        <w:rPr>
          <w:lang w:val="mk-MK"/>
        </w:rPr>
        <w:t>и</w:t>
      </w:r>
      <w:r w:rsidRPr="008662BF">
        <w:rPr>
          <w:lang w:val="mk-MK"/>
        </w:rPr>
        <w:t xml:space="preserve"> за дигестија, спектрофотометри, единица за дестилација, единици за дигестија Кјелдал, вага за автоматско сортирање цигари итн. Вкупната вредност на опремата за истражување се проценува на 180.000 евра (набавната вредност изнесува 631.000 евра).</w:t>
      </w:r>
    </w:p>
    <w:p w14:paraId="0F646A18" w14:textId="77777777" w:rsidR="009B35B1" w:rsidRPr="008662BF" w:rsidRDefault="009B35B1" w:rsidP="007947BF">
      <w:pPr>
        <w:pStyle w:val="Heading4"/>
        <w:spacing w:after="240"/>
        <w:rPr>
          <w:rFonts w:asciiTheme="minorHAnsi" w:hAnsiTheme="minorHAnsi"/>
          <w:lang w:val="mk-MK"/>
        </w:rPr>
      </w:pPr>
      <w:r w:rsidRPr="008662BF">
        <w:rPr>
          <w:rFonts w:asciiTheme="minorHAnsi" w:hAnsiTheme="minorHAnsi"/>
          <w:lang w:val="mk-MK"/>
        </w:rPr>
        <w:t xml:space="preserve">Јавна научна установа Хидробиолошки </w:t>
      </w:r>
      <w:r w:rsidR="009E2032" w:rsidRPr="008662BF">
        <w:rPr>
          <w:rFonts w:asciiTheme="minorHAnsi" w:hAnsiTheme="minorHAnsi"/>
          <w:lang w:val="mk-MK"/>
        </w:rPr>
        <w:t xml:space="preserve">институт - </w:t>
      </w:r>
      <w:r w:rsidRPr="008662BF">
        <w:rPr>
          <w:rFonts w:asciiTheme="minorHAnsi" w:hAnsiTheme="minorHAnsi"/>
          <w:lang w:val="mk-MK"/>
        </w:rPr>
        <w:t>Охрид</w:t>
      </w:r>
    </w:p>
    <w:p w14:paraId="1A46D52A" w14:textId="5CF6C4E1" w:rsidR="00AF0A89" w:rsidRPr="008662BF" w:rsidRDefault="00D80F65" w:rsidP="007947BF">
      <w:pPr>
        <w:jc w:val="both"/>
        <w:rPr>
          <w:lang w:val="mk-MK"/>
        </w:rPr>
      </w:pPr>
      <w:r w:rsidRPr="008662BF">
        <w:rPr>
          <w:lang w:val="mk-MK"/>
        </w:rPr>
        <w:t>Хидробиолошкиот и</w:t>
      </w:r>
      <w:r w:rsidR="00801814" w:rsidRPr="008662BF">
        <w:rPr>
          <w:lang w:val="mk-MK"/>
        </w:rPr>
        <w:t xml:space="preserve">нститут </w:t>
      </w:r>
      <w:r w:rsidR="00C77EE5">
        <w:rPr>
          <w:rFonts w:cstheme="minorHAnsi"/>
          <w:lang w:val="mk-MK"/>
        </w:rPr>
        <w:t>–</w:t>
      </w:r>
      <w:r w:rsidRPr="008662BF">
        <w:rPr>
          <w:lang w:val="mk-MK"/>
        </w:rPr>
        <w:t xml:space="preserve"> </w:t>
      </w:r>
      <w:r w:rsidR="00801814" w:rsidRPr="008662BF">
        <w:rPr>
          <w:lang w:val="mk-MK"/>
        </w:rPr>
        <w:t>Охрид (ЈНУ ХБИ),</w:t>
      </w:r>
      <w:r w:rsidR="00C77EE5">
        <w:rPr>
          <w:lang w:val="mk-MK"/>
        </w:rPr>
        <w:t xml:space="preserve"> е</w:t>
      </w:r>
      <w:r w:rsidR="00801814" w:rsidRPr="008662BF">
        <w:rPr>
          <w:lang w:val="mk-MK"/>
        </w:rPr>
        <w:t xml:space="preserve"> основан во 1935 година</w:t>
      </w:r>
      <w:r w:rsidRPr="008662BF">
        <w:rPr>
          <w:lang w:val="mk-MK"/>
        </w:rPr>
        <w:t>,</w:t>
      </w:r>
      <w:r w:rsidR="00C77EE5">
        <w:rPr>
          <w:lang w:val="mk-MK"/>
        </w:rPr>
        <w:t xml:space="preserve"> и</w:t>
      </w:r>
      <w:r w:rsidR="00801814" w:rsidRPr="008662BF">
        <w:rPr>
          <w:lang w:val="mk-MK"/>
        </w:rPr>
        <w:t xml:space="preserve"> е јавна владина високообразовна и научно-истражувачка организација од национален и</w:t>
      </w:r>
      <w:r w:rsidRPr="008662BF">
        <w:rPr>
          <w:lang w:val="mk-MK"/>
        </w:rPr>
        <w:t>нтерес. Денес, Хидробиолошкиот и</w:t>
      </w:r>
      <w:r w:rsidR="00801814" w:rsidRPr="008662BF">
        <w:rPr>
          <w:lang w:val="mk-MK"/>
        </w:rPr>
        <w:t>нститут е модерна научна институција со голем број научници,</w:t>
      </w:r>
      <w:r w:rsidR="00C77EE5">
        <w:rPr>
          <w:lang w:val="mk-MK"/>
        </w:rPr>
        <w:t xml:space="preserve"> што се </w:t>
      </w:r>
      <w:r w:rsidR="00801814" w:rsidRPr="008662BF">
        <w:rPr>
          <w:lang w:val="mk-MK"/>
        </w:rPr>
        <w:t xml:space="preserve"> организирани во десет одделенија. Институтот ги покрива истражуваните субјекти на лимнологијата, како природните езера, така и вештачките езера и реките. </w:t>
      </w:r>
      <w:r w:rsidR="00AF0A89" w:rsidRPr="008662BF">
        <w:rPr>
          <w:lang w:val="mk-MK"/>
        </w:rPr>
        <w:t>Освен со својата главна научно</w:t>
      </w:r>
      <w:r w:rsidRPr="008662BF">
        <w:rPr>
          <w:lang w:val="mk-MK"/>
        </w:rPr>
        <w:t>-</w:t>
      </w:r>
      <w:r w:rsidR="00AF0A89" w:rsidRPr="008662BF">
        <w:rPr>
          <w:lang w:val="mk-MK"/>
        </w:rPr>
        <w:t>истражувачка дејност, Институтот се занимава и со образовна дејност. Во таа насока, успешно го заврши циклусот на постдипломски студии по лимнологија, од кој произлегоа првите магистери во оваа научна област.</w:t>
      </w:r>
    </w:p>
    <w:p w14:paraId="2A6C79CF" w14:textId="01EBC941" w:rsidR="00E71CCF" w:rsidRPr="008662BF" w:rsidRDefault="00E71CCF" w:rsidP="00E71CCF">
      <w:pPr>
        <w:jc w:val="both"/>
        <w:rPr>
          <w:lang w:val="mk-MK"/>
        </w:rPr>
      </w:pPr>
      <w:r w:rsidRPr="008662BF">
        <w:rPr>
          <w:lang w:val="mk-MK"/>
        </w:rPr>
        <w:t xml:space="preserve">Услуги што се </w:t>
      </w:r>
      <w:r w:rsidR="00D80F65" w:rsidRPr="008662BF">
        <w:rPr>
          <w:lang w:val="mk-MK"/>
        </w:rPr>
        <w:t>обезбедуваат</w:t>
      </w:r>
      <w:r w:rsidRPr="008662BF">
        <w:rPr>
          <w:lang w:val="mk-MK"/>
        </w:rPr>
        <w:t xml:space="preserve">: следење на квалитетот на водата </w:t>
      </w:r>
      <w:r w:rsidR="00C77EE5">
        <w:rPr>
          <w:rFonts w:cstheme="minorHAnsi"/>
          <w:lang w:val="mk-MK"/>
        </w:rPr>
        <w:t>–</w:t>
      </w:r>
      <w:r w:rsidRPr="008662BF">
        <w:rPr>
          <w:lang w:val="mk-MK"/>
        </w:rPr>
        <w:t xml:space="preserve"> физички, хемиски и биолошки параметри на отворени води и системи за снабдување со вода за пиење; физибилити студии за заштита на животната средина на слатководните екосистеми; планови за управување со рибарството на езерата и реките; студии за зачувување на биолошката разновидност; студии и програми за подобрување на слатководната аквакултура и програми за порибување со риби на отворени слатководни води.</w:t>
      </w:r>
    </w:p>
    <w:p w14:paraId="1E89D3F7" w14:textId="51B736B9" w:rsidR="00E71CCF" w:rsidRPr="008662BF" w:rsidRDefault="00D80F65" w:rsidP="009F3B36">
      <w:pPr>
        <w:spacing w:after="0"/>
        <w:jc w:val="both"/>
        <w:rPr>
          <w:lang w:val="mk-MK"/>
        </w:rPr>
      </w:pPr>
      <w:r w:rsidRPr="008662BF">
        <w:rPr>
          <w:lang w:val="mk-MK"/>
        </w:rPr>
        <w:t>Истражувалка о</w:t>
      </w:r>
      <w:r w:rsidR="00E71CCF" w:rsidRPr="008662BF">
        <w:rPr>
          <w:lang w:val="mk-MK"/>
        </w:rPr>
        <w:t>према: Институтот нема единечна истражувачка опрема во вредност од над 50.000 евра. Сепак, тој е опремен со истражувачки инструменти како што се: Кјелдал</w:t>
      </w:r>
      <w:r w:rsidR="000F38DB">
        <w:rPr>
          <w:lang w:val="mk-MK"/>
        </w:rPr>
        <w:t>-</w:t>
      </w:r>
      <w:r w:rsidR="00E71CCF" w:rsidRPr="008662BF">
        <w:rPr>
          <w:lang w:val="mk-MK"/>
        </w:rPr>
        <w:t xml:space="preserve">инструмент Velp (21.800 евра) </w:t>
      </w:r>
      <w:r w:rsidR="000F38DB">
        <w:rPr>
          <w:lang w:val="mk-MK"/>
        </w:rPr>
        <w:t>што</w:t>
      </w:r>
      <w:r w:rsidR="00E71CCF" w:rsidRPr="008662BF">
        <w:rPr>
          <w:lang w:val="mk-MK"/>
        </w:rPr>
        <w:t xml:space="preserve"> се користи за квантитативно одредување на азот содржан во органски супстанции плус азот содржан во неорганските соединенија амонијак и амониум во примероци на вода и седимент и спектроскопски мултиметар S:can (18.000 евра) што се користи за анализа на BOD, COD, BTX, TOC, DOC, нитрати, нитрити, TSS, заматеност итн. Опремен е и со истражувачки инструменти со помала вредност:</w:t>
      </w:r>
    </w:p>
    <w:p w14:paraId="28957570" w14:textId="7CBB286D" w:rsidR="00E71CCF" w:rsidRPr="008662BF" w:rsidRDefault="00E71CCF" w:rsidP="00E71CCF">
      <w:pPr>
        <w:pStyle w:val="ListParagraph"/>
        <w:numPr>
          <w:ilvl w:val="0"/>
          <w:numId w:val="21"/>
        </w:numPr>
        <w:jc w:val="both"/>
        <w:rPr>
          <w:lang w:val="mk-MK"/>
        </w:rPr>
      </w:pPr>
      <w:r w:rsidRPr="008662BF">
        <w:rPr>
          <w:lang w:val="mk-MK"/>
        </w:rPr>
        <w:t>Бинокуларен микроскоп Zeiss (за набљудување и анализа на крлушки и паразити)</w:t>
      </w:r>
    </w:p>
    <w:p w14:paraId="08C700D7" w14:textId="330AD9E8" w:rsidR="00E71CCF" w:rsidRPr="008662BF" w:rsidRDefault="00E71CCF" w:rsidP="00E71CCF">
      <w:pPr>
        <w:pStyle w:val="ListParagraph"/>
        <w:numPr>
          <w:ilvl w:val="0"/>
          <w:numId w:val="21"/>
        </w:numPr>
        <w:jc w:val="both"/>
        <w:rPr>
          <w:lang w:val="mk-MK"/>
        </w:rPr>
      </w:pPr>
      <w:r w:rsidRPr="008662BF">
        <w:rPr>
          <w:lang w:val="mk-MK"/>
        </w:rPr>
        <w:t>Флуоресцентен микроскоп Zeiss (за анализа на бактерии)</w:t>
      </w:r>
    </w:p>
    <w:p w14:paraId="5577DF97" w14:textId="425659F2" w:rsidR="00E71CCF" w:rsidRPr="008662BF" w:rsidRDefault="00E71CCF" w:rsidP="00E71CCF">
      <w:pPr>
        <w:pStyle w:val="ListParagraph"/>
        <w:numPr>
          <w:ilvl w:val="0"/>
          <w:numId w:val="21"/>
        </w:numPr>
        <w:jc w:val="both"/>
        <w:rPr>
          <w:lang w:val="mk-MK"/>
        </w:rPr>
      </w:pPr>
      <w:r w:rsidRPr="008662BF">
        <w:rPr>
          <w:lang w:val="mk-MK"/>
        </w:rPr>
        <w:t>Светлосен микроскоп Zeiss (за набљудување и анализа на макрофити)</w:t>
      </w:r>
    </w:p>
    <w:p w14:paraId="72C9997D" w14:textId="05C56964" w:rsidR="00B10EC0" w:rsidRPr="008662BF" w:rsidRDefault="00B10EC0" w:rsidP="00B10EC0">
      <w:pPr>
        <w:pStyle w:val="ListParagraph"/>
        <w:numPr>
          <w:ilvl w:val="0"/>
          <w:numId w:val="21"/>
        </w:numPr>
        <w:jc w:val="both"/>
        <w:rPr>
          <w:lang w:val="mk-MK"/>
        </w:rPr>
      </w:pPr>
      <w:r w:rsidRPr="008662BF">
        <w:rPr>
          <w:lang w:val="mk-MK"/>
        </w:rPr>
        <w:t>Инвертен микроскоп Zeiss (за набљудување и анализа на риби и паразити)</w:t>
      </w:r>
    </w:p>
    <w:p w14:paraId="3B12575B" w14:textId="77777777" w:rsidR="00B10EC0" w:rsidRPr="008662BF" w:rsidRDefault="00B10EC0" w:rsidP="00B10EC0">
      <w:pPr>
        <w:pStyle w:val="ListParagraph"/>
        <w:numPr>
          <w:ilvl w:val="0"/>
          <w:numId w:val="21"/>
        </w:numPr>
        <w:jc w:val="both"/>
        <w:rPr>
          <w:lang w:val="mk-MK"/>
        </w:rPr>
      </w:pPr>
      <w:r w:rsidRPr="008662BF">
        <w:rPr>
          <w:lang w:val="mk-MK"/>
        </w:rPr>
        <w:t>DIC микроскоп Zeiss (за анализа на алги и дијатоми)</w:t>
      </w:r>
    </w:p>
    <w:p w14:paraId="49AE1D24" w14:textId="0168D7F4" w:rsidR="00B10EC0" w:rsidRPr="008662BF" w:rsidRDefault="00B10EC0" w:rsidP="00B10EC0">
      <w:pPr>
        <w:pStyle w:val="ListParagraph"/>
        <w:numPr>
          <w:ilvl w:val="0"/>
          <w:numId w:val="21"/>
        </w:numPr>
        <w:jc w:val="both"/>
        <w:rPr>
          <w:lang w:val="mk-MK"/>
        </w:rPr>
      </w:pPr>
      <w:r w:rsidRPr="008662BF">
        <w:rPr>
          <w:lang w:val="mk-MK"/>
        </w:rPr>
        <w:t>Читач на микроплочки M965+ (за анализа на токсини и</w:t>
      </w:r>
      <w:r w:rsidR="000F38DB">
        <w:rPr>
          <w:lang w:val="mk-MK"/>
        </w:rPr>
        <w:t xml:space="preserve"> на</w:t>
      </w:r>
      <w:r w:rsidRPr="008662BF">
        <w:rPr>
          <w:lang w:val="mk-MK"/>
        </w:rPr>
        <w:t xml:space="preserve"> други метаболички производи)</w:t>
      </w:r>
    </w:p>
    <w:p w14:paraId="37A0DB2D" w14:textId="2E316F14" w:rsidR="00B10EC0" w:rsidRPr="008662BF" w:rsidRDefault="00B10EC0" w:rsidP="00B10EC0">
      <w:pPr>
        <w:pStyle w:val="ListParagraph"/>
        <w:numPr>
          <w:ilvl w:val="0"/>
          <w:numId w:val="21"/>
        </w:numPr>
        <w:jc w:val="both"/>
        <w:rPr>
          <w:lang w:val="mk-MK"/>
        </w:rPr>
      </w:pPr>
      <w:r w:rsidRPr="008662BF">
        <w:rPr>
          <w:lang w:val="mk-MK"/>
        </w:rPr>
        <w:t>Центрифуга DLAB (за подготовка на примерок)</w:t>
      </w:r>
    </w:p>
    <w:p w14:paraId="310512CF" w14:textId="5BC987A4" w:rsidR="00B10EC0" w:rsidRPr="008662BF" w:rsidRDefault="00B10EC0" w:rsidP="00B10EC0">
      <w:pPr>
        <w:pStyle w:val="ListParagraph"/>
        <w:numPr>
          <w:ilvl w:val="0"/>
          <w:numId w:val="21"/>
        </w:numPr>
        <w:jc w:val="both"/>
        <w:rPr>
          <w:lang w:val="mk-MK"/>
        </w:rPr>
      </w:pPr>
      <w:r w:rsidRPr="008662BF">
        <w:rPr>
          <w:lang w:val="mk-MK"/>
        </w:rPr>
        <w:t>Центрифуга DLAB</w:t>
      </w:r>
      <w:r w:rsidR="000F38DB">
        <w:rPr>
          <w:lang w:val="mk-MK"/>
        </w:rPr>
        <w:t>-</w:t>
      </w:r>
      <w:r w:rsidRPr="008662BF">
        <w:rPr>
          <w:lang w:val="mk-MK"/>
        </w:rPr>
        <w:t>хематокрит (за подготовка на примерок од крв од риби)</w:t>
      </w:r>
    </w:p>
    <w:p w14:paraId="2AAF514A" w14:textId="5D657E7C" w:rsidR="00B10EC0" w:rsidRPr="008662BF" w:rsidRDefault="00B10EC0" w:rsidP="00B10EC0">
      <w:pPr>
        <w:pStyle w:val="ListParagraph"/>
        <w:numPr>
          <w:ilvl w:val="0"/>
          <w:numId w:val="21"/>
        </w:numPr>
        <w:jc w:val="both"/>
        <w:rPr>
          <w:lang w:val="mk-MK"/>
        </w:rPr>
      </w:pPr>
      <w:r w:rsidRPr="008662BF">
        <w:rPr>
          <w:lang w:val="mk-MK"/>
        </w:rPr>
        <w:t>Van Veen Hydrobios багер (за земање примероци од дното)</w:t>
      </w:r>
    </w:p>
    <w:p w14:paraId="22CE3F4E" w14:textId="19B24812" w:rsidR="00B10EC0" w:rsidRPr="008662BF" w:rsidRDefault="00B10EC0" w:rsidP="00B10EC0">
      <w:pPr>
        <w:pStyle w:val="ListParagraph"/>
        <w:numPr>
          <w:ilvl w:val="0"/>
          <w:numId w:val="21"/>
        </w:numPr>
        <w:jc w:val="both"/>
        <w:rPr>
          <w:lang w:val="mk-MK"/>
        </w:rPr>
      </w:pPr>
      <w:r w:rsidRPr="008662BF">
        <w:rPr>
          <w:lang w:val="mk-MK"/>
        </w:rPr>
        <w:t>Ратнер шише за акватична биотехнологија (за земање примероци на вода)</w:t>
      </w:r>
    </w:p>
    <w:p w14:paraId="5D5F4862" w14:textId="67839907" w:rsidR="00B10EC0" w:rsidRPr="008662BF" w:rsidRDefault="00B10EC0" w:rsidP="00B10EC0">
      <w:pPr>
        <w:pStyle w:val="ListParagraph"/>
        <w:numPr>
          <w:ilvl w:val="0"/>
          <w:numId w:val="21"/>
        </w:numPr>
        <w:jc w:val="both"/>
        <w:rPr>
          <w:lang w:val="mk-MK"/>
        </w:rPr>
      </w:pPr>
      <w:r w:rsidRPr="008662BF">
        <w:rPr>
          <w:lang w:val="mk-MK"/>
        </w:rPr>
        <w:t>Ekman-Birge Hydrobios (за земање примероци од седимент за анализа на макрозообентос)</w:t>
      </w:r>
    </w:p>
    <w:p w14:paraId="2B68C885" w14:textId="77777777" w:rsidR="00201A07" w:rsidRPr="008662BF" w:rsidRDefault="00201A07" w:rsidP="007947BF">
      <w:pPr>
        <w:pStyle w:val="Heading4"/>
        <w:spacing w:after="240"/>
        <w:rPr>
          <w:rFonts w:asciiTheme="minorHAnsi" w:hAnsiTheme="minorHAnsi" w:cstheme="minorHAnsi"/>
          <w:lang w:val="mk-MK"/>
        </w:rPr>
      </w:pPr>
      <w:r w:rsidRPr="008662BF">
        <w:rPr>
          <w:rFonts w:asciiTheme="minorHAnsi" w:hAnsiTheme="minorHAnsi" w:cstheme="minorHAnsi"/>
          <w:lang w:val="mk-MK"/>
        </w:rPr>
        <w:lastRenderedPageBreak/>
        <w:t>ЈНУ Институт за старословенска култура – ​​П</w:t>
      </w:r>
      <w:r w:rsidR="009E2032" w:rsidRPr="008662BF">
        <w:rPr>
          <w:rFonts w:asciiTheme="minorHAnsi" w:hAnsiTheme="minorHAnsi" w:cstheme="minorHAnsi"/>
          <w:lang w:val="mk-MK"/>
        </w:rPr>
        <w:t>рилеп</w:t>
      </w:r>
    </w:p>
    <w:p w14:paraId="6DE165E3" w14:textId="3E928E1D" w:rsidR="00DB0E33" w:rsidRPr="008662BF" w:rsidRDefault="00DB0E33" w:rsidP="007947BF">
      <w:pPr>
        <w:jc w:val="both"/>
        <w:rPr>
          <w:lang w:val="mk-MK"/>
        </w:rPr>
      </w:pPr>
      <w:r w:rsidRPr="008662BF">
        <w:rPr>
          <w:lang w:val="mk-MK"/>
        </w:rPr>
        <w:t>Институт за старословенска култура – ​​П</w:t>
      </w:r>
      <w:r w:rsidR="009E2032" w:rsidRPr="008662BF">
        <w:rPr>
          <w:lang w:val="mk-MK"/>
        </w:rPr>
        <w:t xml:space="preserve">рилеп </w:t>
      </w:r>
      <w:r w:rsidRPr="008662BF">
        <w:rPr>
          <w:lang w:val="mk-MK"/>
        </w:rPr>
        <w:t>е јавна научна установа и придружна членка на Универзитетот „Свети Климент Охридски“ во Битола. Основана е во 1979 година и има реализирано голем број научно-истражувачки проекти во областа на хуманистичките науки, главно фокусирани на анализа на материјалното и нематеријалното културно наследство од Централниот Балкан. Голем дел од неговата научно-истражувачка дејност е посветена на истражување на остатоците од минатото човеково делување на подрачјето на споменикот на природата Маркови Кули – Прилеп. Институтот управува со споменикот на природата како што е предвидено со закон (Службен весник на Република Македонија 49/06, стр. 8-11).</w:t>
      </w:r>
    </w:p>
    <w:p w14:paraId="7B0EB1EB" w14:textId="77777777" w:rsidR="004707A7" w:rsidRPr="008662BF" w:rsidRDefault="004707A7" w:rsidP="007947BF">
      <w:pPr>
        <w:spacing w:after="0"/>
        <w:jc w:val="both"/>
        <w:rPr>
          <w:lang w:val="mk-MK"/>
        </w:rPr>
      </w:pPr>
      <w:r w:rsidRPr="008662BF">
        <w:rPr>
          <w:lang w:val="mk-MK"/>
        </w:rPr>
        <w:t xml:space="preserve">Во однос на расположливите истражувачки инфраструктури, направена е огромна колекција на архивски истражувачки податоци (строго проследени со метаподатоци). Податоците се генерално достапни </w:t>
      </w:r>
      <w:r w:rsidR="009E2032" w:rsidRPr="008662BF">
        <w:rPr>
          <w:lang w:val="mk-MK"/>
        </w:rPr>
        <w:t>како</w:t>
      </w:r>
      <w:r w:rsidRPr="008662BF">
        <w:rPr>
          <w:lang w:val="mk-MK"/>
        </w:rPr>
        <w:t>:</w:t>
      </w:r>
    </w:p>
    <w:p w14:paraId="7DCC7955" w14:textId="1762CFF2" w:rsidR="004707A7" w:rsidRPr="008662BF" w:rsidRDefault="004707A7" w:rsidP="004707A7">
      <w:pPr>
        <w:pStyle w:val="ListParagraph"/>
        <w:numPr>
          <w:ilvl w:val="0"/>
          <w:numId w:val="47"/>
        </w:numPr>
        <w:jc w:val="both"/>
        <w:rPr>
          <w:lang w:val="mk-MK"/>
        </w:rPr>
      </w:pPr>
      <w:r w:rsidRPr="008662BF">
        <w:rPr>
          <w:lang w:val="mk-MK"/>
        </w:rPr>
        <w:t>алфанумерички податоци во необработен</w:t>
      </w:r>
      <w:r w:rsidR="000F38DB">
        <w:rPr>
          <w:lang w:val="mk-MK"/>
        </w:rPr>
        <w:t>а</w:t>
      </w:r>
      <w:r w:rsidRPr="008662BF">
        <w:rPr>
          <w:lang w:val="mk-MK"/>
        </w:rPr>
        <w:t xml:space="preserve"> форма</w:t>
      </w:r>
    </w:p>
    <w:p w14:paraId="2857A08D" w14:textId="44D02F7C" w:rsidR="004707A7" w:rsidRPr="008662BF" w:rsidRDefault="004707A7" w:rsidP="004707A7">
      <w:pPr>
        <w:pStyle w:val="ListParagraph"/>
        <w:numPr>
          <w:ilvl w:val="0"/>
          <w:numId w:val="47"/>
        </w:numPr>
        <w:jc w:val="both"/>
        <w:rPr>
          <w:lang w:val="mk-MK"/>
        </w:rPr>
      </w:pPr>
      <w:r w:rsidRPr="008662BF">
        <w:rPr>
          <w:lang w:val="mk-MK"/>
        </w:rPr>
        <w:t>рачно изработена архитектонска документација од големи размери (цртежи, планови, пресеци, фасади)</w:t>
      </w:r>
    </w:p>
    <w:p w14:paraId="44B6FFA3" w14:textId="01BA8736" w:rsidR="004707A7" w:rsidRPr="008662BF" w:rsidRDefault="004707A7" w:rsidP="004707A7">
      <w:pPr>
        <w:pStyle w:val="ListParagraph"/>
        <w:numPr>
          <w:ilvl w:val="0"/>
          <w:numId w:val="47"/>
        </w:numPr>
        <w:jc w:val="both"/>
        <w:rPr>
          <w:lang w:val="mk-MK"/>
        </w:rPr>
      </w:pPr>
      <w:r w:rsidRPr="008662BF">
        <w:rPr>
          <w:lang w:val="mk-MK"/>
        </w:rPr>
        <w:t>фотографии, најчесто достапни во негативи</w:t>
      </w:r>
    </w:p>
    <w:p w14:paraId="3B79F5D1" w14:textId="6BE1C9F4" w:rsidR="004707A7" w:rsidRPr="008662BF" w:rsidRDefault="004707A7" w:rsidP="007947BF">
      <w:pPr>
        <w:jc w:val="both"/>
        <w:rPr>
          <w:lang w:val="mk-MK"/>
        </w:rPr>
      </w:pPr>
      <w:r w:rsidRPr="008662BF">
        <w:rPr>
          <w:lang w:val="mk-MK"/>
        </w:rPr>
        <w:t xml:space="preserve">Сепак, процесот на дигитализација на сите овие податоци е во почетна фаза при што досега дигитализираните податоци се дел од активностите </w:t>
      </w:r>
      <w:r w:rsidR="000F38DB">
        <w:rPr>
          <w:lang w:val="mk-MK"/>
        </w:rPr>
        <w:t>што</w:t>
      </w:r>
      <w:r w:rsidRPr="008662BF">
        <w:rPr>
          <w:lang w:val="mk-MK"/>
        </w:rPr>
        <w:t xml:space="preserve"> се спроведени за изнаоѓање на најефикасна и најпрактична методологија и технологија за оваа цел.</w:t>
      </w:r>
    </w:p>
    <w:p w14:paraId="50D83874" w14:textId="77777777" w:rsidR="00D54EC2" w:rsidRPr="008662BF" w:rsidRDefault="00D54EC2" w:rsidP="007947BF">
      <w:pPr>
        <w:pStyle w:val="ListParagraph"/>
        <w:ind w:left="0"/>
        <w:jc w:val="both"/>
        <w:rPr>
          <w:lang w:val="mk-MK"/>
        </w:rPr>
      </w:pPr>
      <w:r w:rsidRPr="008662BF">
        <w:rPr>
          <w:lang w:val="mk-MK"/>
        </w:rPr>
        <w:t xml:space="preserve">Во текот на последните години, постигнат е голем напредок во потрагата по најдобрата методологија и </w:t>
      </w:r>
      <w:r w:rsidR="000F38DB">
        <w:rPr>
          <w:lang w:val="mk-MK"/>
        </w:rPr>
        <w:t xml:space="preserve">по </w:t>
      </w:r>
      <w:r w:rsidRPr="008662BF">
        <w:rPr>
          <w:lang w:val="mk-MK"/>
        </w:rPr>
        <w:t>соодветна</w:t>
      </w:r>
      <w:r w:rsidR="000F38DB">
        <w:rPr>
          <w:lang w:val="mk-MK"/>
        </w:rPr>
        <w:t>та</w:t>
      </w:r>
      <w:r w:rsidRPr="008662BF">
        <w:rPr>
          <w:lang w:val="mk-MK"/>
        </w:rPr>
        <w:t xml:space="preserve"> технологија што ќе се користи за документирање на архитектонското културно наследство и</w:t>
      </w:r>
      <w:r w:rsidR="000F38DB">
        <w:rPr>
          <w:lang w:val="mk-MK"/>
        </w:rPr>
        <w:t xml:space="preserve"> за</w:t>
      </w:r>
      <w:r w:rsidRPr="008662BF">
        <w:rPr>
          <w:lang w:val="mk-MK"/>
        </w:rPr>
        <w:t xml:space="preserve"> детално премерување на релевантните предели. Ова се постигна со унапредувањето на основните човечки ресурси и интеграција на технологијата и </w:t>
      </w:r>
      <w:r w:rsidR="000F38DB">
        <w:rPr>
          <w:lang w:val="mk-MK"/>
        </w:rPr>
        <w:t xml:space="preserve">со </w:t>
      </w:r>
      <w:r w:rsidRPr="008662BF">
        <w:rPr>
          <w:lang w:val="mk-MK"/>
        </w:rPr>
        <w:t>бесплатно достапните дигитални ресурси. Се</w:t>
      </w:r>
      <w:r w:rsidR="009E2032" w:rsidRPr="008662BF">
        <w:rPr>
          <w:lang w:val="mk-MK"/>
        </w:rPr>
        <w:t xml:space="preserve">то </w:t>
      </w:r>
      <w:r w:rsidRPr="008662BF">
        <w:rPr>
          <w:lang w:val="mk-MK"/>
        </w:rPr>
        <w:t xml:space="preserve">ова е спроведено на национално ниво со поддршка </w:t>
      </w:r>
      <w:r w:rsidR="009E2032" w:rsidRPr="008662BF">
        <w:rPr>
          <w:lang w:val="mk-MK"/>
        </w:rPr>
        <w:t xml:space="preserve">со </w:t>
      </w:r>
      <w:r w:rsidRPr="008662BF">
        <w:rPr>
          <w:lang w:val="mk-MK"/>
        </w:rPr>
        <w:t xml:space="preserve">домашни </w:t>
      </w:r>
      <w:r w:rsidR="009E2032" w:rsidRPr="008662BF">
        <w:rPr>
          <w:lang w:val="mk-MK"/>
        </w:rPr>
        <w:t xml:space="preserve">средства </w:t>
      </w:r>
      <w:r w:rsidRPr="008662BF">
        <w:rPr>
          <w:lang w:val="mk-MK"/>
        </w:rPr>
        <w:t>(</w:t>
      </w:r>
      <w:r w:rsidR="009E2032" w:rsidRPr="008662BF">
        <w:rPr>
          <w:lang w:val="mk-MK"/>
        </w:rPr>
        <w:t xml:space="preserve">од </w:t>
      </w:r>
      <w:r w:rsidRPr="008662BF">
        <w:rPr>
          <w:lang w:val="mk-MK"/>
        </w:rPr>
        <w:t>Министерство за култура и Министерство за образование и наука) и со средства од ЕУ.</w:t>
      </w:r>
    </w:p>
    <w:p w14:paraId="11FA98B4" w14:textId="308E7282" w:rsidR="0008669E" w:rsidRPr="008662BF" w:rsidRDefault="0008669E" w:rsidP="0008669E">
      <w:pPr>
        <w:jc w:val="both"/>
        <w:rPr>
          <w:lang w:val="mk-MK"/>
        </w:rPr>
      </w:pPr>
      <w:r w:rsidRPr="008662BF">
        <w:rPr>
          <w:lang w:val="mk-MK"/>
        </w:rPr>
        <w:t xml:space="preserve">Дел од продуктите од овие активности се достапни како е-инфраструктура со отворен пристап. Развиен е географски информациски систем на интернет за шест населби од римскиот период. DIENDICURE – Дигитални средини за дигитални културни вредности (https://diendicure.mk/) првпат </w:t>
      </w:r>
      <w:r w:rsidR="009E2032" w:rsidRPr="008662BF">
        <w:rPr>
          <w:lang w:val="mk-MK"/>
        </w:rPr>
        <w:t xml:space="preserve">е </w:t>
      </w:r>
      <w:r w:rsidRPr="008662BF">
        <w:rPr>
          <w:lang w:val="mk-MK"/>
        </w:rPr>
        <w:t>воведен во 2018 година. Овој систем треба да се ажурира и надградува годишно во рамки</w:t>
      </w:r>
      <w:r w:rsidR="000F38DB">
        <w:rPr>
          <w:lang w:val="mk-MK"/>
        </w:rPr>
        <w:t>те</w:t>
      </w:r>
      <w:r w:rsidRPr="008662BF">
        <w:rPr>
          <w:lang w:val="mk-MK"/>
        </w:rPr>
        <w:t xml:space="preserve"> на различни проектни активности.</w:t>
      </w:r>
    </w:p>
    <w:p w14:paraId="55C0EDB5" w14:textId="77777777" w:rsidR="0008669E" w:rsidRPr="008662BF" w:rsidRDefault="0008669E" w:rsidP="0008669E">
      <w:pPr>
        <w:pStyle w:val="ListParagraph"/>
        <w:ind w:left="0"/>
        <w:jc w:val="both"/>
        <w:rPr>
          <w:lang w:val="mk-MK"/>
        </w:rPr>
      </w:pPr>
      <w:r w:rsidRPr="008662BF">
        <w:rPr>
          <w:lang w:val="mk-MK"/>
        </w:rPr>
        <w:t>Услуги</w:t>
      </w:r>
      <w:r w:rsidR="009E2032" w:rsidRPr="008662BF">
        <w:rPr>
          <w:lang w:val="mk-MK"/>
        </w:rPr>
        <w:t>те</w:t>
      </w:r>
      <w:r w:rsidRPr="008662BF">
        <w:rPr>
          <w:lang w:val="mk-MK"/>
        </w:rPr>
        <w:t xml:space="preserve"> што се обезбедуваат опфаќаат:</w:t>
      </w:r>
    </w:p>
    <w:p w14:paraId="656C1B0F" w14:textId="77777777" w:rsidR="00926B0F" w:rsidRPr="008662BF" w:rsidRDefault="00926B0F" w:rsidP="00926B0F">
      <w:pPr>
        <w:pStyle w:val="ListParagraph"/>
        <w:numPr>
          <w:ilvl w:val="0"/>
          <w:numId w:val="48"/>
        </w:numPr>
        <w:jc w:val="both"/>
        <w:rPr>
          <w:lang w:val="mk-MK"/>
        </w:rPr>
      </w:pPr>
      <w:r w:rsidRPr="008662BF">
        <w:rPr>
          <w:lang w:val="mk-MK"/>
        </w:rPr>
        <w:t>Истражување на археолошките локалитети и споменици од римскиот и средновековниот период и истражување на нематеријалното културно наследство во Централниот Балкан;</w:t>
      </w:r>
    </w:p>
    <w:p w14:paraId="7F56F446" w14:textId="77777777" w:rsidR="00926B0F" w:rsidRPr="008662BF" w:rsidRDefault="00926B0F" w:rsidP="00926B0F">
      <w:pPr>
        <w:pStyle w:val="ListParagraph"/>
        <w:numPr>
          <w:ilvl w:val="0"/>
          <w:numId w:val="48"/>
        </w:numPr>
        <w:jc w:val="both"/>
        <w:rPr>
          <w:lang w:val="mk-MK"/>
        </w:rPr>
      </w:pPr>
      <w:r w:rsidRPr="008662BF">
        <w:rPr>
          <w:lang w:val="mk-MK"/>
        </w:rPr>
        <w:t>Фотографско истражување со употреба на соодветна опрема за фотографирање од земја и од воздух;</w:t>
      </w:r>
    </w:p>
    <w:p w14:paraId="45E61BDD" w14:textId="77777777" w:rsidR="00926B0F" w:rsidRPr="008662BF" w:rsidRDefault="00926B0F" w:rsidP="00926B0F">
      <w:pPr>
        <w:pStyle w:val="ListParagraph"/>
        <w:numPr>
          <w:ilvl w:val="0"/>
          <w:numId w:val="48"/>
        </w:numPr>
        <w:jc w:val="both"/>
        <w:rPr>
          <w:lang w:val="mk-MK"/>
        </w:rPr>
      </w:pPr>
      <w:r w:rsidRPr="008662BF">
        <w:rPr>
          <w:lang w:val="mk-MK"/>
        </w:rPr>
        <w:t>Топографско и геодетско истражување со користење на вкупна станица;</w:t>
      </w:r>
    </w:p>
    <w:p w14:paraId="27C7BFA2" w14:textId="77777777" w:rsidR="00926B0F" w:rsidRPr="008662BF" w:rsidRDefault="00926B0F" w:rsidP="00926B0F">
      <w:pPr>
        <w:pStyle w:val="ListParagraph"/>
        <w:numPr>
          <w:ilvl w:val="0"/>
          <w:numId w:val="48"/>
        </w:numPr>
        <w:jc w:val="both"/>
        <w:rPr>
          <w:lang w:val="mk-MK"/>
        </w:rPr>
      </w:pPr>
      <w:r w:rsidRPr="008662BF">
        <w:rPr>
          <w:lang w:val="mk-MK"/>
        </w:rPr>
        <w:t>Теренско истражување со користење на горенаведената опрема и технологијата на фотограметрија (IBM – моделирање базирано на слики) низ широк опсег на компјутерски процедури и специфичен софтвер;</w:t>
      </w:r>
    </w:p>
    <w:p w14:paraId="350F753B" w14:textId="77777777" w:rsidR="00926B0F" w:rsidRPr="008662BF" w:rsidRDefault="00926B0F" w:rsidP="00926B0F">
      <w:pPr>
        <w:pStyle w:val="ListParagraph"/>
        <w:numPr>
          <w:ilvl w:val="0"/>
          <w:numId w:val="48"/>
        </w:numPr>
        <w:jc w:val="both"/>
        <w:rPr>
          <w:lang w:val="mk-MK"/>
        </w:rPr>
      </w:pPr>
      <w:r w:rsidRPr="008662BF">
        <w:rPr>
          <w:lang w:val="mk-MK"/>
        </w:rPr>
        <w:lastRenderedPageBreak/>
        <w:t>Имплементација и интеграција на податоци, анализа на просторни и квантитативни податоци со користење на ГИС технологија;</w:t>
      </w:r>
    </w:p>
    <w:p w14:paraId="2D1127EF" w14:textId="77777777" w:rsidR="00926B0F" w:rsidRPr="008662BF" w:rsidRDefault="00926B0F" w:rsidP="00926B0F">
      <w:pPr>
        <w:pStyle w:val="ListParagraph"/>
        <w:numPr>
          <w:ilvl w:val="0"/>
          <w:numId w:val="48"/>
        </w:numPr>
        <w:jc w:val="both"/>
        <w:rPr>
          <w:lang w:val="mk-MK"/>
        </w:rPr>
      </w:pPr>
      <w:r w:rsidRPr="008662BF">
        <w:rPr>
          <w:lang w:val="mk-MK"/>
        </w:rPr>
        <w:t>Масовно складирање на податоци.</w:t>
      </w:r>
    </w:p>
    <w:p w14:paraId="0635CAF4" w14:textId="77777777" w:rsidR="00926B0F" w:rsidRPr="008662BF" w:rsidRDefault="00926B0F" w:rsidP="007947BF">
      <w:pPr>
        <w:jc w:val="both"/>
        <w:rPr>
          <w:lang w:val="mk-MK"/>
        </w:rPr>
      </w:pPr>
      <w:r w:rsidRPr="008662BF">
        <w:rPr>
          <w:lang w:val="mk-MK"/>
        </w:rPr>
        <w:t>Истражувачка опрема: Институтот нема капитална истражувачка опрема. Сегашната вредност на истражувачката опрема се проценува на 18.000 евра.</w:t>
      </w:r>
    </w:p>
    <w:p w14:paraId="58B79EEC" w14:textId="77777777" w:rsidR="009E2032" w:rsidRPr="008662BF" w:rsidRDefault="009E2032" w:rsidP="007947BF">
      <w:pPr>
        <w:jc w:val="both"/>
        <w:rPr>
          <w:lang w:val="mk-MK"/>
        </w:rPr>
      </w:pPr>
    </w:p>
    <w:p w14:paraId="1758AAFD" w14:textId="77777777" w:rsidR="009B0E50" w:rsidRPr="008662BF" w:rsidRDefault="009B0E50" w:rsidP="009B0E50">
      <w:pPr>
        <w:pStyle w:val="Heading3"/>
        <w:numPr>
          <w:ilvl w:val="2"/>
          <w:numId w:val="54"/>
        </w:numPr>
        <w:spacing w:after="240"/>
        <w:rPr>
          <w:rFonts w:asciiTheme="minorHAnsi" w:hAnsiTheme="minorHAnsi"/>
          <w:lang w:val="mk-MK"/>
        </w:rPr>
      </w:pPr>
      <w:bookmarkStart w:id="22" w:name="_Toc86916058"/>
      <w:r w:rsidRPr="008662BF">
        <w:rPr>
          <w:rFonts w:asciiTheme="minorHAnsi" w:hAnsiTheme="minorHAnsi"/>
          <w:lang w:val="mk-MK"/>
        </w:rPr>
        <w:t xml:space="preserve">Универзитет </w:t>
      </w:r>
      <w:r w:rsidR="009E2032" w:rsidRPr="008662BF">
        <w:rPr>
          <w:rFonts w:asciiTheme="minorHAnsi" w:hAnsiTheme="minorHAnsi"/>
          <w:lang w:val="mk-MK"/>
        </w:rPr>
        <w:t>„</w:t>
      </w:r>
      <w:r w:rsidRPr="008662BF">
        <w:rPr>
          <w:rFonts w:asciiTheme="minorHAnsi" w:hAnsiTheme="minorHAnsi"/>
          <w:lang w:val="mk-MK"/>
        </w:rPr>
        <w:t>Мајка Тереза</w:t>
      </w:r>
      <w:r w:rsidR="009E2032" w:rsidRPr="008662BF">
        <w:rPr>
          <w:rFonts w:asciiTheme="minorHAnsi" w:hAnsiTheme="minorHAnsi"/>
          <w:lang w:val="mk-MK"/>
        </w:rPr>
        <w:t xml:space="preserve">“ - </w:t>
      </w:r>
      <w:r w:rsidRPr="008662BF">
        <w:rPr>
          <w:rFonts w:asciiTheme="minorHAnsi" w:hAnsiTheme="minorHAnsi"/>
          <w:lang w:val="mk-MK"/>
        </w:rPr>
        <w:t>Скопје</w:t>
      </w:r>
      <w:bookmarkEnd w:id="22"/>
    </w:p>
    <w:p w14:paraId="3FA46AED" w14:textId="77777777" w:rsidR="009B0E50" w:rsidRPr="008662BF" w:rsidRDefault="009E2032" w:rsidP="007947BF">
      <w:pPr>
        <w:jc w:val="both"/>
        <w:rPr>
          <w:lang w:val="mk-MK"/>
        </w:rPr>
      </w:pPr>
      <w:r w:rsidRPr="008662BF">
        <w:rPr>
          <w:lang w:val="mk-MK"/>
        </w:rPr>
        <w:t xml:space="preserve">Универзитетот „Мајка Тереза“ </w:t>
      </w:r>
      <w:r w:rsidR="009B0E50" w:rsidRPr="008662BF">
        <w:rPr>
          <w:lang w:val="mk-MK"/>
        </w:rPr>
        <w:t>во Скопје е основан во 2016 година. Спроведува наставно-образовна дејност во областа на природните и општествените науки преку своите пет факултети. Имајќи предвид дека е многу млад универзитет, неговата научно-истражувачка дејност е главно ориентирана кон учество на научни конференции и</w:t>
      </w:r>
      <w:r w:rsidR="000F38DB">
        <w:rPr>
          <w:lang w:val="mk-MK"/>
        </w:rPr>
        <w:t xml:space="preserve"> кон</w:t>
      </w:r>
      <w:r w:rsidR="009B0E50" w:rsidRPr="008662BF">
        <w:rPr>
          <w:lang w:val="mk-MK"/>
        </w:rPr>
        <w:t xml:space="preserve"> Програмата на ЕУ во областа на образованието, обуката, младите и спортот за периодот 2014-2021 година (Еразмус+).</w:t>
      </w:r>
    </w:p>
    <w:p w14:paraId="21A6D6B9" w14:textId="77777777" w:rsidR="009B0E50" w:rsidRPr="008662BF" w:rsidRDefault="009B0E50" w:rsidP="007947BF">
      <w:pPr>
        <w:spacing w:after="0"/>
        <w:jc w:val="both"/>
        <w:rPr>
          <w:lang w:val="mk-MK"/>
        </w:rPr>
      </w:pPr>
      <w:r w:rsidRPr="008662BF">
        <w:rPr>
          <w:lang w:val="mk-MK"/>
        </w:rPr>
        <w:t>Идентификувани се следните истражувачки инфраструктури:</w:t>
      </w:r>
    </w:p>
    <w:p w14:paraId="18883BC5" w14:textId="63CBC163" w:rsidR="009B0E50" w:rsidRPr="008662BF" w:rsidRDefault="009B0E50" w:rsidP="009B0E50">
      <w:pPr>
        <w:pStyle w:val="ListParagraph"/>
        <w:numPr>
          <w:ilvl w:val="0"/>
          <w:numId w:val="34"/>
        </w:numPr>
        <w:jc w:val="both"/>
        <w:rPr>
          <w:lang w:val="mk-MK"/>
        </w:rPr>
      </w:pPr>
      <w:r w:rsidRPr="008662BF">
        <w:rPr>
          <w:lang w:val="mk-MK"/>
        </w:rPr>
        <w:t xml:space="preserve">Лабораторија за антропометриски мерења и биомеханичка анализа на Факултетот за општествени науки која во 2020 година е опремена со комплет инструменти за истражување (вкупната набавна вредност изнесуваше 20.000 евра) за следните услуги: проценка на општата физичка состојба на пациентот, утврдување недостатоци, проблеми со држење на телото и асиметрии врз основа на податоци и видеа и </w:t>
      </w:r>
      <w:r w:rsidR="000D487F" w:rsidRPr="008662BF">
        <w:rPr>
          <w:lang w:val="mk-MK"/>
        </w:rPr>
        <w:t xml:space="preserve">определување на влијанието врз способностите на </w:t>
      </w:r>
      <w:r w:rsidRPr="008662BF">
        <w:rPr>
          <w:lang w:val="mk-MK"/>
        </w:rPr>
        <w:t>пациентите</w:t>
      </w:r>
      <w:r w:rsidR="000D487F" w:rsidRPr="008662BF">
        <w:rPr>
          <w:lang w:val="mk-MK"/>
        </w:rPr>
        <w:t xml:space="preserve"> за изведување активности</w:t>
      </w:r>
      <w:r w:rsidRPr="008662BF">
        <w:rPr>
          <w:lang w:val="mk-MK"/>
        </w:rPr>
        <w:t>, ортопедски решенија врз основа на прецизни податоци, спречување на рецидиви, компликации и инволуции итн.</w:t>
      </w:r>
    </w:p>
    <w:p w14:paraId="3D69AFC3" w14:textId="77777777" w:rsidR="001005DC" w:rsidRPr="008662BF" w:rsidRDefault="001005DC" w:rsidP="001005DC">
      <w:pPr>
        <w:pStyle w:val="ListParagraph"/>
        <w:numPr>
          <w:ilvl w:val="0"/>
          <w:numId w:val="34"/>
        </w:numPr>
        <w:jc w:val="both"/>
        <w:rPr>
          <w:lang w:val="mk-MK"/>
        </w:rPr>
      </w:pPr>
      <w:r w:rsidRPr="008662BF">
        <w:rPr>
          <w:lang w:val="mk-MK"/>
        </w:rPr>
        <w:t>Лабораториите за компјутерски науки на Факултетот за информатика вршат различни истражувања од областа на компјутерските науки и инженерството како што се: вештачка интелигенција, компјутерски мрежи, следна генерација на мобилни мрежи, рударење на податоци, машинско учење, математика итн.</w:t>
      </w:r>
    </w:p>
    <w:p w14:paraId="1A88925A" w14:textId="5A12F0D5" w:rsidR="001005DC" w:rsidRPr="008662BF" w:rsidRDefault="001005DC" w:rsidP="001005DC">
      <w:pPr>
        <w:pStyle w:val="ListParagraph"/>
        <w:numPr>
          <w:ilvl w:val="0"/>
          <w:numId w:val="34"/>
        </w:numPr>
        <w:jc w:val="both"/>
        <w:rPr>
          <w:lang w:val="mk-MK"/>
        </w:rPr>
      </w:pPr>
      <w:r w:rsidRPr="008662BF">
        <w:rPr>
          <w:lang w:val="mk-MK"/>
        </w:rPr>
        <w:t>ИТ</w:t>
      </w:r>
      <w:r w:rsidR="000F38DB">
        <w:rPr>
          <w:lang w:val="mk-MK"/>
        </w:rPr>
        <w:t>-ц</w:t>
      </w:r>
      <w:r w:rsidRPr="008662BF">
        <w:rPr>
          <w:lang w:val="mk-MK"/>
        </w:rPr>
        <w:t>ентарот на Градежно-архитектонскиот факултет се занимава со проектирање и анализа на конструкции, архитектонско проектирање и исцртување.</w:t>
      </w:r>
    </w:p>
    <w:p w14:paraId="04633741" w14:textId="77777777" w:rsidR="001005DC" w:rsidRPr="008662BF" w:rsidRDefault="001005DC" w:rsidP="001005DC">
      <w:pPr>
        <w:pStyle w:val="ListParagraph"/>
        <w:numPr>
          <w:ilvl w:val="0"/>
          <w:numId w:val="34"/>
        </w:numPr>
        <w:jc w:val="both"/>
        <w:rPr>
          <w:lang w:val="mk-MK"/>
        </w:rPr>
      </w:pPr>
      <w:r w:rsidRPr="008662BF">
        <w:rPr>
          <w:lang w:val="mk-MK"/>
        </w:rPr>
        <w:t>Факултетот за технолошки науки врши квалитативни и квантитативни анализи на примероци од храна, хемиски процеси, развој и валидација на методи.</w:t>
      </w:r>
    </w:p>
    <w:p w14:paraId="6D4B60B3" w14:textId="23ADF538" w:rsidR="001005DC" w:rsidRPr="008662BF" w:rsidRDefault="001005DC" w:rsidP="001005DC">
      <w:pPr>
        <w:pStyle w:val="ListParagraph"/>
        <w:numPr>
          <w:ilvl w:val="0"/>
          <w:numId w:val="34"/>
        </w:numPr>
        <w:jc w:val="both"/>
        <w:rPr>
          <w:lang w:val="mk-MK"/>
        </w:rPr>
      </w:pPr>
      <w:r w:rsidRPr="008662BF">
        <w:rPr>
          <w:lang w:val="mk-MK"/>
        </w:rPr>
        <w:t xml:space="preserve">Факултетот за технички науки користи мали истражувачки инструменти за едукативни активности: симулации на патниот сообраќај до најситни детали </w:t>
      </w:r>
      <w:r w:rsidR="000F38DB">
        <w:rPr>
          <w:rFonts w:cstheme="minorHAnsi"/>
          <w:lang w:val="mk-MK"/>
        </w:rPr>
        <w:t>–</w:t>
      </w:r>
      <w:r w:rsidRPr="008662BF">
        <w:rPr>
          <w:lang w:val="mk-MK"/>
        </w:rPr>
        <w:t xml:space="preserve"> макроскопски, симулации за сообраќајни анализи, прогнози и управување со податоци врз основа на ГИС на градско, регионално или национално ниво. За испитување на електронски делови што се сметаат за неисправни се користи осцилоскоп, што исто така се користи и за испитување на нови електрични кола во поглед на нивниот напон и грешки во дизајнот. </w:t>
      </w:r>
    </w:p>
    <w:p w14:paraId="7FC993AE" w14:textId="77777777" w:rsidR="001005DC" w:rsidRPr="008662BF" w:rsidRDefault="001005DC" w:rsidP="007947BF">
      <w:pPr>
        <w:jc w:val="both"/>
        <w:rPr>
          <w:lang w:val="mk-MK"/>
        </w:rPr>
      </w:pPr>
      <w:r w:rsidRPr="008662BF">
        <w:rPr>
          <w:lang w:val="mk-MK"/>
        </w:rPr>
        <w:t xml:space="preserve">Истражувачка опрема: Универзитетот нема капитална истражувачка опрема. Опремен е со истражувачки инструменти од мала вредност главно наменети за образовни цели. </w:t>
      </w:r>
    </w:p>
    <w:p w14:paraId="733386B3" w14:textId="77777777" w:rsidR="007947BF" w:rsidRPr="008662BF" w:rsidRDefault="007947BF" w:rsidP="007947BF">
      <w:pPr>
        <w:jc w:val="both"/>
        <w:rPr>
          <w:lang w:val="mk-MK"/>
        </w:rPr>
      </w:pPr>
    </w:p>
    <w:p w14:paraId="1AC3710C" w14:textId="77777777" w:rsidR="00CE4140" w:rsidRPr="008662BF" w:rsidRDefault="00CE4140" w:rsidP="00CE4140">
      <w:pPr>
        <w:pStyle w:val="Heading3"/>
        <w:numPr>
          <w:ilvl w:val="2"/>
          <w:numId w:val="54"/>
        </w:numPr>
        <w:spacing w:after="240"/>
        <w:rPr>
          <w:rFonts w:asciiTheme="minorHAnsi" w:hAnsiTheme="minorHAnsi"/>
          <w:lang w:val="mk-MK"/>
        </w:rPr>
      </w:pPr>
      <w:bookmarkStart w:id="23" w:name="_Toc86916059"/>
      <w:r w:rsidRPr="008662BF">
        <w:rPr>
          <w:rFonts w:asciiTheme="minorHAnsi" w:hAnsiTheme="minorHAnsi"/>
          <w:lang w:val="mk-MK"/>
        </w:rPr>
        <w:lastRenderedPageBreak/>
        <w:t>Институт за современи композити и роботика</w:t>
      </w:r>
      <w:bookmarkEnd w:id="23"/>
    </w:p>
    <w:p w14:paraId="56D4A21D" w14:textId="63A53704" w:rsidR="00CE4140" w:rsidRPr="008662BF" w:rsidRDefault="00CE4140" w:rsidP="007947BF">
      <w:pPr>
        <w:jc w:val="both"/>
        <w:rPr>
          <w:lang w:val="mk-MK"/>
        </w:rPr>
      </w:pPr>
      <w:r w:rsidRPr="008662BF">
        <w:rPr>
          <w:lang w:val="mk-MK"/>
        </w:rPr>
        <w:t xml:space="preserve">Институтот за современи композити и роботика е приватна институција чија мисија е да изгради соодветна истражувачка инфраструктура </w:t>
      </w:r>
      <w:r w:rsidR="000F38DB">
        <w:rPr>
          <w:lang w:val="mk-MK"/>
        </w:rPr>
        <w:t>што</w:t>
      </w:r>
      <w:r w:rsidRPr="008662BF">
        <w:rPr>
          <w:lang w:val="mk-MK"/>
        </w:rPr>
        <w:t xml:space="preserve"> ќе ја развие основната и применетата наука во областа на современите композити и роботиката преку интердисциплинарен пристап. Ова ќе се постигне преку јасна и фокусирана програма за работа, </w:t>
      </w:r>
      <w:r w:rsidR="00EA1B48">
        <w:rPr>
          <w:lang w:val="mk-MK"/>
        </w:rPr>
        <w:t xml:space="preserve">со </w:t>
      </w:r>
      <w:r w:rsidRPr="008662BF">
        <w:rPr>
          <w:lang w:val="mk-MK"/>
        </w:rPr>
        <w:t xml:space="preserve">привлекување и градење висококвалификуван истражувачки кадар и </w:t>
      </w:r>
      <w:r w:rsidR="00EA1B48">
        <w:rPr>
          <w:lang w:val="mk-MK"/>
        </w:rPr>
        <w:t xml:space="preserve">со </w:t>
      </w:r>
      <w:r w:rsidRPr="008662BF">
        <w:rPr>
          <w:lang w:val="mk-MK"/>
        </w:rPr>
        <w:t>постојан развој на истражувачката инфраструктура, следејќи ги глобалните трендови во развојот на современите композити и роботиката. Институтот е ориентиран кон соработка со водечките светски институти во областа на напредни композити и роботика.</w:t>
      </w:r>
    </w:p>
    <w:p w14:paraId="365C1AB0" w14:textId="543C6DD7" w:rsidR="005C7180" w:rsidRPr="008662BF" w:rsidRDefault="000D487F" w:rsidP="005C7180">
      <w:pPr>
        <w:jc w:val="both"/>
        <w:rPr>
          <w:lang w:val="mk-MK"/>
        </w:rPr>
      </w:pPr>
      <w:r w:rsidRPr="008662BF">
        <w:rPr>
          <w:lang w:val="mk-MK"/>
        </w:rPr>
        <w:t>Услуги што се обезбедуваат: с</w:t>
      </w:r>
      <w:r w:rsidR="005C7180" w:rsidRPr="008662BF">
        <w:rPr>
          <w:lang w:val="mk-MK"/>
        </w:rPr>
        <w:t>ечење на пре</w:t>
      </w:r>
      <w:r w:rsidR="00EA1B48">
        <w:rPr>
          <w:lang w:val="mk-MK"/>
        </w:rPr>
        <w:t>т</w:t>
      </w:r>
      <w:r w:rsidR="005C7180" w:rsidRPr="008662BF">
        <w:rPr>
          <w:lang w:val="mk-MK"/>
        </w:rPr>
        <w:t>печат со различна ширина од 6,35mm до 300mm; производство на композитни плочи, цевки, сложени делови со роботски машини AFP/ATL; методи на испитување за утврдување на содржината на составните делови, содржината на испарливи материи на композитните материјали; определување на порозност со оптичка микроскопија на композитни материјали; механички испитувања за карактеристики на композитни делови (јачина на истегнување и компресија, 3pbt, ILSS итн.).</w:t>
      </w:r>
    </w:p>
    <w:p w14:paraId="067897D9" w14:textId="77777777" w:rsidR="005C7180" w:rsidRPr="008662BF" w:rsidRDefault="005C7180" w:rsidP="005C7180">
      <w:pPr>
        <w:jc w:val="both"/>
        <w:rPr>
          <w:lang w:val="mk-MK"/>
        </w:rPr>
      </w:pPr>
      <w:r w:rsidRPr="008662BF">
        <w:rPr>
          <w:lang w:val="mk-MK"/>
        </w:rPr>
        <w:t xml:space="preserve">Истражувачка опрема: Институтот располага со капитална истражувачка опрема чија сегашна вредност е проценета на 870.000 евра (набавната вредност изнесува 1,2 милиони евра). Списокот на единечна капитална истражувачка опрема во вредност од над 50.000 евра е даден во </w:t>
      </w:r>
      <w:r w:rsidR="004753FD" w:rsidRPr="008662BF">
        <w:rPr>
          <w:lang w:val="mk-MK"/>
        </w:rPr>
        <w:t>Прилог 1</w:t>
      </w:r>
      <w:r w:rsidRPr="008662BF">
        <w:rPr>
          <w:lang w:val="mk-MK"/>
        </w:rPr>
        <w:t>.</w:t>
      </w:r>
    </w:p>
    <w:p w14:paraId="5B66255D" w14:textId="77777777" w:rsidR="005C7180" w:rsidRPr="008662BF" w:rsidRDefault="005C7180" w:rsidP="007947BF">
      <w:pPr>
        <w:pStyle w:val="Heading3"/>
        <w:spacing w:after="240"/>
        <w:rPr>
          <w:rFonts w:asciiTheme="minorHAnsi" w:hAnsiTheme="minorHAnsi"/>
          <w:lang w:val="mk-MK"/>
        </w:rPr>
      </w:pPr>
    </w:p>
    <w:p w14:paraId="78B45033" w14:textId="77777777" w:rsidR="005C7180" w:rsidRPr="008662BF" w:rsidRDefault="005C7180" w:rsidP="005C7180">
      <w:pPr>
        <w:pStyle w:val="Heading3"/>
        <w:numPr>
          <w:ilvl w:val="2"/>
          <w:numId w:val="54"/>
        </w:numPr>
        <w:spacing w:after="240"/>
        <w:rPr>
          <w:rFonts w:asciiTheme="minorHAnsi" w:hAnsiTheme="minorHAnsi"/>
          <w:lang w:val="mk-MK"/>
        </w:rPr>
      </w:pPr>
      <w:bookmarkStart w:id="24" w:name="_Toc86916060"/>
      <w:r w:rsidRPr="008662BF">
        <w:rPr>
          <w:rFonts w:asciiTheme="minorHAnsi" w:hAnsiTheme="minorHAnsi"/>
          <w:lang w:val="mk-MK"/>
        </w:rPr>
        <w:t>Универзитет на Југоисточна Европа</w:t>
      </w:r>
      <w:bookmarkEnd w:id="24"/>
    </w:p>
    <w:p w14:paraId="3875B88D" w14:textId="77777777" w:rsidR="005C7180" w:rsidRPr="008662BF" w:rsidRDefault="005C7180" w:rsidP="007947BF">
      <w:pPr>
        <w:pStyle w:val="Heading5"/>
        <w:spacing w:after="240"/>
        <w:rPr>
          <w:rFonts w:asciiTheme="minorHAnsi" w:hAnsiTheme="minorHAnsi"/>
          <w:lang w:val="mk-MK"/>
        </w:rPr>
      </w:pPr>
      <w:r w:rsidRPr="008662BF">
        <w:rPr>
          <w:rFonts w:asciiTheme="minorHAnsi" w:hAnsiTheme="minorHAnsi"/>
          <w:lang w:val="mk-MK"/>
        </w:rPr>
        <w:t xml:space="preserve">Институт </w:t>
      </w:r>
      <w:r w:rsidR="000D487F" w:rsidRPr="008662BF">
        <w:rPr>
          <w:rFonts w:asciiTheme="minorHAnsi" w:hAnsiTheme="minorHAnsi"/>
          <w:lang w:val="mk-MK"/>
        </w:rPr>
        <w:t>„</w:t>
      </w:r>
      <w:r w:rsidRPr="008662BF">
        <w:rPr>
          <w:rFonts w:asciiTheme="minorHAnsi" w:hAnsiTheme="minorHAnsi"/>
          <w:lang w:val="mk-MK"/>
        </w:rPr>
        <w:t>Макс ван дер Штул</w:t>
      </w:r>
      <w:r w:rsidR="000D487F" w:rsidRPr="008662BF">
        <w:rPr>
          <w:rFonts w:asciiTheme="minorHAnsi" w:hAnsiTheme="minorHAnsi"/>
          <w:lang w:val="mk-MK"/>
        </w:rPr>
        <w:t>“</w:t>
      </w:r>
    </w:p>
    <w:p w14:paraId="1735D52A" w14:textId="77777777" w:rsidR="002227A5" w:rsidRPr="008662BF" w:rsidRDefault="002227A5" w:rsidP="007947BF">
      <w:pPr>
        <w:spacing w:after="0"/>
        <w:jc w:val="both"/>
        <w:rPr>
          <w:lang w:val="mk-MK"/>
        </w:rPr>
      </w:pPr>
      <w:r w:rsidRPr="008662BF">
        <w:rPr>
          <w:lang w:val="mk-MK"/>
        </w:rPr>
        <w:t xml:space="preserve">Институтот „Макс ван дер Штул“ (МВДШ) е научен институт во рамките на Универзитетот на Југоисточна Европа, </w:t>
      </w:r>
      <w:r w:rsidR="000D487F" w:rsidRPr="008662BF">
        <w:rPr>
          <w:lang w:val="mk-MK"/>
        </w:rPr>
        <w:t>што</w:t>
      </w:r>
      <w:r w:rsidRPr="008662BF">
        <w:rPr>
          <w:lang w:val="mk-MK"/>
        </w:rPr>
        <w:t xml:space="preserve"> се фокусира на интердисциплинарните области на информатичките и комуникациските технологии,</w:t>
      </w:r>
      <w:r w:rsidR="00EA1B48">
        <w:rPr>
          <w:lang w:val="mk-MK"/>
        </w:rPr>
        <w:t xml:space="preserve"> на</w:t>
      </w:r>
      <w:r w:rsidRPr="008662BF">
        <w:rPr>
          <w:lang w:val="mk-MK"/>
        </w:rPr>
        <w:t xml:space="preserve"> општествени</w:t>
      </w:r>
      <w:r w:rsidR="000D487F" w:rsidRPr="008662BF">
        <w:rPr>
          <w:lang w:val="mk-MK"/>
        </w:rPr>
        <w:t>те</w:t>
      </w:r>
      <w:r w:rsidRPr="008662BF">
        <w:rPr>
          <w:lang w:val="mk-MK"/>
        </w:rPr>
        <w:t xml:space="preserve"> науки и економија</w:t>
      </w:r>
      <w:r w:rsidR="000D487F" w:rsidRPr="008662BF">
        <w:rPr>
          <w:lang w:val="mk-MK"/>
        </w:rPr>
        <w:t>та</w:t>
      </w:r>
      <w:r w:rsidRPr="008662BF">
        <w:rPr>
          <w:lang w:val="mk-MK"/>
        </w:rPr>
        <w:t>. Во однос на истражувачката инфраструктура, постојат три главни лаборатории</w:t>
      </w:r>
      <w:r w:rsidR="00EA1B48">
        <w:rPr>
          <w:lang w:val="mk-MK"/>
        </w:rPr>
        <w:t xml:space="preserve"> што се</w:t>
      </w:r>
      <w:r w:rsidRPr="008662BF">
        <w:rPr>
          <w:lang w:val="mk-MK"/>
        </w:rPr>
        <w:t xml:space="preserve"> организирани во рамките на Институтот </w:t>
      </w:r>
      <w:r w:rsidR="000D487F" w:rsidRPr="008662BF">
        <w:rPr>
          <w:lang w:val="mk-MK"/>
        </w:rPr>
        <w:t>„</w:t>
      </w:r>
      <w:r w:rsidRPr="008662BF">
        <w:rPr>
          <w:lang w:val="mk-MK"/>
        </w:rPr>
        <w:t>Макс ван дер Штул</w:t>
      </w:r>
      <w:r w:rsidR="000D487F" w:rsidRPr="008662BF">
        <w:rPr>
          <w:lang w:val="mk-MK"/>
        </w:rPr>
        <w:t>“</w:t>
      </w:r>
      <w:r w:rsidRPr="008662BF">
        <w:rPr>
          <w:lang w:val="mk-MK"/>
        </w:rPr>
        <w:t>: Лабораторија за група за дистрибуирани системи и наука за податоци</w:t>
      </w:r>
      <w:r w:rsidR="002943B9" w:rsidRPr="008662BF">
        <w:rPr>
          <w:lang w:val="mk-MK"/>
        </w:rPr>
        <w:t xml:space="preserve"> (ГДС)</w:t>
      </w:r>
      <w:r w:rsidRPr="008662BF">
        <w:rPr>
          <w:lang w:val="mk-MK"/>
        </w:rPr>
        <w:t xml:space="preserve">, Лабораторија за група за животна средина и здравје </w:t>
      </w:r>
      <w:r w:rsidR="002943B9" w:rsidRPr="008662BF">
        <w:rPr>
          <w:lang w:val="mk-MK"/>
        </w:rPr>
        <w:t xml:space="preserve">(ГЖСЗ) </w:t>
      </w:r>
      <w:r w:rsidRPr="008662BF">
        <w:rPr>
          <w:lang w:val="mk-MK"/>
        </w:rPr>
        <w:t>и Лабораторија за виртуелна и проширена реалност.</w:t>
      </w:r>
    </w:p>
    <w:p w14:paraId="073F5ADE" w14:textId="77777777" w:rsidR="002227A5" w:rsidRPr="009D131E" w:rsidRDefault="002227A5" w:rsidP="002227A5">
      <w:pPr>
        <w:pStyle w:val="ListParagraph"/>
        <w:numPr>
          <w:ilvl w:val="0"/>
          <w:numId w:val="35"/>
        </w:numPr>
        <w:pBdr>
          <w:top w:val="nil"/>
          <w:left w:val="nil"/>
          <w:bottom w:val="nil"/>
          <w:right w:val="nil"/>
          <w:between w:val="nil"/>
        </w:pBdr>
        <w:jc w:val="both"/>
        <w:rPr>
          <w:rFonts w:eastAsia="Calibri" w:cs="Calibri"/>
          <w:lang w:val="mk-MK"/>
        </w:rPr>
      </w:pPr>
      <w:r w:rsidRPr="009D131E">
        <w:rPr>
          <w:lang w:val="mk-MK"/>
        </w:rPr>
        <w:t>Лабораторијата за дистрибуирани системи и наука за податоци</w:t>
      </w:r>
      <w:r w:rsidRPr="009D131E">
        <w:rPr>
          <w:rFonts w:eastAsia="Calibri" w:cs="Calibri"/>
          <w:lang w:val="mk-MK"/>
        </w:rPr>
        <w:t xml:space="preserve"> е опремен со </w:t>
      </w:r>
      <w:r w:rsidR="009224D2" w:rsidRPr="009D131E">
        <w:rPr>
          <w:rFonts w:eastAsia="Calibri" w:cs="Calibri"/>
          <w:lang w:val="mk-MK"/>
        </w:rPr>
        <w:t xml:space="preserve">тестен систем за </w:t>
      </w:r>
      <w:r w:rsidRPr="009D131E">
        <w:rPr>
          <w:rFonts w:eastAsia="Calibri" w:cs="Calibri"/>
          <w:lang w:val="mk-MK"/>
        </w:rPr>
        <w:t>безжична вмрежена мрежа за истражувачки цели. Главните услуги што се обезбедуваат за корисниците на истражувачката инфраструктура се: пристап до интернет преку безжични мрежи, експериментирање во реална производствена безжична вмрежена мрежа и испитување и развој на прототипи.</w:t>
      </w:r>
    </w:p>
    <w:p w14:paraId="248DA960" w14:textId="77777777" w:rsidR="002943B9" w:rsidRPr="009D131E" w:rsidRDefault="002943B9" w:rsidP="002943B9">
      <w:pPr>
        <w:pStyle w:val="ListParagraph"/>
        <w:numPr>
          <w:ilvl w:val="0"/>
          <w:numId w:val="35"/>
        </w:numPr>
        <w:pBdr>
          <w:top w:val="nil"/>
          <w:left w:val="nil"/>
          <w:bottom w:val="nil"/>
          <w:right w:val="nil"/>
          <w:between w:val="nil"/>
        </w:pBdr>
        <w:jc w:val="both"/>
        <w:rPr>
          <w:rFonts w:eastAsia="Calibri" w:cs="Calibri"/>
          <w:lang w:val="mk-MK"/>
        </w:rPr>
      </w:pPr>
      <w:r w:rsidRPr="009D131E">
        <w:rPr>
          <w:lang w:val="mk-MK"/>
        </w:rPr>
        <w:t xml:space="preserve">Лабораторија за животна средина и здравје </w:t>
      </w:r>
      <w:r w:rsidRPr="009D131E">
        <w:rPr>
          <w:rFonts w:eastAsia="Calibri" w:cs="Calibri"/>
          <w:lang w:val="mk-MK"/>
        </w:rPr>
        <w:t>е опременa со одржлив тестен систем за ниски емисии. Реалниот тестен систем во производството се состои од соларни фотоволтаични постројки (100 kWp и 15 kWp),</w:t>
      </w:r>
      <w:r w:rsidR="00EA1B48">
        <w:rPr>
          <w:rFonts w:eastAsia="Calibri" w:cs="Calibri"/>
          <w:lang w:val="mk-MK"/>
        </w:rPr>
        <w:t xml:space="preserve"> од</w:t>
      </w:r>
      <w:r w:rsidRPr="009D131E">
        <w:rPr>
          <w:rFonts w:eastAsia="Calibri" w:cs="Calibri"/>
          <w:lang w:val="mk-MK"/>
        </w:rPr>
        <w:t xml:space="preserve"> контролиран механички систем за вентилација, </w:t>
      </w:r>
      <w:r w:rsidR="00EA1B48">
        <w:rPr>
          <w:rFonts w:eastAsia="Calibri" w:cs="Calibri"/>
          <w:lang w:val="mk-MK"/>
        </w:rPr>
        <w:t xml:space="preserve">од </w:t>
      </w:r>
      <w:r w:rsidRPr="009D131E">
        <w:rPr>
          <w:rFonts w:eastAsia="Calibri" w:cs="Calibri"/>
          <w:lang w:val="mk-MK"/>
        </w:rPr>
        <w:t>геотермална топлинска пумпа,</w:t>
      </w:r>
      <w:r w:rsidR="00EA1B48">
        <w:rPr>
          <w:rFonts w:eastAsia="Calibri" w:cs="Calibri"/>
          <w:lang w:val="mk-MK"/>
        </w:rPr>
        <w:t xml:space="preserve"> од</w:t>
      </w:r>
      <w:r w:rsidRPr="009D131E">
        <w:rPr>
          <w:rFonts w:eastAsia="Calibri" w:cs="Calibri"/>
          <w:lang w:val="mk-MK"/>
        </w:rPr>
        <w:t xml:space="preserve"> соларен термален систем и</w:t>
      </w:r>
      <w:r w:rsidR="00EA1B48">
        <w:rPr>
          <w:rFonts w:eastAsia="Calibri" w:cs="Calibri"/>
          <w:lang w:val="mk-MK"/>
        </w:rPr>
        <w:t xml:space="preserve"> од</w:t>
      </w:r>
      <w:r w:rsidRPr="009D131E">
        <w:rPr>
          <w:rFonts w:eastAsia="Calibri" w:cs="Calibri"/>
          <w:lang w:val="mk-MK"/>
        </w:rPr>
        <w:t xml:space="preserve"> систем за следење на податоци за евалуација на енергетските перформанси.</w:t>
      </w:r>
    </w:p>
    <w:p w14:paraId="69A7A096" w14:textId="2D4EC5B2" w:rsidR="002943B9" w:rsidRPr="009D131E" w:rsidRDefault="002943B9" w:rsidP="002943B9">
      <w:pPr>
        <w:pStyle w:val="ListParagraph"/>
        <w:numPr>
          <w:ilvl w:val="0"/>
          <w:numId w:val="35"/>
        </w:numPr>
        <w:pBdr>
          <w:top w:val="nil"/>
          <w:left w:val="nil"/>
          <w:bottom w:val="nil"/>
          <w:right w:val="nil"/>
          <w:between w:val="nil"/>
        </w:pBdr>
        <w:jc w:val="both"/>
        <w:rPr>
          <w:rFonts w:eastAsia="Calibri" w:cs="Calibri"/>
          <w:lang w:val="mk-MK"/>
        </w:rPr>
      </w:pPr>
      <w:r w:rsidRPr="009D131E">
        <w:rPr>
          <w:rFonts w:eastAsia="Calibri" w:cs="Calibri"/>
          <w:lang w:val="mk-MK"/>
        </w:rPr>
        <w:lastRenderedPageBreak/>
        <w:t>Лабораторија за в</w:t>
      </w:r>
      <w:r w:rsidR="000D487F" w:rsidRPr="009D131E">
        <w:rPr>
          <w:rFonts w:eastAsia="Calibri" w:cs="Calibri"/>
          <w:lang w:val="mk-MK"/>
        </w:rPr>
        <w:t>иртуелна и проширена реалност: л</w:t>
      </w:r>
      <w:r w:rsidRPr="009D131E">
        <w:rPr>
          <w:rFonts w:eastAsia="Calibri" w:cs="Calibri"/>
          <w:lang w:val="mk-MK"/>
        </w:rPr>
        <w:t xml:space="preserve">абораторијата се користи за обука и </w:t>
      </w:r>
      <w:r w:rsidR="00EA1B48">
        <w:rPr>
          <w:rFonts w:eastAsia="Calibri" w:cs="Calibri"/>
          <w:lang w:val="mk-MK"/>
        </w:rPr>
        <w:t xml:space="preserve">за </w:t>
      </w:r>
      <w:r w:rsidRPr="009D131E">
        <w:rPr>
          <w:rFonts w:eastAsia="Calibri" w:cs="Calibri"/>
          <w:lang w:val="mk-MK"/>
        </w:rPr>
        <w:t xml:space="preserve">создавање на потребниот кадар за институциите и другите засегнати страни </w:t>
      </w:r>
      <w:r w:rsidR="00EA1B48">
        <w:rPr>
          <w:rFonts w:eastAsia="Calibri" w:cs="Calibri"/>
          <w:lang w:val="mk-MK"/>
        </w:rPr>
        <w:t>што</w:t>
      </w:r>
      <w:r w:rsidRPr="009D131E">
        <w:rPr>
          <w:rFonts w:eastAsia="Calibri" w:cs="Calibri"/>
          <w:lang w:val="mk-MK"/>
        </w:rPr>
        <w:t xml:space="preserve"> се занимаваат со управување со кризи. Лабораторијата е во служба и на заедницата на УЈИЕ и може да се користи во текот на наставниот и </w:t>
      </w:r>
      <w:r w:rsidR="00EA1B48">
        <w:rPr>
          <w:rFonts w:eastAsia="Calibri" w:cs="Calibri"/>
          <w:lang w:val="mk-MK"/>
        </w:rPr>
        <w:t xml:space="preserve">на </w:t>
      </w:r>
      <w:r w:rsidRPr="009D131E">
        <w:rPr>
          <w:rFonts w:eastAsia="Calibri" w:cs="Calibri"/>
          <w:lang w:val="mk-MK"/>
        </w:rPr>
        <w:t>истражувачки процес.</w:t>
      </w:r>
    </w:p>
    <w:p w14:paraId="5EC89D17" w14:textId="77777777" w:rsidR="002943B9" w:rsidRPr="009D131E" w:rsidRDefault="002943B9" w:rsidP="009A308F">
      <w:pPr>
        <w:pBdr>
          <w:top w:val="nil"/>
          <w:left w:val="nil"/>
          <w:bottom w:val="nil"/>
          <w:right w:val="nil"/>
          <w:between w:val="nil"/>
        </w:pBdr>
        <w:jc w:val="both"/>
        <w:rPr>
          <w:rFonts w:eastAsia="Calibri" w:cs="Calibri"/>
          <w:lang w:val="mk-MK"/>
        </w:rPr>
      </w:pPr>
      <w:r w:rsidRPr="009D131E">
        <w:rPr>
          <w:rFonts w:eastAsia="Calibri" w:cs="Calibri"/>
          <w:lang w:val="mk-MK"/>
        </w:rPr>
        <w:t>Истражувачка опрема: Институтот нема капитална истражувачка опрема во вредност од над 50.000 евра. Опремен е со мали истражувачки инструменти со вкупна вредност од 18.500 евра. Истражувачките инструменти се наменети за студенти на додипломски, магистерски и докторски студии. Покрај тоа, тестните системи на ГДС и ГЖСЗ се отворени за надворешни корисници, а се обезбедени преку учество во меѓународни програми и програми на ЕУ.</w:t>
      </w:r>
    </w:p>
    <w:p w14:paraId="513F6C32" w14:textId="77777777" w:rsidR="009224D2" w:rsidRPr="008662BF" w:rsidRDefault="009224D2" w:rsidP="007947BF">
      <w:pPr>
        <w:pStyle w:val="Heading5"/>
        <w:spacing w:after="240"/>
        <w:rPr>
          <w:rFonts w:asciiTheme="minorHAnsi" w:hAnsiTheme="minorHAnsi" w:cstheme="minorHAnsi"/>
          <w:lang w:val="mk-MK"/>
        </w:rPr>
      </w:pPr>
      <w:r w:rsidRPr="009D131E">
        <w:rPr>
          <w:rFonts w:asciiTheme="minorHAnsi" w:hAnsiTheme="minorHAnsi" w:cstheme="minorHAnsi"/>
          <w:lang w:val="mk-MK"/>
        </w:rPr>
        <w:t>Институт за животна средина и здравје (ИЖСЗ)</w:t>
      </w:r>
    </w:p>
    <w:p w14:paraId="0926A923" w14:textId="77777777" w:rsidR="009224D2" w:rsidRPr="009D131E" w:rsidRDefault="009224D2" w:rsidP="009224D2">
      <w:pPr>
        <w:jc w:val="both"/>
        <w:rPr>
          <w:lang w:val="mk-MK"/>
        </w:rPr>
      </w:pPr>
      <w:r w:rsidRPr="008662BF">
        <w:rPr>
          <w:lang w:val="mk-MK"/>
        </w:rPr>
        <w:t xml:space="preserve">ИЖСЗ се фокусира првенствено на прашања </w:t>
      </w:r>
      <w:r w:rsidR="00EA1B48">
        <w:rPr>
          <w:lang w:val="mk-MK"/>
        </w:rPr>
        <w:t xml:space="preserve">што се </w:t>
      </w:r>
      <w:r w:rsidRPr="008662BF">
        <w:rPr>
          <w:lang w:val="mk-MK"/>
        </w:rPr>
        <w:t>поврзани со одржување на здравјето и еколошко</w:t>
      </w:r>
      <w:r w:rsidR="009A308F" w:rsidRPr="008662BF">
        <w:rPr>
          <w:lang w:val="mk-MK"/>
        </w:rPr>
        <w:t>то</w:t>
      </w:r>
      <w:r w:rsidRPr="008662BF">
        <w:rPr>
          <w:lang w:val="mk-MK"/>
        </w:rPr>
        <w:t xml:space="preserve"> управување. Мисијата на ИЖСЗ на УЈИЕ е развој на технички и научни информации</w:t>
      </w:r>
      <w:r w:rsidR="00EA1B48">
        <w:rPr>
          <w:lang w:val="mk-MK"/>
        </w:rPr>
        <w:t xml:space="preserve"> што се</w:t>
      </w:r>
      <w:r w:rsidRPr="008662BF">
        <w:rPr>
          <w:lang w:val="mk-MK"/>
        </w:rPr>
        <w:t xml:space="preserve"> поврзани со теми од животната средина и</w:t>
      </w:r>
      <w:r w:rsidR="00EA1B48">
        <w:rPr>
          <w:lang w:val="mk-MK"/>
        </w:rPr>
        <w:t xml:space="preserve"> со</w:t>
      </w:r>
      <w:r w:rsidRPr="008662BF">
        <w:rPr>
          <w:lang w:val="mk-MK"/>
        </w:rPr>
        <w:t xml:space="preserve"> обезбедување обука на човечки ресурси за информирање на општеството за прашања од областа на животната средина и здравјето. Покрај тоа, клучни одговорности се</w:t>
      </w:r>
      <w:r w:rsidR="00D12846">
        <w:rPr>
          <w:lang w:val="mk-MK"/>
        </w:rPr>
        <w:t>:</w:t>
      </w:r>
      <w:r w:rsidRPr="008662BF">
        <w:rPr>
          <w:lang w:val="mk-MK"/>
        </w:rPr>
        <w:t xml:space="preserve"> обезбедување поддршка за процесите на донесување одлуки, поттикнување на заштита</w:t>
      </w:r>
      <w:r w:rsidR="00D12846">
        <w:rPr>
          <w:lang w:val="mk-MK"/>
        </w:rPr>
        <w:t>та</w:t>
      </w:r>
      <w:r w:rsidRPr="008662BF">
        <w:rPr>
          <w:lang w:val="mk-MK"/>
        </w:rPr>
        <w:t xml:space="preserve"> на животната средина и промовирање на одржливоста при користењето на природните </w:t>
      </w:r>
      <w:r w:rsidRPr="009D131E">
        <w:rPr>
          <w:lang w:val="mk-MK"/>
        </w:rPr>
        <w:t>ресурси. ИЖСЗ ја води програмата за еколошка ефикасност на ЈИЕУ и е промотор и оператор на иницијативата за зелена енергија преку тестниот систем за одржлив кампус со ниски емисии на гасови.</w:t>
      </w:r>
    </w:p>
    <w:p w14:paraId="2B335791" w14:textId="77777777" w:rsidR="009224D2" w:rsidRPr="009D131E" w:rsidRDefault="009224D2" w:rsidP="009224D2">
      <w:pPr>
        <w:jc w:val="both"/>
        <w:rPr>
          <w:lang w:val="mk-MK"/>
        </w:rPr>
      </w:pPr>
      <w:r w:rsidRPr="009D131E">
        <w:rPr>
          <w:lang w:val="mk-MK"/>
        </w:rPr>
        <w:t xml:space="preserve">Услуги што се обезбедуваат: тестниот систем за производство </w:t>
      </w:r>
      <w:r w:rsidR="009A308F" w:rsidRPr="009D131E">
        <w:rPr>
          <w:lang w:val="mk-MK"/>
        </w:rPr>
        <w:t xml:space="preserve">се наоѓа </w:t>
      </w:r>
      <w:r w:rsidRPr="009D131E">
        <w:rPr>
          <w:lang w:val="mk-MK"/>
        </w:rPr>
        <w:t xml:space="preserve">во рамките на универзитетскиот кампус (29.000 m2) и се состои од соларни фотоволтаични постројки (100 kWp и 15 kWp), </w:t>
      </w:r>
      <w:r w:rsidR="00D12846">
        <w:rPr>
          <w:lang w:val="mk-MK"/>
        </w:rPr>
        <w:t xml:space="preserve">од </w:t>
      </w:r>
      <w:r w:rsidRPr="009D131E">
        <w:rPr>
          <w:lang w:val="mk-MK"/>
        </w:rPr>
        <w:t>контролиран механички систем за вентилација,</w:t>
      </w:r>
      <w:r w:rsidR="00D12846">
        <w:rPr>
          <w:lang w:val="mk-MK"/>
        </w:rPr>
        <w:t xml:space="preserve"> од</w:t>
      </w:r>
      <w:r w:rsidRPr="009D131E">
        <w:rPr>
          <w:lang w:val="mk-MK"/>
        </w:rPr>
        <w:t xml:space="preserve"> геотермални топлински пумпи, </w:t>
      </w:r>
      <w:r w:rsidR="00D12846">
        <w:rPr>
          <w:lang w:val="mk-MK"/>
        </w:rPr>
        <w:t xml:space="preserve">од </w:t>
      </w:r>
      <w:r w:rsidRPr="009D131E">
        <w:rPr>
          <w:lang w:val="mk-MK"/>
        </w:rPr>
        <w:t>соларен термален систем и</w:t>
      </w:r>
      <w:r w:rsidR="00D12846">
        <w:rPr>
          <w:lang w:val="mk-MK"/>
        </w:rPr>
        <w:t xml:space="preserve"> од</w:t>
      </w:r>
      <w:r w:rsidRPr="009D131E">
        <w:rPr>
          <w:lang w:val="mk-MK"/>
        </w:rPr>
        <w:t xml:space="preserve"> систем за следење податоци (вклучително и 6 паметни броила) за евалуација на енергетските перформанси (производство и потрошувачка). Главната услуга што се обезбедува е производство на енергија и евалуација на енергетските перформанси.</w:t>
      </w:r>
    </w:p>
    <w:p w14:paraId="6BB323D3" w14:textId="77777777" w:rsidR="009224D2" w:rsidRPr="008662BF" w:rsidRDefault="009224D2" w:rsidP="009224D2">
      <w:pPr>
        <w:jc w:val="both"/>
        <w:rPr>
          <w:lang w:val="mk-MK"/>
        </w:rPr>
      </w:pPr>
      <w:r w:rsidRPr="009D131E">
        <w:rPr>
          <w:lang w:val="mk-MK"/>
        </w:rPr>
        <w:t>Вкупната набавна вредност на опремата за истражување</w:t>
      </w:r>
      <w:r w:rsidR="009A308F" w:rsidRPr="009D131E">
        <w:rPr>
          <w:lang w:val="mk-MK"/>
        </w:rPr>
        <w:t xml:space="preserve"> изнесува </w:t>
      </w:r>
      <w:r w:rsidRPr="009D131E">
        <w:rPr>
          <w:lang w:val="mk-MK"/>
        </w:rPr>
        <w:t>70.000 евра</w:t>
      </w:r>
      <w:r w:rsidRPr="008662BF">
        <w:rPr>
          <w:lang w:val="mk-MK"/>
        </w:rPr>
        <w:t xml:space="preserve">. </w:t>
      </w:r>
    </w:p>
    <w:p w14:paraId="527240CD" w14:textId="77777777" w:rsidR="007947BF" w:rsidRPr="008662BF" w:rsidRDefault="007947BF" w:rsidP="007947BF">
      <w:pPr>
        <w:jc w:val="both"/>
        <w:rPr>
          <w:rFonts w:cstheme="minorHAnsi"/>
          <w:lang w:val="mk-MK"/>
        </w:rPr>
      </w:pPr>
    </w:p>
    <w:p w14:paraId="042CC8BA" w14:textId="77777777" w:rsidR="009224D2" w:rsidRPr="008662BF" w:rsidRDefault="009224D2" w:rsidP="009224D2">
      <w:pPr>
        <w:pStyle w:val="Heading4"/>
        <w:numPr>
          <w:ilvl w:val="2"/>
          <w:numId w:val="54"/>
        </w:numPr>
        <w:spacing w:after="240"/>
        <w:rPr>
          <w:rFonts w:asciiTheme="minorHAnsi" w:hAnsiTheme="minorHAnsi" w:cstheme="minorHAnsi"/>
          <w:i w:val="0"/>
          <w:sz w:val="24"/>
          <w:szCs w:val="24"/>
          <w:shd w:val="clear" w:color="auto" w:fill="FFFFFF"/>
          <w:lang w:val="mk-MK"/>
        </w:rPr>
      </w:pPr>
      <w:bookmarkStart w:id="25" w:name="_Toc61096331"/>
      <w:r w:rsidRPr="008662BF">
        <w:rPr>
          <w:rFonts w:asciiTheme="minorHAnsi" w:hAnsiTheme="minorHAnsi" w:cstheme="minorHAnsi"/>
          <w:i w:val="0"/>
          <w:sz w:val="24"/>
          <w:szCs w:val="24"/>
          <w:shd w:val="clear" w:color="auto" w:fill="FFFFFF"/>
          <w:lang w:val="mk-MK"/>
        </w:rPr>
        <w:t>Македонска академија на науките и уметностите (МАНУ)</w:t>
      </w:r>
    </w:p>
    <w:p w14:paraId="451D294A" w14:textId="77777777" w:rsidR="009224D2" w:rsidRPr="008662BF" w:rsidRDefault="009224D2" w:rsidP="007947BF">
      <w:pPr>
        <w:pStyle w:val="Heading5"/>
        <w:spacing w:after="240"/>
        <w:rPr>
          <w:rFonts w:asciiTheme="minorHAnsi" w:hAnsiTheme="minorHAnsi" w:cstheme="minorHAnsi"/>
          <w:lang w:val="mk-MK"/>
        </w:rPr>
      </w:pPr>
      <w:r w:rsidRPr="008662BF">
        <w:rPr>
          <w:rFonts w:asciiTheme="minorHAnsi" w:hAnsiTheme="minorHAnsi" w:cstheme="minorHAnsi"/>
          <w:lang w:val="mk-MK"/>
        </w:rPr>
        <w:t xml:space="preserve">Истражувачки центар за генетско инженерство и биотехнологија „Георги Д. Ефремов“ </w:t>
      </w:r>
    </w:p>
    <w:p w14:paraId="0AC5CBAF" w14:textId="098D19DA" w:rsidR="00FD47CC" w:rsidRPr="008662BF" w:rsidRDefault="00015F9F" w:rsidP="00FD47CC">
      <w:pPr>
        <w:jc w:val="both"/>
        <w:rPr>
          <w:shd w:val="clear" w:color="auto" w:fill="FFFFFF"/>
          <w:lang w:val="mk-MK"/>
        </w:rPr>
      </w:pPr>
      <w:r w:rsidRPr="008662BF">
        <w:rPr>
          <w:rFonts w:cstheme="minorHAnsi"/>
          <w:shd w:val="clear" w:color="auto" w:fill="FFFFFF"/>
          <w:lang w:val="mk-MK"/>
        </w:rPr>
        <w:t>Истражувачкиот центар за ге</w:t>
      </w:r>
      <w:r w:rsidR="00FD47CC" w:rsidRPr="008662BF">
        <w:rPr>
          <w:rFonts w:cstheme="minorHAnsi"/>
          <w:shd w:val="clear" w:color="auto" w:fill="FFFFFF"/>
          <w:lang w:val="mk-MK"/>
        </w:rPr>
        <w:t>нетско инженерство и биотехнологија (</w:t>
      </w:r>
      <w:r w:rsidR="00F95080" w:rsidRPr="008662BF">
        <w:rPr>
          <w:rFonts w:cstheme="minorHAnsi"/>
          <w:shd w:val="clear" w:color="auto" w:fill="FFFFFF"/>
          <w:lang w:val="mk-MK"/>
        </w:rPr>
        <w:t>ИЦГИБ) „Георги Д. Ефремов“ е ос</w:t>
      </w:r>
      <w:r w:rsidR="00FD47CC" w:rsidRPr="008662BF">
        <w:rPr>
          <w:rFonts w:cstheme="minorHAnsi"/>
          <w:shd w:val="clear" w:color="auto" w:fill="FFFFFF"/>
          <w:lang w:val="mk-MK"/>
        </w:rPr>
        <w:t>нован во 1986 година како научна</w:t>
      </w:r>
      <w:r w:rsidR="00F95080" w:rsidRPr="008662BF">
        <w:rPr>
          <w:rFonts w:cstheme="minorHAnsi"/>
          <w:shd w:val="clear" w:color="auto" w:fill="FFFFFF"/>
          <w:lang w:val="mk-MK"/>
        </w:rPr>
        <w:t xml:space="preserve"> единица при Македонската</w:t>
      </w:r>
      <w:r w:rsidR="00F95080" w:rsidRPr="008662BF">
        <w:rPr>
          <w:shd w:val="clear" w:color="auto" w:fill="FFFFFF"/>
          <w:lang w:val="mk-MK"/>
        </w:rPr>
        <w:t xml:space="preserve"> акаде</w:t>
      </w:r>
      <w:r w:rsidR="00FD47CC" w:rsidRPr="008662BF">
        <w:rPr>
          <w:shd w:val="clear" w:color="auto" w:fill="FFFFFF"/>
          <w:lang w:val="mk-MK"/>
        </w:rPr>
        <w:t>мија на науките и уметности</w:t>
      </w:r>
      <w:r w:rsidR="009A308F" w:rsidRPr="008662BF">
        <w:rPr>
          <w:shd w:val="clear" w:color="auto" w:fill="FFFFFF"/>
          <w:lang w:val="mk-MK"/>
        </w:rPr>
        <w:t>те. Основна цел на ИЦГИБ е унап</w:t>
      </w:r>
      <w:r w:rsidR="00FD47CC" w:rsidRPr="008662BF">
        <w:rPr>
          <w:shd w:val="clear" w:color="auto" w:fill="FFFFFF"/>
          <w:lang w:val="mk-MK"/>
        </w:rPr>
        <w:t>редување на научните сознанија во полето на протеинската хемија, молекуларната биологија, генетското инженерство и биотехнологијата, п</w:t>
      </w:r>
      <w:r w:rsidR="00C11F22" w:rsidRPr="008662BF">
        <w:rPr>
          <w:shd w:val="clear" w:color="auto" w:fill="FFFFFF"/>
          <w:lang w:val="mk-MK"/>
        </w:rPr>
        <w:t>реку научни истражувања и едука</w:t>
      </w:r>
      <w:r w:rsidR="00FD47CC" w:rsidRPr="008662BF">
        <w:rPr>
          <w:shd w:val="clear" w:color="auto" w:fill="FFFFFF"/>
          <w:lang w:val="mk-MK"/>
        </w:rPr>
        <w:t xml:space="preserve">тивно-практични курсеви за научници и постдипломци. ИЦГИБ е една од првите институции во Поранешна Југославија </w:t>
      </w:r>
      <w:r w:rsidR="00D12846">
        <w:rPr>
          <w:shd w:val="clear" w:color="auto" w:fill="FFFFFF"/>
          <w:lang w:val="mk-MK"/>
        </w:rPr>
        <w:t>што</w:t>
      </w:r>
      <w:r w:rsidR="00FD47CC" w:rsidRPr="008662BF">
        <w:rPr>
          <w:shd w:val="clear" w:color="auto" w:fill="FFFFFF"/>
          <w:lang w:val="mk-MK"/>
        </w:rPr>
        <w:t xml:space="preserve"> воведе ДНК</w:t>
      </w:r>
      <w:r w:rsidR="00D12846">
        <w:rPr>
          <w:shd w:val="clear" w:color="auto" w:fill="FFFFFF"/>
          <w:lang w:val="mk-MK"/>
        </w:rPr>
        <w:t>-</w:t>
      </w:r>
      <w:r w:rsidR="00FD47CC" w:rsidRPr="008662BF">
        <w:rPr>
          <w:shd w:val="clear" w:color="auto" w:fill="FFFFFF"/>
          <w:lang w:val="mk-MK"/>
        </w:rPr>
        <w:t>технологии и долги години беше предводник во истражувањето, примената и образованието во овие дисциплини во регионот.</w:t>
      </w:r>
    </w:p>
    <w:p w14:paraId="6123BD35" w14:textId="2DD13CA5" w:rsidR="00BF3F86" w:rsidRPr="008662BF" w:rsidRDefault="00FD47CC" w:rsidP="00BF3F86">
      <w:pPr>
        <w:jc w:val="both"/>
        <w:rPr>
          <w:shd w:val="clear" w:color="auto" w:fill="FFFFFF"/>
          <w:lang w:val="mk-MK"/>
        </w:rPr>
      </w:pPr>
      <w:r w:rsidRPr="008662BF">
        <w:rPr>
          <w:shd w:val="clear" w:color="auto" w:fill="FFFFFF"/>
          <w:lang w:val="mk-MK"/>
        </w:rPr>
        <w:lastRenderedPageBreak/>
        <w:t>Многу брзо по своето основање ИЦГИБ почна да ги користи техниките на рекомбнантната ДНК</w:t>
      </w:r>
      <w:r w:rsidR="00D12846">
        <w:rPr>
          <w:shd w:val="clear" w:color="auto" w:fill="FFFFFF"/>
          <w:lang w:val="mk-MK"/>
        </w:rPr>
        <w:t>-</w:t>
      </w:r>
      <w:r w:rsidRPr="008662BF">
        <w:rPr>
          <w:shd w:val="clear" w:color="auto" w:fill="FFFFFF"/>
          <w:lang w:val="mk-MK"/>
        </w:rPr>
        <w:t>технологија во дијагностиката и превенцијата на наследните, малигните и инфективните болести</w:t>
      </w:r>
      <w:r w:rsidR="009A308F" w:rsidRPr="008662BF">
        <w:rPr>
          <w:shd w:val="clear" w:color="auto" w:fill="FFFFFF"/>
          <w:lang w:val="mk-MK"/>
        </w:rPr>
        <w:t>,</w:t>
      </w:r>
      <w:r w:rsidRPr="008662BF">
        <w:rPr>
          <w:shd w:val="clear" w:color="auto" w:fill="FFFFFF"/>
          <w:lang w:val="mk-MK"/>
        </w:rPr>
        <w:t xml:space="preserve"> како и во судската медицина.</w:t>
      </w:r>
      <w:r w:rsidR="00BF3F86" w:rsidRPr="008662BF">
        <w:rPr>
          <w:shd w:val="clear" w:color="auto" w:fill="FFFFFF"/>
          <w:lang w:val="mk-MK"/>
        </w:rPr>
        <w:t xml:space="preserve"> Во текот на сите овие години, истражувачите на ИЦГИБ беа многу активни на полето на „транслационата медицина“ и придонесоа за воведување и имплементација на многу молекуларни методи </w:t>
      </w:r>
      <w:r w:rsidR="00D12846">
        <w:rPr>
          <w:shd w:val="clear" w:color="auto" w:fill="FFFFFF"/>
          <w:lang w:val="mk-MK"/>
        </w:rPr>
        <w:t>што</w:t>
      </w:r>
      <w:r w:rsidR="00BF3F86" w:rsidRPr="008662BF">
        <w:rPr>
          <w:shd w:val="clear" w:color="auto" w:fill="FFFFFF"/>
          <w:lang w:val="mk-MK"/>
        </w:rPr>
        <w:t xml:space="preserve"> сега се дел од рутинските целосни прегледи на пациенти со различни генетски болести. Со континуирана</w:t>
      </w:r>
      <w:r w:rsidR="00D12846">
        <w:rPr>
          <w:shd w:val="clear" w:color="auto" w:fill="FFFFFF"/>
          <w:lang w:val="mk-MK"/>
        </w:rPr>
        <w:t>та</w:t>
      </w:r>
      <w:r w:rsidR="00BF3F86" w:rsidRPr="008662BF">
        <w:rPr>
          <w:shd w:val="clear" w:color="auto" w:fill="FFFFFF"/>
          <w:lang w:val="mk-MK"/>
        </w:rPr>
        <w:t xml:space="preserve"> поддршка на Владата, како и </w:t>
      </w:r>
      <w:r w:rsidR="00D12846">
        <w:rPr>
          <w:shd w:val="clear" w:color="auto" w:fill="FFFFFF"/>
          <w:lang w:val="mk-MK"/>
        </w:rPr>
        <w:t xml:space="preserve">со </w:t>
      </w:r>
      <w:r w:rsidR="00BF3F86" w:rsidRPr="008662BF">
        <w:rPr>
          <w:shd w:val="clear" w:color="auto" w:fill="FFFFFF"/>
          <w:lang w:val="mk-MK"/>
        </w:rPr>
        <w:t>инфраструктурн</w:t>
      </w:r>
      <w:r w:rsidR="00D12846">
        <w:rPr>
          <w:shd w:val="clear" w:color="auto" w:fill="FFFFFF"/>
          <w:lang w:val="mk-MK"/>
        </w:rPr>
        <w:t>иот</w:t>
      </w:r>
      <w:r w:rsidR="00BF3F86" w:rsidRPr="008662BF">
        <w:rPr>
          <w:shd w:val="clear" w:color="auto" w:fill="FFFFFF"/>
          <w:lang w:val="mk-MK"/>
        </w:rPr>
        <w:t xml:space="preserve"> грант од Европската комисија (проект REGPOT, 2009-2012) и </w:t>
      </w:r>
      <w:r w:rsidR="00D12846">
        <w:rPr>
          <w:shd w:val="clear" w:color="auto" w:fill="FFFFFF"/>
          <w:lang w:val="mk-MK"/>
        </w:rPr>
        <w:t xml:space="preserve">со </w:t>
      </w:r>
      <w:r w:rsidR="00BF3F86" w:rsidRPr="008662BF">
        <w:rPr>
          <w:shd w:val="clear" w:color="auto" w:fill="FFFFFF"/>
          <w:lang w:val="mk-MK"/>
        </w:rPr>
        <w:t>бројни меѓународни и национални грантови, ИЦГИБ успева доследно да ја надградува инфраструктурата со современа опрема.</w:t>
      </w:r>
    </w:p>
    <w:p w14:paraId="331E82C8" w14:textId="6893EF04" w:rsidR="00BF3F86" w:rsidRPr="008662BF" w:rsidRDefault="00BF3F86" w:rsidP="00BF3F86">
      <w:pPr>
        <w:jc w:val="both"/>
        <w:rPr>
          <w:shd w:val="clear" w:color="auto" w:fill="FFFFFF"/>
          <w:lang w:val="mk-MK"/>
        </w:rPr>
      </w:pPr>
      <w:r w:rsidRPr="008662BF">
        <w:rPr>
          <w:shd w:val="clear" w:color="auto" w:fill="FFFFFF"/>
          <w:lang w:val="mk-MK"/>
        </w:rPr>
        <w:t xml:space="preserve">Во моментов, ИЦГИБ е главната истражувачка, дијагностичка и едукативна установа во областа на молекуларната медицина, </w:t>
      </w:r>
      <w:r w:rsidR="00D12846">
        <w:rPr>
          <w:shd w:val="clear" w:color="auto" w:fill="FFFFFF"/>
          <w:lang w:val="mk-MK"/>
        </w:rPr>
        <w:t xml:space="preserve">на </w:t>
      </w:r>
      <w:r w:rsidRPr="008662BF">
        <w:rPr>
          <w:shd w:val="clear" w:color="auto" w:fill="FFFFFF"/>
          <w:lang w:val="mk-MK"/>
        </w:rPr>
        <w:t xml:space="preserve">молекуларната дијагностика и </w:t>
      </w:r>
      <w:r w:rsidR="00D12846">
        <w:rPr>
          <w:shd w:val="clear" w:color="auto" w:fill="FFFFFF"/>
          <w:lang w:val="mk-MK"/>
        </w:rPr>
        <w:t xml:space="preserve">на </w:t>
      </w:r>
      <w:r w:rsidRPr="008662BF">
        <w:rPr>
          <w:shd w:val="clear" w:color="auto" w:fill="FFFFFF"/>
          <w:lang w:val="mk-MK"/>
        </w:rPr>
        <w:t>„омикс“ технологиите</w:t>
      </w:r>
      <w:r w:rsidR="00D12846">
        <w:rPr>
          <w:shd w:val="clear" w:color="auto" w:fill="FFFFFF"/>
          <w:lang w:val="mk-MK"/>
        </w:rPr>
        <w:t>,</w:t>
      </w:r>
      <w:r w:rsidRPr="008662BF">
        <w:rPr>
          <w:shd w:val="clear" w:color="auto" w:fill="FFFFFF"/>
          <w:lang w:val="mk-MK"/>
        </w:rPr>
        <w:t xml:space="preserve"> која се здоби со национално, регионално и меѓународно признание. ИЦГИБ е една од ретките институции од </w:t>
      </w:r>
      <w:r w:rsidR="00417197">
        <w:rPr>
          <w:shd w:val="clear" w:color="auto" w:fill="FFFFFF"/>
          <w:lang w:val="mk-MK"/>
        </w:rPr>
        <w:t>Република Северна Македонија</w:t>
      </w:r>
      <w:r w:rsidRPr="008662BF">
        <w:rPr>
          <w:shd w:val="clear" w:color="auto" w:fill="FFFFFF"/>
          <w:lang w:val="mk-MK"/>
        </w:rPr>
        <w:t xml:space="preserve"> што ги исполни критериумите за Центар за извонредност благодарение на својата ценета научно-образовна работа во областа на бионауките.</w:t>
      </w:r>
    </w:p>
    <w:p w14:paraId="348BF50B" w14:textId="77777777" w:rsidR="00BF3F86" w:rsidRPr="008662BF" w:rsidRDefault="009A308F" w:rsidP="00BF3F86">
      <w:pPr>
        <w:jc w:val="both"/>
        <w:rPr>
          <w:shd w:val="clear" w:color="auto" w:fill="FFFFFF"/>
          <w:lang w:val="mk-MK"/>
        </w:rPr>
      </w:pPr>
      <w:r w:rsidRPr="008662BF">
        <w:rPr>
          <w:shd w:val="clear" w:color="auto" w:fill="FFFFFF"/>
          <w:lang w:val="mk-MK"/>
        </w:rPr>
        <w:t>Услуги што се обезбедуваат: у</w:t>
      </w:r>
      <w:r w:rsidR="00BF3F86" w:rsidRPr="008662BF">
        <w:rPr>
          <w:shd w:val="clear" w:color="auto" w:fill="FFFFFF"/>
          <w:lang w:val="mk-MK"/>
        </w:rPr>
        <w:t xml:space="preserve">слугите што се обезбедуваат за корисниците на истражувачката инфраструктура </w:t>
      </w:r>
      <w:r w:rsidRPr="008662BF">
        <w:rPr>
          <w:shd w:val="clear" w:color="auto" w:fill="FFFFFF"/>
          <w:lang w:val="mk-MK"/>
        </w:rPr>
        <w:t>опфаќаат</w:t>
      </w:r>
      <w:r w:rsidR="00BF3F86" w:rsidRPr="008662BF">
        <w:rPr>
          <w:shd w:val="clear" w:color="auto" w:fill="FFFFFF"/>
          <w:lang w:val="mk-MK"/>
        </w:rPr>
        <w:t>:</w:t>
      </w:r>
    </w:p>
    <w:p w14:paraId="78447E49" w14:textId="77777777" w:rsidR="00C11F22" w:rsidRPr="008662BF" w:rsidRDefault="009A308F" w:rsidP="00C11F22">
      <w:pPr>
        <w:pStyle w:val="ListParagraph"/>
        <w:numPr>
          <w:ilvl w:val="0"/>
          <w:numId w:val="51"/>
        </w:numPr>
        <w:spacing w:after="0"/>
        <w:jc w:val="both"/>
        <w:rPr>
          <w:shd w:val="clear" w:color="auto" w:fill="FFFFFF"/>
          <w:lang w:val="mk-MK"/>
        </w:rPr>
      </w:pPr>
      <w:r w:rsidRPr="008662BF">
        <w:rPr>
          <w:shd w:val="clear" w:color="auto" w:fill="FFFFFF"/>
          <w:lang w:val="mk-MK"/>
        </w:rPr>
        <w:t>Истражувања</w:t>
      </w:r>
    </w:p>
    <w:p w14:paraId="76ADA7CF" w14:textId="77777777" w:rsidR="00C11F22" w:rsidRPr="008662BF" w:rsidRDefault="00C11F22" w:rsidP="00C11F22">
      <w:pPr>
        <w:pStyle w:val="ListParagraph"/>
        <w:numPr>
          <w:ilvl w:val="1"/>
          <w:numId w:val="51"/>
        </w:numPr>
        <w:spacing w:after="0"/>
        <w:ind w:left="1077" w:hanging="357"/>
        <w:jc w:val="both"/>
        <w:rPr>
          <w:shd w:val="clear" w:color="auto" w:fill="FFFFFF"/>
          <w:lang w:val="mk-MK"/>
        </w:rPr>
      </w:pPr>
      <w:r w:rsidRPr="008662BF">
        <w:rPr>
          <w:shd w:val="clear" w:color="auto" w:fill="FFFFFF"/>
          <w:lang w:val="mk-MK"/>
        </w:rPr>
        <w:t>Сеопфатни технолошки платформи за истражувачки проекти во областа на молекуларната генетика и геномика, вклуч</w:t>
      </w:r>
      <w:r w:rsidR="009A308F" w:rsidRPr="008662BF">
        <w:rPr>
          <w:shd w:val="clear" w:color="auto" w:fill="FFFFFF"/>
          <w:lang w:val="mk-MK"/>
        </w:rPr>
        <w:t xml:space="preserve">ително и </w:t>
      </w:r>
      <w:r w:rsidRPr="008662BF">
        <w:rPr>
          <w:shd w:val="clear" w:color="auto" w:fill="FFFFFF"/>
          <w:lang w:val="mk-MK"/>
        </w:rPr>
        <w:t xml:space="preserve">биоинформатика на податоци од анализи со секвенционирање од следната генерација (NGS) со висок </w:t>
      </w:r>
      <w:r w:rsidR="008A68AC">
        <w:rPr>
          <w:shd w:val="clear" w:color="auto" w:fill="FFFFFF"/>
          <w:lang w:val="mk-MK"/>
        </w:rPr>
        <w:t xml:space="preserve">проток </w:t>
      </w:r>
    </w:p>
    <w:p w14:paraId="7F0BA29C" w14:textId="77777777" w:rsidR="00C11F22" w:rsidRPr="008662BF" w:rsidRDefault="00C11F22" w:rsidP="00C11F22">
      <w:pPr>
        <w:pStyle w:val="ListParagraph"/>
        <w:numPr>
          <w:ilvl w:val="1"/>
          <w:numId w:val="51"/>
        </w:numPr>
        <w:spacing w:after="0"/>
        <w:ind w:left="1077" w:hanging="357"/>
        <w:jc w:val="both"/>
        <w:rPr>
          <w:shd w:val="clear" w:color="auto" w:fill="FFFFFF"/>
          <w:lang w:val="mk-MK"/>
        </w:rPr>
      </w:pPr>
      <w:r w:rsidRPr="008662BF">
        <w:rPr>
          <w:shd w:val="clear" w:color="auto" w:fill="FFFFFF"/>
          <w:lang w:val="mk-MK"/>
        </w:rPr>
        <w:t xml:space="preserve">Технолошка платформа за истражувачки проекти во областа на протеинската хемија и протеомиката со висок </w:t>
      </w:r>
      <w:r w:rsidR="008A68AC">
        <w:rPr>
          <w:shd w:val="clear" w:color="auto" w:fill="FFFFFF"/>
          <w:lang w:val="mk-MK"/>
        </w:rPr>
        <w:t xml:space="preserve">проток </w:t>
      </w:r>
      <w:r w:rsidRPr="008662BF">
        <w:rPr>
          <w:shd w:val="clear" w:color="auto" w:fill="FFFFFF"/>
          <w:lang w:val="mk-MK"/>
        </w:rPr>
        <w:t xml:space="preserve">(вклучително и биоинформатика на податоци од платформи за протеомика со висок </w:t>
      </w:r>
      <w:r w:rsidR="008A68AC">
        <w:rPr>
          <w:shd w:val="clear" w:color="auto" w:fill="FFFFFF"/>
          <w:lang w:val="mk-MK"/>
        </w:rPr>
        <w:t>проток</w:t>
      </w:r>
      <w:r w:rsidRPr="008662BF">
        <w:rPr>
          <w:shd w:val="clear" w:color="auto" w:fill="FFFFFF"/>
          <w:lang w:val="mk-MK"/>
        </w:rPr>
        <w:t>)</w:t>
      </w:r>
    </w:p>
    <w:p w14:paraId="7C6A48F5" w14:textId="77777777" w:rsidR="00C11F22" w:rsidRPr="008662BF" w:rsidRDefault="00C11F22" w:rsidP="00C11F22">
      <w:pPr>
        <w:pStyle w:val="ListParagraph"/>
        <w:numPr>
          <w:ilvl w:val="1"/>
          <w:numId w:val="51"/>
        </w:numPr>
        <w:spacing w:after="0"/>
        <w:ind w:left="1077" w:hanging="357"/>
        <w:jc w:val="both"/>
        <w:rPr>
          <w:shd w:val="clear" w:color="auto" w:fill="FFFFFF"/>
          <w:lang w:val="mk-MK"/>
        </w:rPr>
      </w:pPr>
      <w:r w:rsidRPr="008662BF">
        <w:rPr>
          <w:shd w:val="clear" w:color="auto" w:fill="FFFFFF"/>
          <w:lang w:val="mk-MK"/>
        </w:rPr>
        <w:t>Огромно практично искуство за подготовка и имплементација на истражувачки проекти во молекуларните бионауки</w:t>
      </w:r>
    </w:p>
    <w:p w14:paraId="147DDCD0" w14:textId="77777777" w:rsidR="00C11F22" w:rsidRPr="008662BF" w:rsidRDefault="00C11F22" w:rsidP="00C11F22">
      <w:pPr>
        <w:pStyle w:val="ListParagraph"/>
        <w:numPr>
          <w:ilvl w:val="0"/>
          <w:numId w:val="51"/>
        </w:numPr>
        <w:spacing w:after="0"/>
        <w:jc w:val="both"/>
        <w:rPr>
          <w:shd w:val="clear" w:color="auto" w:fill="FFFFFF"/>
          <w:lang w:val="mk-MK"/>
        </w:rPr>
      </w:pPr>
      <w:r w:rsidRPr="008662BF">
        <w:rPr>
          <w:shd w:val="clear" w:color="auto" w:fill="FFFFFF"/>
          <w:lang w:val="mk-MK"/>
        </w:rPr>
        <w:t xml:space="preserve">Дијагностика </w:t>
      </w:r>
    </w:p>
    <w:p w14:paraId="3B8CCA24" w14:textId="77777777" w:rsidR="00C11F22" w:rsidRPr="008662BF" w:rsidRDefault="00C11F22" w:rsidP="00C11F22">
      <w:pPr>
        <w:pStyle w:val="ListParagraph"/>
        <w:numPr>
          <w:ilvl w:val="1"/>
          <w:numId w:val="51"/>
        </w:numPr>
        <w:spacing w:after="0"/>
        <w:ind w:left="1077" w:hanging="357"/>
        <w:jc w:val="both"/>
        <w:rPr>
          <w:shd w:val="clear" w:color="auto" w:fill="FFFFFF"/>
          <w:lang w:val="mk-MK"/>
        </w:rPr>
      </w:pPr>
      <w:r w:rsidRPr="008662BF">
        <w:rPr>
          <w:shd w:val="clear" w:color="auto" w:fill="FFFFFF"/>
          <w:lang w:val="mk-MK"/>
        </w:rPr>
        <w:t>Дијагностички услуги за молекуларна генетика (национален референтен центар за молекуларна дијагностика на наследни, малигни и заразни болести)</w:t>
      </w:r>
    </w:p>
    <w:p w14:paraId="233391DC" w14:textId="77777777" w:rsidR="00C11F22" w:rsidRPr="008662BF" w:rsidRDefault="00C11F22" w:rsidP="00C11F22">
      <w:pPr>
        <w:pStyle w:val="ListParagraph"/>
        <w:numPr>
          <w:ilvl w:val="0"/>
          <w:numId w:val="51"/>
        </w:numPr>
        <w:spacing w:after="0"/>
        <w:jc w:val="both"/>
        <w:rPr>
          <w:shd w:val="clear" w:color="auto" w:fill="FFFFFF"/>
          <w:lang w:val="mk-MK"/>
        </w:rPr>
      </w:pPr>
      <w:r w:rsidRPr="008662BF">
        <w:rPr>
          <w:shd w:val="clear" w:color="auto" w:fill="FFFFFF"/>
          <w:lang w:val="mk-MK"/>
        </w:rPr>
        <w:t xml:space="preserve">Образование </w:t>
      </w:r>
    </w:p>
    <w:p w14:paraId="0C6F630A" w14:textId="77777777" w:rsidR="00C11F22" w:rsidRPr="008662BF" w:rsidRDefault="00C11F22" w:rsidP="00C11F22">
      <w:pPr>
        <w:pStyle w:val="ListParagraph"/>
        <w:numPr>
          <w:ilvl w:val="1"/>
          <w:numId w:val="51"/>
        </w:numPr>
        <w:spacing w:after="0"/>
        <w:ind w:left="1077" w:hanging="357"/>
        <w:jc w:val="both"/>
        <w:rPr>
          <w:shd w:val="clear" w:color="auto" w:fill="FFFFFF"/>
          <w:lang w:val="mk-MK"/>
        </w:rPr>
      </w:pPr>
      <w:r w:rsidRPr="008662BF">
        <w:rPr>
          <w:shd w:val="clear" w:color="auto" w:fill="FFFFFF"/>
          <w:lang w:val="mk-MK"/>
        </w:rPr>
        <w:t>Образование за основна и напредна молекуларна генетика, геномика и протеомски анализи за студенти на дипломски и постдипломски студии и здравствени работници од земјата и странство</w:t>
      </w:r>
    </w:p>
    <w:p w14:paraId="2837405D" w14:textId="77777777" w:rsidR="00C11F22" w:rsidRPr="008662BF" w:rsidRDefault="00C11F22" w:rsidP="00C11F22">
      <w:pPr>
        <w:pStyle w:val="ListParagraph"/>
        <w:numPr>
          <w:ilvl w:val="0"/>
          <w:numId w:val="51"/>
        </w:numPr>
        <w:spacing w:after="0"/>
        <w:jc w:val="both"/>
        <w:rPr>
          <w:shd w:val="clear" w:color="auto" w:fill="FFFFFF"/>
          <w:lang w:val="mk-MK"/>
        </w:rPr>
      </w:pPr>
      <w:r w:rsidRPr="008662BF">
        <w:rPr>
          <w:shd w:val="clear" w:color="auto" w:fill="FFFFFF"/>
          <w:lang w:val="mk-MK"/>
        </w:rPr>
        <w:t>Издавачка дејност</w:t>
      </w:r>
    </w:p>
    <w:p w14:paraId="6AACFF6F" w14:textId="4F105105" w:rsidR="00C11F22" w:rsidRPr="008662BF" w:rsidRDefault="00C11F22" w:rsidP="00C11F22">
      <w:pPr>
        <w:pStyle w:val="ListParagraph"/>
        <w:numPr>
          <w:ilvl w:val="1"/>
          <w:numId w:val="51"/>
        </w:numPr>
        <w:spacing w:after="0"/>
        <w:ind w:left="1077" w:hanging="357"/>
        <w:jc w:val="both"/>
        <w:rPr>
          <w:shd w:val="clear" w:color="auto" w:fill="FFFFFF"/>
          <w:lang w:val="mk-MK"/>
        </w:rPr>
      </w:pPr>
      <w:r w:rsidRPr="008662BF">
        <w:rPr>
          <w:shd w:val="clear" w:color="auto" w:fill="FFFFFF"/>
          <w:lang w:val="mk-MK"/>
        </w:rPr>
        <w:t>Уредник и издавач на Балканскиот весник за медицинска генетика (</w:t>
      </w:r>
      <w:r w:rsidRPr="008662BF">
        <w:rPr>
          <w:i/>
          <w:shd w:val="clear" w:color="auto" w:fill="FFFFFF"/>
          <w:lang w:val="mk-MK"/>
        </w:rPr>
        <w:t>Balkan Journal of Medical Genetics</w:t>
      </w:r>
      <w:r w:rsidRPr="008662BF">
        <w:rPr>
          <w:shd w:val="clear" w:color="auto" w:fill="FFFFFF"/>
          <w:lang w:val="mk-MK"/>
        </w:rPr>
        <w:t xml:space="preserve">), меѓународно списание (со фактор на влијание) </w:t>
      </w:r>
      <w:r w:rsidR="00150604">
        <w:rPr>
          <w:shd w:val="clear" w:color="auto" w:fill="FFFFFF"/>
          <w:lang w:val="mk-MK"/>
        </w:rPr>
        <w:t>што</w:t>
      </w:r>
      <w:r w:rsidRPr="008662BF">
        <w:rPr>
          <w:shd w:val="clear" w:color="auto" w:fill="FFFFFF"/>
          <w:lang w:val="mk-MK"/>
        </w:rPr>
        <w:t xml:space="preserve"> објавува трудови на научници од балканските земји од областа на хуманата генетика.</w:t>
      </w:r>
    </w:p>
    <w:p w14:paraId="09D02264" w14:textId="77777777" w:rsidR="009A308F" w:rsidRPr="008662BF" w:rsidRDefault="009A308F" w:rsidP="00F95080">
      <w:pPr>
        <w:jc w:val="both"/>
        <w:rPr>
          <w:shd w:val="clear" w:color="auto" w:fill="FFFFFF"/>
          <w:lang w:val="mk-MK"/>
        </w:rPr>
      </w:pPr>
    </w:p>
    <w:p w14:paraId="10C3FA5F" w14:textId="400106CE" w:rsidR="00F95080" w:rsidRPr="008662BF" w:rsidRDefault="00F95080" w:rsidP="00F95080">
      <w:pPr>
        <w:jc w:val="both"/>
        <w:rPr>
          <w:shd w:val="clear" w:color="auto" w:fill="FFFFFF"/>
          <w:lang w:val="mk-MK"/>
        </w:rPr>
      </w:pPr>
      <w:r w:rsidRPr="008662BF">
        <w:rPr>
          <w:shd w:val="clear" w:color="auto" w:fill="FFFFFF"/>
          <w:lang w:val="mk-MK"/>
        </w:rPr>
        <w:t xml:space="preserve">Истражувачка опрема: ИЦГИБ располага со капитална истражувачка опрема чија сегашна вредност </w:t>
      </w:r>
      <w:r w:rsidR="009A308F" w:rsidRPr="008662BF">
        <w:rPr>
          <w:shd w:val="clear" w:color="auto" w:fill="FFFFFF"/>
          <w:lang w:val="mk-MK"/>
        </w:rPr>
        <w:t xml:space="preserve">е </w:t>
      </w:r>
      <w:r w:rsidRPr="008662BF">
        <w:rPr>
          <w:shd w:val="clear" w:color="auto" w:fill="FFFFFF"/>
          <w:lang w:val="mk-MK"/>
        </w:rPr>
        <w:t>проценета на 411.000 евра (набавната вредност изнесува</w:t>
      </w:r>
      <w:r w:rsidR="00150604">
        <w:rPr>
          <w:shd w:val="clear" w:color="auto" w:fill="FFFFFF"/>
          <w:lang w:val="mk-MK"/>
        </w:rPr>
        <w:t xml:space="preserve"> </w:t>
      </w:r>
      <w:r w:rsidRPr="008662BF">
        <w:rPr>
          <w:shd w:val="clear" w:color="auto" w:fill="FFFFFF"/>
          <w:lang w:val="mk-MK"/>
        </w:rPr>
        <w:t xml:space="preserve">1,87 милиони евра). Лабораториите се опремени со </w:t>
      </w:r>
      <w:r w:rsidR="009A308F" w:rsidRPr="008662BF">
        <w:rPr>
          <w:shd w:val="clear" w:color="auto" w:fill="FFFFFF"/>
          <w:lang w:val="mk-MK"/>
        </w:rPr>
        <w:t xml:space="preserve">различна </w:t>
      </w:r>
      <w:r w:rsidRPr="008662BF">
        <w:rPr>
          <w:shd w:val="clear" w:color="auto" w:fill="FFFFFF"/>
          <w:lang w:val="mk-MK"/>
        </w:rPr>
        <w:t xml:space="preserve">модерна и софистицирана значајна опрема, како што се платформа за секвенционирање од следната генерација, микроарејна платформа, два </w:t>
      </w:r>
      <w:r w:rsidRPr="008662BF">
        <w:rPr>
          <w:shd w:val="clear" w:color="auto" w:fill="FFFFFF"/>
          <w:lang w:val="mk-MK"/>
        </w:rPr>
        <w:lastRenderedPageBreak/>
        <w:t>генетски анализатори, PCR во реално време, неколку термални циклери, капиларна електрофореза, автоматизирана екстракција на нуклеинска киселина и капацитети за култура на ткиво во геномскиот дел и масени спектрометри Synapt G2-SI и MALDI-TOF/TOF со висока дефиниција, анализатор на аминокиселини, HPLC, UPLC и 2D DIGE со скенер за слики со висока резолуција во протеомскиот дел. Списокот на единечна</w:t>
      </w:r>
      <w:r w:rsidR="009A308F" w:rsidRPr="008662BF">
        <w:rPr>
          <w:shd w:val="clear" w:color="auto" w:fill="FFFFFF"/>
          <w:lang w:val="mk-MK"/>
        </w:rPr>
        <w:t xml:space="preserve"> капитална истражувачка опрема с</w:t>
      </w:r>
      <w:r w:rsidRPr="008662BF">
        <w:rPr>
          <w:shd w:val="clear" w:color="auto" w:fill="FFFFFF"/>
          <w:lang w:val="mk-MK"/>
        </w:rPr>
        <w:t xml:space="preserve">о вредност од над 50.000 евра е даден во </w:t>
      </w:r>
      <w:r w:rsidR="004753FD" w:rsidRPr="008662BF">
        <w:rPr>
          <w:shd w:val="clear" w:color="auto" w:fill="FFFFFF"/>
          <w:lang w:val="mk-MK"/>
        </w:rPr>
        <w:t>Прилог 1</w:t>
      </w:r>
      <w:r w:rsidRPr="008662BF">
        <w:rPr>
          <w:shd w:val="clear" w:color="auto" w:fill="FFFFFF"/>
          <w:lang w:val="mk-MK"/>
        </w:rPr>
        <w:t>.</w:t>
      </w:r>
    </w:p>
    <w:p w14:paraId="4968D026" w14:textId="77777777" w:rsidR="00F95080" w:rsidRPr="008662BF" w:rsidRDefault="00F95080" w:rsidP="00F95080">
      <w:pPr>
        <w:jc w:val="both"/>
        <w:rPr>
          <w:shd w:val="clear" w:color="auto" w:fill="FFFFFF"/>
          <w:lang w:val="mk-MK"/>
        </w:rPr>
      </w:pPr>
      <w:r w:rsidRPr="008662BF">
        <w:rPr>
          <w:shd w:val="clear" w:color="auto" w:fill="FFFFFF"/>
          <w:lang w:val="mk-MK"/>
        </w:rPr>
        <w:t xml:space="preserve">Обновувањето на опремата и инфраструктурата на ИЦГИБ ќе овозможи нејзина интеграција во поголеми регионални и истражувачки инфраструктури на ЕУ. </w:t>
      </w:r>
    </w:p>
    <w:p w14:paraId="55062023" w14:textId="77777777" w:rsidR="00D0205F" w:rsidRPr="008662BF" w:rsidRDefault="00D0205F" w:rsidP="007947BF">
      <w:pPr>
        <w:pStyle w:val="Heading5"/>
        <w:spacing w:after="240"/>
        <w:rPr>
          <w:rFonts w:asciiTheme="minorHAnsi" w:hAnsiTheme="minorHAnsi" w:cstheme="minorHAnsi"/>
          <w:shd w:val="clear" w:color="auto" w:fill="FFFFFF"/>
          <w:lang w:val="mk-MK"/>
        </w:rPr>
      </w:pPr>
      <w:r w:rsidRPr="008662BF">
        <w:rPr>
          <w:rFonts w:asciiTheme="minorHAnsi" w:hAnsiTheme="minorHAnsi" w:cstheme="minorHAnsi"/>
          <w:shd w:val="clear" w:color="auto" w:fill="FFFFFF"/>
          <w:lang w:val="mk-MK"/>
        </w:rPr>
        <w:t xml:space="preserve">Истражувачки центар за компјутерски науки и информациски технологии </w:t>
      </w:r>
    </w:p>
    <w:p w14:paraId="670BD2DA" w14:textId="7471A28F" w:rsidR="00D0205F" w:rsidRPr="008662BF" w:rsidRDefault="00D0205F" w:rsidP="007947BF">
      <w:pPr>
        <w:jc w:val="both"/>
        <w:rPr>
          <w:shd w:val="clear" w:color="auto" w:fill="FFFFFF"/>
          <w:lang w:val="mk-MK"/>
        </w:rPr>
      </w:pPr>
      <w:r w:rsidRPr="008662BF">
        <w:rPr>
          <w:shd w:val="clear" w:color="auto" w:fill="FFFFFF"/>
          <w:lang w:val="mk-MK"/>
        </w:rPr>
        <w:t>Истражувачкиот центар за компјутерски науки и информациски технологии при Македонската академија на науките и уметностите во Скопје има компјтерска лабораторија во која работат 10 истражувачи. Центарот одржува ИТ</w:t>
      </w:r>
      <w:r w:rsidR="00150604">
        <w:rPr>
          <w:shd w:val="clear" w:color="auto" w:fill="FFFFFF"/>
          <w:lang w:val="mk-MK"/>
        </w:rPr>
        <w:t>-</w:t>
      </w:r>
      <w:r w:rsidRPr="008662BF">
        <w:rPr>
          <w:shd w:val="clear" w:color="auto" w:fill="FFFFFF"/>
          <w:lang w:val="mk-MK"/>
        </w:rPr>
        <w:t>кластер за заедничко компјутерско истражување во областа на невронауката за ментални болести, предводено од Државниот психијатриски институт во Њујорк на Универзитетот Колумбија. Во рамките на оваа континуирана истражувачка програма, неколку линии на компјутерската наука се насочени кон откривање на биомаркери на шизофренија во тројни примероци (шизофренија, тешка депресија, контроли) од мозо</w:t>
      </w:r>
      <w:r w:rsidR="00D92CF4" w:rsidRPr="008662BF">
        <w:rPr>
          <w:shd w:val="clear" w:color="auto" w:fill="FFFFFF"/>
          <w:lang w:val="mk-MK"/>
        </w:rPr>
        <w:t>к</w:t>
      </w:r>
      <w:r w:rsidRPr="008662BF">
        <w:rPr>
          <w:shd w:val="clear" w:color="auto" w:fill="FFFFFF"/>
          <w:lang w:val="mk-MK"/>
        </w:rPr>
        <w:t xml:space="preserve"> по смртта. Машинско учење и длабоко учење се користат </w:t>
      </w:r>
      <w:r w:rsidR="00D92CF4" w:rsidRPr="008662BF">
        <w:rPr>
          <w:shd w:val="clear" w:color="auto" w:fill="FFFFFF"/>
          <w:lang w:val="mk-MK"/>
        </w:rPr>
        <w:t xml:space="preserve">за </w:t>
      </w:r>
      <w:r w:rsidRPr="008662BF">
        <w:rPr>
          <w:shd w:val="clear" w:color="auto" w:fill="FFFFFF"/>
          <w:lang w:val="mk-MK"/>
        </w:rPr>
        <w:t xml:space="preserve">претходна и последователна обработка на слики, </w:t>
      </w:r>
      <w:r w:rsidR="00150604">
        <w:rPr>
          <w:shd w:val="clear" w:color="auto" w:fill="FFFFFF"/>
          <w:lang w:val="mk-MK"/>
        </w:rPr>
        <w:t xml:space="preserve">за </w:t>
      </w:r>
      <w:r w:rsidRPr="008662BF">
        <w:rPr>
          <w:shd w:val="clear" w:color="auto" w:fill="FFFFFF"/>
          <w:lang w:val="mk-MK"/>
        </w:rPr>
        <w:t xml:space="preserve">структурно моделирање на белата материја, </w:t>
      </w:r>
      <w:r w:rsidR="00D92CF4" w:rsidRPr="008662BF">
        <w:rPr>
          <w:shd w:val="clear" w:color="auto" w:fill="FFFFFF"/>
          <w:lang w:val="mk-MK"/>
        </w:rPr>
        <w:t xml:space="preserve">а се користат </w:t>
      </w:r>
      <w:r w:rsidRPr="008662BF">
        <w:rPr>
          <w:shd w:val="clear" w:color="auto" w:fill="FFFFFF"/>
          <w:lang w:val="mk-MK"/>
        </w:rPr>
        <w:t>и графички модели и други статистички описи на податоци од молекуларна експресија (РНК, ДНК</w:t>
      </w:r>
      <w:r w:rsidR="00150604">
        <w:rPr>
          <w:shd w:val="clear" w:color="auto" w:fill="FFFFFF"/>
          <w:lang w:val="mk-MK"/>
        </w:rPr>
        <w:t>-</w:t>
      </w:r>
      <w:r w:rsidRPr="008662BF">
        <w:rPr>
          <w:shd w:val="clear" w:color="auto" w:fill="FFFFFF"/>
          <w:lang w:val="mk-MK"/>
        </w:rPr>
        <w:t xml:space="preserve">метилација, протеини) од човечка бела материја. </w:t>
      </w:r>
    </w:p>
    <w:p w14:paraId="4BA4E3DD" w14:textId="77777777" w:rsidR="00AD5B74" w:rsidRPr="008662BF" w:rsidRDefault="00AD5B74" w:rsidP="007947BF">
      <w:pPr>
        <w:spacing w:after="0"/>
        <w:jc w:val="both"/>
        <w:rPr>
          <w:shd w:val="clear" w:color="auto" w:fill="FFFFFF"/>
          <w:lang w:val="mk-MK"/>
        </w:rPr>
      </w:pPr>
      <w:r w:rsidRPr="008662BF">
        <w:rPr>
          <w:shd w:val="clear" w:color="auto" w:fill="FFFFFF"/>
          <w:lang w:val="mk-MK"/>
        </w:rPr>
        <w:t xml:space="preserve">Услугите што се обезбедуваат опфаќаат: </w:t>
      </w:r>
    </w:p>
    <w:p w14:paraId="0FC679FE" w14:textId="77777777" w:rsidR="00AD5B74" w:rsidRPr="008662BF" w:rsidRDefault="00AD5B74" w:rsidP="00AD5B74">
      <w:pPr>
        <w:pStyle w:val="ListParagraph"/>
        <w:numPr>
          <w:ilvl w:val="0"/>
          <w:numId w:val="49"/>
        </w:numPr>
        <w:rPr>
          <w:shd w:val="clear" w:color="auto" w:fill="FFFFFF"/>
          <w:lang w:val="mk-MK"/>
        </w:rPr>
      </w:pPr>
      <w:r w:rsidRPr="008662BF">
        <w:rPr>
          <w:shd w:val="clear" w:color="auto" w:fill="FFFFFF"/>
          <w:lang w:val="mk-MK"/>
        </w:rPr>
        <w:t>Работни станици за развој на софтвер со графички процесорски единици (GPU)</w:t>
      </w:r>
    </w:p>
    <w:p w14:paraId="4C42BD8B" w14:textId="77777777" w:rsidR="00AD5B74" w:rsidRPr="008662BF" w:rsidRDefault="00AD5B74" w:rsidP="00AD5B74">
      <w:pPr>
        <w:pStyle w:val="ListParagraph"/>
        <w:numPr>
          <w:ilvl w:val="0"/>
          <w:numId w:val="49"/>
        </w:numPr>
        <w:rPr>
          <w:shd w:val="clear" w:color="auto" w:fill="FFFFFF"/>
          <w:lang w:val="mk-MK"/>
        </w:rPr>
      </w:pPr>
      <w:r w:rsidRPr="008662BF">
        <w:rPr>
          <w:shd w:val="clear" w:color="auto" w:fill="FFFFFF"/>
          <w:lang w:val="mk-MK"/>
        </w:rPr>
        <w:t>Врвни работни станици за обработка на слики</w:t>
      </w:r>
    </w:p>
    <w:p w14:paraId="376E6725" w14:textId="77777777" w:rsidR="00AD5B74" w:rsidRPr="008662BF" w:rsidRDefault="00AD5B74" w:rsidP="00AD5B74">
      <w:pPr>
        <w:pStyle w:val="ListParagraph"/>
        <w:numPr>
          <w:ilvl w:val="0"/>
          <w:numId w:val="49"/>
        </w:numPr>
        <w:rPr>
          <w:shd w:val="clear" w:color="auto" w:fill="FFFFFF"/>
          <w:lang w:val="mk-MK"/>
        </w:rPr>
      </w:pPr>
      <w:r w:rsidRPr="008662BF">
        <w:rPr>
          <w:shd w:val="clear" w:color="auto" w:fill="FFFFFF"/>
          <w:lang w:val="mk-MK"/>
        </w:rPr>
        <w:t>Пресметковен капацитет на компјутерски сервери базирани на Интел</w:t>
      </w:r>
    </w:p>
    <w:p w14:paraId="2177D4A1" w14:textId="77777777" w:rsidR="00AD5B74" w:rsidRPr="008662BF" w:rsidRDefault="00AD5B74" w:rsidP="00AD5B74">
      <w:pPr>
        <w:pStyle w:val="ListParagraph"/>
        <w:numPr>
          <w:ilvl w:val="0"/>
          <w:numId w:val="49"/>
        </w:numPr>
        <w:rPr>
          <w:shd w:val="clear" w:color="auto" w:fill="FFFFFF"/>
          <w:lang w:val="mk-MK"/>
        </w:rPr>
      </w:pPr>
      <w:r w:rsidRPr="008662BF">
        <w:rPr>
          <w:shd w:val="clear" w:color="auto" w:fill="FFFFFF"/>
          <w:lang w:val="mk-MK"/>
        </w:rPr>
        <w:t>Мрежно складирање (&gt; 100 TB меморија од класа NAS)</w:t>
      </w:r>
    </w:p>
    <w:p w14:paraId="0D24E455" w14:textId="77777777" w:rsidR="00AD5B74" w:rsidRPr="008662BF" w:rsidRDefault="00AD5B74" w:rsidP="00AD5B74">
      <w:pPr>
        <w:pStyle w:val="ListParagraph"/>
        <w:numPr>
          <w:ilvl w:val="0"/>
          <w:numId w:val="49"/>
        </w:numPr>
        <w:rPr>
          <w:shd w:val="clear" w:color="auto" w:fill="FFFFFF"/>
          <w:lang w:val="mk-MK"/>
        </w:rPr>
      </w:pPr>
      <w:r w:rsidRPr="008662BF">
        <w:rPr>
          <w:shd w:val="clear" w:color="auto" w:fill="FFFFFF"/>
          <w:lang w:val="mk-MK"/>
        </w:rPr>
        <w:t xml:space="preserve">Далечински пристап преку виртуелна приватна мрежа (VPN) </w:t>
      </w:r>
    </w:p>
    <w:p w14:paraId="5B583B10" w14:textId="411A1BAC" w:rsidR="00AD5B74" w:rsidRPr="008662BF" w:rsidRDefault="00AD5B74" w:rsidP="00D92CF4">
      <w:pPr>
        <w:jc w:val="both"/>
        <w:rPr>
          <w:shd w:val="clear" w:color="auto" w:fill="FFFFFF"/>
          <w:lang w:val="mk-MK"/>
        </w:rPr>
      </w:pPr>
      <w:r w:rsidRPr="008662BF">
        <w:rPr>
          <w:shd w:val="clear" w:color="auto" w:fill="FFFFFF"/>
          <w:lang w:val="mk-MK"/>
        </w:rPr>
        <w:t xml:space="preserve">Истражувачка опрема: Центарот нема капитална истражувачка опрема од висока вредност. Има сервер на </w:t>
      </w:r>
      <w:r w:rsidR="00150604">
        <w:rPr>
          <w:shd w:val="clear" w:color="auto" w:fill="FFFFFF"/>
          <w:lang w:val="mk-MK"/>
        </w:rPr>
        <w:t>што</w:t>
      </w:r>
      <w:r w:rsidRPr="008662BF">
        <w:rPr>
          <w:shd w:val="clear" w:color="auto" w:fill="FFFFFF"/>
          <w:lang w:val="mk-MK"/>
        </w:rPr>
        <w:t xml:space="preserve"> има 10 процесори со 6 јадра и голем</w:t>
      </w:r>
      <w:r w:rsidR="00150604">
        <w:rPr>
          <w:shd w:val="clear" w:color="auto" w:fill="FFFFFF"/>
          <w:lang w:val="mk-MK"/>
        </w:rPr>
        <w:t xml:space="preserve"> број </w:t>
      </w:r>
      <w:r w:rsidRPr="008662BF">
        <w:rPr>
          <w:shd w:val="clear" w:color="auto" w:fill="FFFFFF"/>
          <w:lang w:val="mk-MK"/>
        </w:rPr>
        <w:t xml:space="preserve">логички процесори. Исто така, има достапен мемориски простор од 50 TB. Вкупната набавна вредност на истражувачката опрема изнесува 22.800 евра. </w:t>
      </w:r>
    </w:p>
    <w:p w14:paraId="62DEB8C4" w14:textId="77777777" w:rsidR="00AD5B74" w:rsidRPr="008662BF" w:rsidRDefault="00AD5B74" w:rsidP="007947BF">
      <w:pPr>
        <w:rPr>
          <w:shd w:val="clear" w:color="auto" w:fill="FFFFFF"/>
          <w:lang w:val="mk-MK"/>
        </w:rPr>
      </w:pPr>
    </w:p>
    <w:p w14:paraId="15631CE2" w14:textId="77777777" w:rsidR="00AD5B74" w:rsidRPr="008662BF" w:rsidRDefault="00AD5B74" w:rsidP="007947BF">
      <w:pPr>
        <w:rPr>
          <w:shd w:val="clear" w:color="auto" w:fill="FFFFFF"/>
          <w:lang w:val="mk-MK"/>
        </w:rPr>
      </w:pPr>
    </w:p>
    <w:p w14:paraId="1657D03D" w14:textId="77777777" w:rsidR="00D92CF4" w:rsidRPr="008662BF" w:rsidRDefault="00D92CF4" w:rsidP="007947BF">
      <w:pPr>
        <w:rPr>
          <w:shd w:val="clear" w:color="auto" w:fill="FFFFFF"/>
          <w:lang w:val="mk-MK"/>
        </w:rPr>
      </w:pPr>
    </w:p>
    <w:p w14:paraId="41DC683C" w14:textId="77777777" w:rsidR="00D92CF4" w:rsidRPr="008662BF" w:rsidRDefault="00D92CF4" w:rsidP="007947BF">
      <w:pPr>
        <w:rPr>
          <w:shd w:val="clear" w:color="auto" w:fill="FFFFFF"/>
          <w:lang w:val="mk-MK"/>
        </w:rPr>
      </w:pPr>
    </w:p>
    <w:p w14:paraId="3F97A8DA" w14:textId="77777777" w:rsidR="00D92CF4" w:rsidRPr="008662BF" w:rsidRDefault="00D92CF4" w:rsidP="007947BF">
      <w:pPr>
        <w:rPr>
          <w:shd w:val="clear" w:color="auto" w:fill="FFFFFF"/>
          <w:lang w:val="mk-MK"/>
        </w:rPr>
      </w:pPr>
    </w:p>
    <w:p w14:paraId="383591FB" w14:textId="77777777" w:rsidR="00D92CF4" w:rsidRPr="008662BF" w:rsidRDefault="00D92CF4" w:rsidP="007947BF">
      <w:pPr>
        <w:rPr>
          <w:shd w:val="clear" w:color="auto" w:fill="FFFFFF"/>
          <w:lang w:val="mk-MK"/>
        </w:rPr>
      </w:pPr>
    </w:p>
    <w:p w14:paraId="7A2E1B67" w14:textId="77777777" w:rsidR="00D92CF4" w:rsidRPr="008662BF" w:rsidRDefault="00D92CF4" w:rsidP="007947BF">
      <w:pPr>
        <w:rPr>
          <w:shd w:val="clear" w:color="auto" w:fill="FFFFFF"/>
          <w:lang w:val="mk-MK"/>
        </w:rPr>
      </w:pPr>
    </w:p>
    <w:p w14:paraId="55DE3AB9" w14:textId="77777777" w:rsidR="007947BF" w:rsidRPr="008662BF" w:rsidRDefault="00AD5B74" w:rsidP="007947BF">
      <w:pPr>
        <w:pStyle w:val="Heading2"/>
        <w:spacing w:after="240"/>
        <w:rPr>
          <w:rFonts w:asciiTheme="minorHAnsi" w:hAnsiTheme="minorHAnsi"/>
          <w:shd w:val="clear" w:color="auto" w:fill="FFFFFF"/>
          <w:lang w:val="mk-MK"/>
        </w:rPr>
      </w:pPr>
      <w:bookmarkStart w:id="26" w:name="_Toc86916061"/>
      <w:r w:rsidRPr="008662BF">
        <w:rPr>
          <w:rFonts w:asciiTheme="minorHAnsi" w:hAnsiTheme="minorHAnsi"/>
          <w:shd w:val="clear" w:color="auto" w:fill="FFFFFF"/>
          <w:lang w:val="mk-MK"/>
        </w:rPr>
        <w:lastRenderedPageBreak/>
        <w:t>4.2. Политика за пристап</w:t>
      </w:r>
      <w:bookmarkEnd w:id="25"/>
      <w:bookmarkEnd w:id="26"/>
    </w:p>
    <w:p w14:paraId="497FB23C" w14:textId="77777777" w:rsidR="009F0A34" w:rsidRPr="008662BF" w:rsidRDefault="009F0A34" w:rsidP="009F0A34">
      <w:pPr>
        <w:jc w:val="both"/>
        <w:rPr>
          <w:lang w:val="mk-MK"/>
        </w:rPr>
      </w:pPr>
      <w:r w:rsidRPr="008662BF">
        <w:rPr>
          <w:lang w:val="mk-MK"/>
        </w:rPr>
        <w:t xml:space="preserve">Пристапот </w:t>
      </w:r>
      <w:r w:rsidR="00E733DF" w:rsidRPr="008662BF">
        <w:rPr>
          <w:lang w:val="mk-MK"/>
        </w:rPr>
        <w:t xml:space="preserve">подразбира </w:t>
      </w:r>
      <w:r w:rsidRPr="008662BF">
        <w:rPr>
          <w:lang w:val="mk-MK"/>
        </w:rPr>
        <w:t>легитим</w:t>
      </w:r>
      <w:r w:rsidR="00E733DF" w:rsidRPr="008662BF">
        <w:rPr>
          <w:lang w:val="mk-MK"/>
        </w:rPr>
        <w:t xml:space="preserve">ен </w:t>
      </w:r>
      <w:r w:rsidRPr="008662BF">
        <w:rPr>
          <w:lang w:val="mk-MK"/>
        </w:rPr>
        <w:t>и овластен физички, далечински и виртуелен прием, интеракциj</w:t>
      </w:r>
      <w:r w:rsidR="00426DE8" w:rsidRPr="008662BF">
        <w:rPr>
          <w:lang w:val="mk-MK"/>
        </w:rPr>
        <w:t>а</w:t>
      </w:r>
      <w:r w:rsidRPr="008662BF">
        <w:rPr>
          <w:lang w:val="mk-MK"/>
        </w:rPr>
        <w:t xml:space="preserve"> и користење на истражувачки инфраструктури и на услугите што истражувачките инфраструктури им ги нудат на корисниците. Пристапот до истражувачката инфраструктура е важен фактор за создавање поголеми синергии меѓу истражувачите во одредена област на науката и </w:t>
      </w:r>
      <w:r w:rsidR="00A14CEC">
        <w:rPr>
          <w:lang w:val="mk-MK"/>
        </w:rPr>
        <w:t xml:space="preserve">за </w:t>
      </w:r>
      <w:r w:rsidRPr="008662BF">
        <w:rPr>
          <w:lang w:val="mk-MK"/>
        </w:rPr>
        <w:t>поврзување на деловниот и истражувачкиот сектор за промовирање на развојот на истражувањето и иновациите. Дефинирањето на политиката за пристап до истражувачката инфраструктура од страна на истражувачките институции е важен чекор кон интернационализација</w:t>
      </w:r>
      <w:r w:rsidR="00A14CEC">
        <w:rPr>
          <w:lang w:val="mk-MK"/>
        </w:rPr>
        <w:t>та</w:t>
      </w:r>
      <w:r w:rsidRPr="008662BF">
        <w:rPr>
          <w:lang w:val="mk-MK"/>
        </w:rPr>
        <w:t xml:space="preserve"> и зајакнување</w:t>
      </w:r>
      <w:r w:rsidR="00A14CEC">
        <w:rPr>
          <w:lang w:val="mk-MK"/>
        </w:rPr>
        <w:t>то</w:t>
      </w:r>
      <w:r w:rsidRPr="008662BF">
        <w:rPr>
          <w:lang w:val="mk-MK"/>
        </w:rPr>
        <w:t xml:space="preserve"> на научната извонредност, како во самата институција, така и во земјата.</w:t>
      </w:r>
    </w:p>
    <w:p w14:paraId="42E57845" w14:textId="78D137FB" w:rsidR="009F0A34" w:rsidRPr="008662BF" w:rsidRDefault="009F0A34" w:rsidP="009F0A34">
      <w:pPr>
        <w:jc w:val="both"/>
        <w:rPr>
          <w:lang w:val="mk-MK"/>
        </w:rPr>
      </w:pPr>
      <w:r w:rsidRPr="008662BF">
        <w:rPr>
          <w:lang w:val="mk-MK"/>
        </w:rPr>
        <w:t xml:space="preserve">Информациите за политиката за пристап на истражувачките институции/лаборатории од </w:t>
      </w:r>
      <w:r w:rsidR="00417197">
        <w:rPr>
          <w:lang w:val="mk-MK"/>
        </w:rPr>
        <w:t>Република Северна Македонија</w:t>
      </w:r>
      <w:r w:rsidRPr="008662BF">
        <w:rPr>
          <w:lang w:val="mk-MK"/>
        </w:rPr>
        <w:t xml:space="preserve"> </w:t>
      </w:r>
      <w:r w:rsidR="00A14CEC">
        <w:rPr>
          <w:lang w:val="mk-MK"/>
        </w:rPr>
        <w:t>што</w:t>
      </w:r>
      <w:r w:rsidRPr="008662BF">
        <w:rPr>
          <w:lang w:val="mk-MK"/>
        </w:rPr>
        <w:t xml:space="preserve"> се добиени врз основа на пополнетите прашалници се претставени во Табела 3. Очигледно е дека повеќето истражувачки институции/лаборатории немаат официјална политика за пристап; сепак, тие имаат јасно дефинирани внатрешни процедури за пристап до истражувачката опрема/објекти.</w:t>
      </w:r>
    </w:p>
    <w:p w14:paraId="7843CC0D" w14:textId="58251CE2" w:rsidR="009F0A34" w:rsidRPr="008662BF" w:rsidRDefault="009F0A34" w:rsidP="009F0A34">
      <w:pPr>
        <w:jc w:val="both"/>
        <w:rPr>
          <w:lang w:val="mk-MK"/>
        </w:rPr>
      </w:pPr>
      <w:r w:rsidRPr="008662BF">
        <w:rPr>
          <w:lang w:val="mk-MK"/>
        </w:rPr>
        <w:t>Внатрешните процедури за пристап до опрема</w:t>
      </w:r>
      <w:r w:rsidR="00426DE8" w:rsidRPr="008662BF">
        <w:rPr>
          <w:lang w:val="mk-MK"/>
        </w:rPr>
        <w:t>та</w:t>
      </w:r>
      <w:r w:rsidRPr="008662BF">
        <w:rPr>
          <w:lang w:val="mk-MK"/>
        </w:rPr>
        <w:t xml:space="preserve"> за истражување во рамките на високообразовните институции во </w:t>
      </w:r>
      <w:r w:rsidR="00417197">
        <w:rPr>
          <w:lang w:val="mk-MK"/>
        </w:rPr>
        <w:t>Република Северна Македонија</w:t>
      </w:r>
      <w:r w:rsidRPr="008662BF">
        <w:rPr>
          <w:lang w:val="mk-MK"/>
        </w:rPr>
        <w:t xml:space="preserve"> не се разликуваат многу една од друга. Повеќето институции имаат отворен пристап за истражувачкиот кадар, додека за надворешните корисници е потребна посебна дозвола, за која е потребно официјално </w:t>
      </w:r>
      <w:r w:rsidR="00426DE8" w:rsidRPr="008662BF">
        <w:rPr>
          <w:lang w:val="mk-MK"/>
        </w:rPr>
        <w:t xml:space="preserve">да се </w:t>
      </w:r>
      <w:r w:rsidRPr="008662BF">
        <w:rPr>
          <w:lang w:val="mk-MK"/>
        </w:rPr>
        <w:t>достав</w:t>
      </w:r>
      <w:r w:rsidR="00426DE8" w:rsidRPr="008662BF">
        <w:rPr>
          <w:lang w:val="mk-MK"/>
        </w:rPr>
        <w:t xml:space="preserve">и барање </w:t>
      </w:r>
      <w:r w:rsidRPr="008662BF">
        <w:rPr>
          <w:lang w:val="mk-MK"/>
        </w:rPr>
        <w:t>за пристап до истражувачката инфраструктура</w:t>
      </w:r>
      <w:r w:rsidR="00426DE8" w:rsidRPr="008662BF">
        <w:rPr>
          <w:lang w:val="mk-MK"/>
        </w:rPr>
        <w:t xml:space="preserve">, што раководството треба </w:t>
      </w:r>
      <w:r w:rsidRPr="008662BF">
        <w:rPr>
          <w:lang w:val="mk-MK"/>
        </w:rPr>
        <w:t xml:space="preserve">формално </w:t>
      </w:r>
      <w:r w:rsidR="00426DE8" w:rsidRPr="008662BF">
        <w:rPr>
          <w:lang w:val="mk-MK"/>
        </w:rPr>
        <w:t xml:space="preserve">да го </w:t>
      </w:r>
      <w:r w:rsidRPr="008662BF">
        <w:rPr>
          <w:lang w:val="mk-MK"/>
        </w:rPr>
        <w:t>одобр</w:t>
      </w:r>
      <w:r w:rsidR="00426DE8" w:rsidRPr="008662BF">
        <w:rPr>
          <w:lang w:val="mk-MK"/>
        </w:rPr>
        <w:t>и</w:t>
      </w:r>
      <w:r w:rsidRPr="008662BF">
        <w:rPr>
          <w:lang w:val="mk-MK"/>
        </w:rPr>
        <w:t xml:space="preserve">. </w:t>
      </w:r>
    </w:p>
    <w:p w14:paraId="5BF7F885" w14:textId="77777777" w:rsidR="007947BF" w:rsidRPr="008662BF" w:rsidRDefault="009F0A34" w:rsidP="007947BF">
      <w:pPr>
        <w:jc w:val="both"/>
        <w:rPr>
          <w:lang w:val="mk-MK"/>
        </w:rPr>
      </w:pPr>
      <w:r w:rsidRPr="008662BF">
        <w:rPr>
          <w:b/>
          <w:lang w:val="mk-MK"/>
        </w:rPr>
        <w:t xml:space="preserve">Табела </w:t>
      </w:r>
      <w:r w:rsidR="007947BF" w:rsidRPr="008662BF">
        <w:rPr>
          <w:b/>
          <w:lang w:val="mk-MK"/>
        </w:rPr>
        <w:t>3</w:t>
      </w:r>
      <w:r w:rsidRPr="008662BF">
        <w:rPr>
          <w:lang w:val="mk-MK"/>
        </w:rPr>
        <w:t>: Политика за пристап до истражувачка</w:t>
      </w:r>
      <w:r w:rsidR="00426DE8" w:rsidRPr="008662BF">
        <w:rPr>
          <w:lang w:val="mk-MK"/>
        </w:rPr>
        <w:t>та</w:t>
      </w:r>
      <w:r w:rsidRPr="008662BF">
        <w:rPr>
          <w:lang w:val="mk-MK"/>
        </w:rPr>
        <w:t xml:space="preserve"> инфраструктура и внатрешни процедури </w:t>
      </w:r>
    </w:p>
    <w:tbl>
      <w:tblPr>
        <w:tblStyle w:val="LightList-Accent2"/>
        <w:tblW w:w="4971" w:type="pct"/>
        <w:tblInd w:w="80" w:type="dxa"/>
        <w:tblLayout w:type="fixed"/>
        <w:tblLook w:val="04A0" w:firstRow="1" w:lastRow="0" w:firstColumn="1" w:lastColumn="0" w:noHBand="0" w:noVBand="1"/>
      </w:tblPr>
      <w:tblGrid>
        <w:gridCol w:w="2748"/>
        <w:gridCol w:w="1314"/>
        <w:gridCol w:w="4937"/>
      </w:tblGrid>
      <w:tr w:rsidR="007947BF" w:rsidRPr="008662BF" w14:paraId="521E4DDB" w14:textId="77777777" w:rsidTr="009F3B3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000" w:firstRow="0" w:lastRow="0" w:firstColumn="1" w:lastColumn="0" w:oddVBand="0" w:evenVBand="0" w:oddHBand="0" w:evenHBand="0" w:firstRowFirstColumn="0" w:firstRowLastColumn="0" w:lastRowFirstColumn="0" w:lastRowLastColumn="0"/>
            <w:tcW w:w="1527" w:type="pct"/>
            <w:noWrap/>
            <w:hideMark/>
          </w:tcPr>
          <w:p w14:paraId="5305F270" w14:textId="77777777" w:rsidR="007947BF" w:rsidRPr="008662BF" w:rsidRDefault="005F332F" w:rsidP="005F332F">
            <w:pPr>
              <w:jc w:val="center"/>
              <w:rPr>
                <w:rFonts w:eastAsia="Times New Roman" w:cs="Arial"/>
                <w:sz w:val="20"/>
                <w:szCs w:val="20"/>
                <w:lang w:val="mk-MK"/>
              </w:rPr>
            </w:pPr>
            <w:r w:rsidRPr="008662BF">
              <w:rPr>
                <w:rFonts w:eastAsia="Times New Roman" w:cs="Arial"/>
                <w:sz w:val="20"/>
                <w:szCs w:val="20"/>
                <w:lang w:val="mk-MK"/>
              </w:rPr>
              <w:t>Истражувачка институција/лабораторија</w:t>
            </w:r>
          </w:p>
        </w:tc>
        <w:tc>
          <w:tcPr>
            <w:tcW w:w="730" w:type="pct"/>
            <w:noWrap/>
            <w:hideMark/>
          </w:tcPr>
          <w:p w14:paraId="263290A6" w14:textId="77777777" w:rsidR="007947BF" w:rsidRPr="008662BF" w:rsidRDefault="005F332F" w:rsidP="005F332F">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mk-MK"/>
              </w:rPr>
            </w:pPr>
            <w:r w:rsidRPr="008662BF">
              <w:rPr>
                <w:rFonts w:eastAsia="Times New Roman" w:cs="Arial"/>
                <w:sz w:val="20"/>
                <w:szCs w:val="20"/>
                <w:lang w:val="mk-MK"/>
              </w:rPr>
              <w:t>Официјална политика за пристап</w:t>
            </w:r>
          </w:p>
        </w:tc>
        <w:tc>
          <w:tcPr>
            <w:tcW w:w="2743" w:type="pct"/>
            <w:noWrap/>
            <w:hideMark/>
          </w:tcPr>
          <w:p w14:paraId="7CE40199" w14:textId="77777777" w:rsidR="007947BF" w:rsidRPr="008662BF" w:rsidRDefault="005F332F" w:rsidP="005F332F">
            <w:pPr>
              <w:jc w:val="center"/>
              <w:cnfStyle w:val="100000000000" w:firstRow="1" w:lastRow="0" w:firstColumn="0" w:lastColumn="0" w:oddVBand="0" w:evenVBand="0" w:oddHBand="0" w:evenHBand="0" w:firstRowFirstColumn="0" w:firstRowLastColumn="0" w:lastRowFirstColumn="0" w:lastRowLastColumn="0"/>
              <w:rPr>
                <w:rFonts w:eastAsia="Times New Roman" w:cs="Arial"/>
                <w:sz w:val="20"/>
                <w:szCs w:val="20"/>
                <w:lang w:val="mk-MK"/>
              </w:rPr>
            </w:pPr>
            <w:r w:rsidRPr="008662BF">
              <w:rPr>
                <w:rFonts w:eastAsia="Times New Roman" w:cs="Arial"/>
                <w:sz w:val="20"/>
                <w:szCs w:val="20"/>
                <w:lang w:val="mk-MK"/>
              </w:rPr>
              <w:t>Внатрешни процедури</w:t>
            </w:r>
          </w:p>
        </w:tc>
      </w:tr>
      <w:tr w:rsidR="00D404AE" w:rsidRPr="008662BF" w14:paraId="008E79AB" w14:textId="77777777" w:rsidTr="009F3B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27" w:type="pct"/>
            <w:hideMark/>
          </w:tcPr>
          <w:p w14:paraId="6F9DAD63" w14:textId="77777777" w:rsidR="00D404AE" w:rsidRPr="008662BF" w:rsidRDefault="00D404AE" w:rsidP="00D404AE">
            <w:pPr>
              <w:rPr>
                <w:lang w:val="mk-MK"/>
              </w:rPr>
            </w:pPr>
            <w:r w:rsidRPr="008662BF">
              <w:rPr>
                <w:lang w:val="mk-MK"/>
              </w:rPr>
              <w:t>УКИМ, Факултет за компјутерски науки и инженерство</w:t>
            </w:r>
          </w:p>
        </w:tc>
        <w:tc>
          <w:tcPr>
            <w:tcW w:w="730" w:type="pct"/>
            <w:noWrap/>
            <w:hideMark/>
          </w:tcPr>
          <w:p w14:paraId="0F119F36" w14:textId="77777777" w:rsidR="00D404AE" w:rsidRPr="008662BF" w:rsidRDefault="00685609" w:rsidP="00685609">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321591FE" w14:textId="77777777" w:rsidR="00D404AE" w:rsidRPr="008662BF" w:rsidRDefault="00EF2C84" w:rsidP="00D02F8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 xml:space="preserve">Надворешен пристап до истражувачката инфраструктура може да се </w:t>
            </w:r>
            <w:r w:rsidR="00D02F89" w:rsidRPr="008662BF">
              <w:rPr>
                <w:rFonts w:cs="Arial"/>
                <w:sz w:val="20"/>
                <w:szCs w:val="20"/>
                <w:lang w:val="mk-MK"/>
              </w:rPr>
              <w:t xml:space="preserve">овозможи </w:t>
            </w:r>
            <w:r w:rsidRPr="008662BF">
              <w:rPr>
                <w:rFonts w:cs="Arial"/>
                <w:sz w:val="20"/>
                <w:szCs w:val="20"/>
                <w:lang w:val="mk-MK"/>
              </w:rPr>
              <w:t>со потпишување дог</w:t>
            </w:r>
            <w:r w:rsidR="00E14E1B" w:rsidRPr="008662BF">
              <w:rPr>
                <w:rFonts w:cs="Arial"/>
                <w:sz w:val="20"/>
                <w:szCs w:val="20"/>
                <w:lang w:val="mk-MK"/>
              </w:rPr>
              <w:t>овор за соработка за истражувања</w:t>
            </w:r>
            <w:r w:rsidRPr="008662BF">
              <w:rPr>
                <w:rFonts w:cs="Arial"/>
                <w:sz w:val="20"/>
                <w:szCs w:val="20"/>
                <w:lang w:val="mk-MK"/>
              </w:rPr>
              <w:t>, учество во заеднички проекти и договор за соработка.</w:t>
            </w:r>
          </w:p>
        </w:tc>
      </w:tr>
      <w:tr w:rsidR="00D404AE" w:rsidRPr="008662BF" w14:paraId="727A6470" w14:textId="77777777" w:rsidTr="009F3B36">
        <w:trPr>
          <w:trHeight w:val="765"/>
        </w:trPr>
        <w:tc>
          <w:tcPr>
            <w:cnfStyle w:val="001000000000" w:firstRow="0" w:lastRow="0" w:firstColumn="1" w:lastColumn="0" w:oddVBand="0" w:evenVBand="0" w:oddHBand="0" w:evenHBand="0" w:firstRowFirstColumn="0" w:firstRowLastColumn="0" w:lastRowFirstColumn="0" w:lastRowLastColumn="0"/>
            <w:tcW w:w="1527" w:type="pct"/>
            <w:hideMark/>
          </w:tcPr>
          <w:p w14:paraId="74DE5807" w14:textId="77777777" w:rsidR="00D404AE" w:rsidRPr="008662BF" w:rsidRDefault="00D404AE" w:rsidP="00D404AE">
            <w:pPr>
              <w:rPr>
                <w:lang w:val="mk-MK"/>
              </w:rPr>
            </w:pPr>
            <w:r w:rsidRPr="008662BF">
              <w:rPr>
                <w:lang w:val="mk-MK"/>
              </w:rPr>
              <w:t>УКИМ, Факултет за електротех</w:t>
            </w:r>
            <w:r w:rsidR="00426DE8" w:rsidRPr="008662BF">
              <w:rPr>
                <w:lang w:val="mk-MK"/>
              </w:rPr>
              <w:t xml:space="preserve">ника и информациски технологии </w:t>
            </w:r>
            <w:r w:rsidR="009F3B36">
              <w:rPr>
                <w:lang w:val="mk-MK"/>
              </w:rPr>
              <w:t>–</w:t>
            </w:r>
            <w:r w:rsidR="00A14CEC">
              <w:rPr>
                <w:lang w:val="mk-MK"/>
              </w:rPr>
              <w:t xml:space="preserve"> </w:t>
            </w:r>
            <w:r w:rsidRPr="008662BF">
              <w:rPr>
                <w:lang w:val="mk-MK"/>
              </w:rPr>
              <w:t>Скопје</w:t>
            </w:r>
          </w:p>
        </w:tc>
        <w:tc>
          <w:tcPr>
            <w:tcW w:w="730" w:type="pct"/>
            <w:noWrap/>
            <w:hideMark/>
          </w:tcPr>
          <w:p w14:paraId="10E40C9E" w14:textId="77777777" w:rsidR="00D404AE" w:rsidRPr="008662BF" w:rsidRDefault="00685609" w:rsidP="00D404AE">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17C4C305" w14:textId="77777777" w:rsidR="00D404AE" w:rsidRPr="008662BF" w:rsidRDefault="00EF2C84" w:rsidP="00E14E1B">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 xml:space="preserve">Пристап до опремата и </w:t>
            </w:r>
            <w:r w:rsidR="00A14CEC">
              <w:rPr>
                <w:rFonts w:cs="Arial"/>
                <w:sz w:val="20"/>
                <w:szCs w:val="20"/>
                <w:lang w:val="mk-MK"/>
              </w:rPr>
              <w:t xml:space="preserve">до </w:t>
            </w:r>
            <w:r w:rsidRPr="008662BF">
              <w:rPr>
                <w:rFonts w:cs="Arial"/>
                <w:sz w:val="20"/>
                <w:szCs w:val="20"/>
                <w:lang w:val="mk-MK"/>
              </w:rPr>
              <w:t>лабораториските капацитети имаат само вработени</w:t>
            </w:r>
            <w:r w:rsidR="00A14CEC">
              <w:rPr>
                <w:rFonts w:cs="Arial"/>
                <w:sz w:val="20"/>
                <w:szCs w:val="20"/>
                <w:lang w:val="mk-MK"/>
              </w:rPr>
              <w:t>те</w:t>
            </w:r>
            <w:r w:rsidRPr="008662BF">
              <w:rPr>
                <w:rFonts w:cs="Arial"/>
                <w:sz w:val="20"/>
                <w:szCs w:val="20"/>
                <w:lang w:val="mk-MK"/>
              </w:rPr>
              <w:t xml:space="preserve"> лица со по</w:t>
            </w:r>
            <w:r w:rsidR="00E14E1B" w:rsidRPr="008662BF">
              <w:rPr>
                <w:rFonts w:cs="Arial"/>
                <w:sz w:val="20"/>
                <w:szCs w:val="20"/>
                <w:lang w:val="mk-MK"/>
              </w:rPr>
              <w:t>себни овластувања и надлежности. Надворешни лица можат да влезат во лабораторијата само со потпишување на изјава за доверливост и под надзор на овластени лица.</w:t>
            </w:r>
          </w:p>
        </w:tc>
      </w:tr>
      <w:tr w:rsidR="00D404AE" w:rsidRPr="008662BF" w14:paraId="387B2899" w14:textId="77777777" w:rsidTr="009F3B36">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527" w:type="pct"/>
            <w:hideMark/>
          </w:tcPr>
          <w:p w14:paraId="5C6C23C8" w14:textId="77777777" w:rsidR="00D404AE" w:rsidRPr="008662BF" w:rsidRDefault="00D404AE" w:rsidP="00D404AE">
            <w:pPr>
              <w:rPr>
                <w:lang w:val="mk-MK"/>
              </w:rPr>
            </w:pPr>
            <w:r w:rsidRPr="008662BF">
              <w:rPr>
                <w:lang w:val="mk-MK"/>
              </w:rPr>
              <w:t>УКИМ, Технолошко-металуршки факултет</w:t>
            </w:r>
          </w:p>
        </w:tc>
        <w:tc>
          <w:tcPr>
            <w:tcW w:w="730" w:type="pct"/>
            <w:noWrap/>
            <w:hideMark/>
          </w:tcPr>
          <w:p w14:paraId="3BA59CAD" w14:textId="77777777" w:rsidR="00D404AE" w:rsidRPr="008662BF" w:rsidRDefault="00685609" w:rsidP="00D404AE">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5B787DB3" w14:textId="77777777" w:rsidR="00D404AE" w:rsidRPr="008662BF" w:rsidRDefault="00E14E1B" w:rsidP="00D02F8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 xml:space="preserve">Надворешен пристап до истражувачката инфраструктура може да се </w:t>
            </w:r>
            <w:r w:rsidR="00D02F89" w:rsidRPr="008662BF">
              <w:rPr>
                <w:rFonts w:cs="Arial"/>
                <w:sz w:val="20"/>
                <w:szCs w:val="20"/>
                <w:lang w:val="mk-MK"/>
              </w:rPr>
              <w:t xml:space="preserve">овозможи </w:t>
            </w:r>
            <w:r w:rsidRPr="008662BF">
              <w:rPr>
                <w:rFonts w:cs="Arial"/>
                <w:sz w:val="20"/>
                <w:szCs w:val="20"/>
                <w:lang w:val="mk-MK"/>
              </w:rPr>
              <w:t>со потпишување договор за соработка за истражувања,</w:t>
            </w:r>
            <w:r w:rsidR="00A14CEC">
              <w:rPr>
                <w:rFonts w:cs="Arial"/>
                <w:sz w:val="20"/>
                <w:szCs w:val="20"/>
                <w:lang w:val="mk-MK"/>
              </w:rPr>
              <w:t xml:space="preserve"> за</w:t>
            </w:r>
            <w:r w:rsidRPr="008662BF">
              <w:rPr>
                <w:rFonts w:cs="Arial"/>
                <w:sz w:val="20"/>
                <w:szCs w:val="20"/>
                <w:lang w:val="mk-MK"/>
              </w:rPr>
              <w:t xml:space="preserve"> учество во заеднички проекти и договор за соработка.</w:t>
            </w:r>
          </w:p>
        </w:tc>
      </w:tr>
      <w:tr w:rsidR="00D404AE" w:rsidRPr="008662BF" w14:paraId="366FCD31" w14:textId="77777777" w:rsidTr="009F3B36">
        <w:trPr>
          <w:trHeight w:val="745"/>
        </w:trPr>
        <w:tc>
          <w:tcPr>
            <w:cnfStyle w:val="001000000000" w:firstRow="0" w:lastRow="0" w:firstColumn="1" w:lastColumn="0" w:oddVBand="0" w:evenVBand="0" w:oddHBand="0" w:evenHBand="0" w:firstRowFirstColumn="0" w:firstRowLastColumn="0" w:lastRowFirstColumn="0" w:lastRowLastColumn="0"/>
            <w:tcW w:w="1527" w:type="pct"/>
            <w:hideMark/>
          </w:tcPr>
          <w:p w14:paraId="67D156FD" w14:textId="77777777" w:rsidR="00D404AE" w:rsidRPr="008662BF" w:rsidRDefault="00D404AE" w:rsidP="00D404AE">
            <w:pPr>
              <w:rPr>
                <w:lang w:val="mk-MK"/>
              </w:rPr>
            </w:pPr>
            <w:r w:rsidRPr="008662BF">
              <w:rPr>
                <w:lang w:val="mk-MK"/>
              </w:rPr>
              <w:t>УКИМ, Природно-математички факултет, Институт за хемија</w:t>
            </w:r>
          </w:p>
        </w:tc>
        <w:tc>
          <w:tcPr>
            <w:tcW w:w="730" w:type="pct"/>
            <w:noWrap/>
            <w:hideMark/>
          </w:tcPr>
          <w:p w14:paraId="650306D8" w14:textId="77777777" w:rsidR="00D404AE" w:rsidRPr="008662BF" w:rsidRDefault="00685609" w:rsidP="00D404AE">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402A6BA1" w14:textId="77777777" w:rsidR="00D404AE" w:rsidRPr="008662BF" w:rsidRDefault="00E14E1B" w:rsidP="00E14E1B">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Опремата за истражување главно ја користат вработените и истражувачите. Досега не е користена од надворешни лица.</w:t>
            </w:r>
          </w:p>
        </w:tc>
      </w:tr>
      <w:tr w:rsidR="00D404AE" w:rsidRPr="008662BF" w14:paraId="14D01E5F" w14:textId="77777777" w:rsidTr="009F3B36">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527" w:type="pct"/>
            <w:hideMark/>
          </w:tcPr>
          <w:p w14:paraId="7A1F9223" w14:textId="77777777" w:rsidR="00D404AE" w:rsidRPr="008662BF" w:rsidRDefault="00D404AE" w:rsidP="00D404AE">
            <w:pPr>
              <w:rPr>
                <w:lang w:val="mk-MK"/>
              </w:rPr>
            </w:pPr>
            <w:r w:rsidRPr="008662BF">
              <w:rPr>
                <w:lang w:val="mk-MK"/>
              </w:rPr>
              <w:t>УКИМ, Медицински факултет, Институт за имунобиологија и хумана генетика</w:t>
            </w:r>
          </w:p>
        </w:tc>
        <w:tc>
          <w:tcPr>
            <w:tcW w:w="730" w:type="pct"/>
            <w:hideMark/>
          </w:tcPr>
          <w:p w14:paraId="2836318B" w14:textId="77777777" w:rsidR="00D404AE" w:rsidRPr="008662BF" w:rsidRDefault="00685609" w:rsidP="00D404AE">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42175978" w14:textId="77777777" w:rsidR="00D404AE" w:rsidRPr="008662BF" w:rsidRDefault="00015F9F" w:rsidP="00D02F8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Дозволен е пристап за вработените лица. Надвореш</w:t>
            </w:r>
            <w:r w:rsidR="00D02F89" w:rsidRPr="008662BF">
              <w:rPr>
                <w:rFonts w:cs="Arial"/>
                <w:sz w:val="20"/>
                <w:szCs w:val="20"/>
                <w:lang w:val="mk-MK"/>
              </w:rPr>
              <w:t xml:space="preserve">ен </w:t>
            </w:r>
            <w:r w:rsidRPr="008662BF">
              <w:rPr>
                <w:rFonts w:cs="Arial"/>
                <w:sz w:val="20"/>
                <w:szCs w:val="20"/>
                <w:lang w:val="mk-MK"/>
              </w:rPr>
              <w:t xml:space="preserve">пристап до истражувачката инфраструктура може да се </w:t>
            </w:r>
            <w:r w:rsidR="00D02F89" w:rsidRPr="008662BF">
              <w:rPr>
                <w:rFonts w:cs="Arial"/>
                <w:sz w:val="20"/>
                <w:szCs w:val="20"/>
                <w:lang w:val="mk-MK"/>
              </w:rPr>
              <w:t xml:space="preserve">овозможи </w:t>
            </w:r>
            <w:r w:rsidRPr="008662BF">
              <w:rPr>
                <w:rFonts w:cs="Arial"/>
                <w:sz w:val="20"/>
                <w:szCs w:val="20"/>
                <w:lang w:val="mk-MK"/>
              </w:rPr>
              <w:t xml:space="preserve">со потпишување на договор за соработка за </w:t>
            </w:r>
            <w:r w:rsidRPr="008662BF">
              <w:rPr>
                <w:rFonts w:cs="Arial"/>
                <w:sz w:val="20"/>
                <w:szCs w:val="20"/>
                <w:lang w:val="mk-MK"/>
              </w:rPr>
              <w:lastRenderedPageBreak/>
              <w:t xml:space="preserve">истражувања, </w:t>
            </w:r>
            <w:r w:rsidR="00A14CEC">
              <w:rPr>
                <w:rFonts w:cs="Arial"/>
                <w:sz w:val="20"/>
                <w:szCs w:val="20"/>
                <w:lang w:val="mk-MK"/>
              </w:rPr>
              <w:t xml:space="preserve">за </w:t>
            </w:r>
            <w:r w:rsidRPr="008662BF">
              <w:rPr>
                <w:rFonts w:cs="Arial"/>
                <w:sz w:val="20"/>
                <w:szCs w:val="20"/>
                <w:lang w:val="mk-MK"/>
              </w:rPr>
              <w:t>учество во заеднички проекти и</w:t>
            </w:r>
            <w:r w:rsidR="00A14CEC">
              <w:rPr>
                <w:rFonts w:cs="Arial"/>
                <w:sz w:val="20"/>
                <w:szCs w:val="20"/>
                <w:lang w:val="mk-MK"/>
              </w:rPr>
              <w:t xml:space="preserve"> со</w:t>
            </w:r>
            <w:r w:rsidRPr="008662BF">
              <w:rPr>
                <w:rFonts w:cs="Arial"/>
                <w:sz w:val="20"/>
                <w:szCs w:val="20"/>
                <w:lang w:val="mk-MK"/>
              </w:rPr>
              <w:t xml:space="preserve"> договор за соработка.</w:t>
            </w:r>
          </w:p>
        </w:tc>
      </w:tr>
      <w:tr w:rsidR="00D404AE" w:rsidRPr="008662BF" w14:paraId="219229EA" w14:textId="77777777" w:rsidTr="009F3B36">
        <w:trPr>
          <w:trHeight w:val="510"/>
        </w:trPr>
        <w:tc>
          <w:tcPr>
            <w:cnfStyle w:val="001000000000" w:firstRow="0" w:lastRow="0" w:firstColumn="1" w:lastColumn="0" w:oddVBand="0" w:evenVBand="0" w:oddHBand="0" w:evenHBand="0" w:firstRowFirstColumn="0" w:firstRowLastColumn="0" w:lastRowFirstColumn="0" w:lastRowLastColumn="0"/>
            <w:tcW w:w="1527" w:type="pct"/>
            <w:hideMark/>
          </w:tcPr>
          <w:p w14:paraId="0F29EAD2" w14:textId="77777777" w:rsidR="00D404AE" w:rsidRPr="008662BF" w:rsidRDefault="00D404AE" w:rsidP="00D404AE">
            <w:pPr>
              <w:rPr>
                <w:lang w:val="mk-MK"/>
              </w:rPr>
            </w:pPr>
            <w:r w:rsidRPr="008662BF">
              <w:rPr>
                <w:lang w:val="mk-MK"/>
              </w:rPr>
              <w:lastRenderedPageBreak/>
              <w:t>УКИМ, Медицински факултет, Институт за микробиологија и паразитологија</w:t>
            </w:r>
          </w:p>
        </w:tc>
        <w:tc>
          <w:tcPr>
            <w:tcW w:w="730" w:type="pct"/>
            <w:noWrap/>
            <w:hideMark/>
          </w:tcPr>
          <w:p w14:paraId="562238A1" w14:textId="77777777" w:rsidR="00D404AE" w:rsidRPr="008662BF" w:rsidRDefault="00685609" w:rsidP="00D404AE">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79E3571F" w14:textId="77777777" w:rsidR="00D404AE" w:rsidRPr="008662BF" w:rsidRDefault="00D75578" w:rsidP="00D75578">
            <w:pPr>
              <w:jc w:val="both"/>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 xml:space="preserve">Членовите на Стручниот одбор одлучуваат дали на надворешните корисници ќе им се дозволи пристап до опремата за истражување. Доколку постои согласност, надворешниот корисник мора писмено да потврди дека ќе ја чува доверливоста на податоците од институцијата. </w:t>
            </w:r>
          </w:p>
        </w:tc>
      </w:tr>
      <w:tr w:rsidR="00D404AE" w:rsidRPr="008662BF" w14:paraId="0E8BF702" w14:textId="77777777" w:rsidTr="009F3B36">
        <w:trPr>
          <w:cnfStyle w:val="000000100000" w:firstRow="0" w:lastRow="0" w:firstColumn="0" w:lastColumn="0" w:oddVBand="0" w:evenVBand="0" w:oddHBand="1" w:evenHBand="0" w:firstRowFirstColumn="0" w:firstRowLastColumn="0" w:lastRowFirstColumn="0" w:lastRowLastColumn="0"/>
          <w:trHeight w:val="1530"/>
        </w:trPr>
        <w:tc>
          <w:tcPr>
            <w:cnfStyle w:val="001000000000" w:firstRow="0" w:lastRow="0" w:firstColumn="1" w:lastColumn="0" w:oddVBand="0" w:evenVBand="0" w:oddHBand="0" w:evenHBand="0" w:firstRowFirstColumn="0" w:firstRowLastColumn="0" w:lastRowFirstColumn="0" w:lastRowLastColumn="0"/>
            <w:tcW w:w="1527" w:type="pct"/>
            <w:hideMark/>
          </w:tcPr>
          <w:p w14:paraId="7F5EADFA" w14:textId="77777777" w:rsidR="00D404AE" w:rsidRPr="008662BF" w:rsidRDefault="00D404AE" w:rsidP="00D404AE">
            <w:pPr>
              <w:rPr>
                <w:lang w:val="mk-MK"/>
              </w:rPr>
            </w:pPr>
            <w:r w:rsidRPr="008662BF">
              <w:rPr>
                <w:lang w:val="mk-MK"/>
              </w:rPr>
              <w:t>УКИМ, Медицински факултет, Институт за патологија</w:t>
            </w:r>
          </w:p>
        </w:tc>
        <w:tc>
          <w:tcPr>
            <w:tcW w:w="730" w:type="pct"/>
            <w:noWrap/>
            <w:hideMark/>
          </w:tcPr>
          <w:p w14:paraId="6E4543F5" w14:textId="77777777" w:rsidR="00D404AE" w:rsidRPr="008662BF" w:rsidRDefault="00685609" w:rsidP="00D404AE">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724CFCD2" w14:textId="72CC3AE4" w:rsidR="00D404AE" w:rsidRPr="008662BF" w:rsidRDefault="00401300" w:rsidP="00D02F89">
            <w:pPr>
              <w:jc w:val="both"/>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 xml:space="preserve">Политиката и процедурите за пристап </w:t>
            </w:r>
            <w:r w:rsidR="00D02F89" w:rsidRPr="008662BF">
              <w:rPr>
                <w:rFonts w:cs="Arial"/>
                <w:sz w:val="20"/>
                <w:szCs w:val="20"/>
                <w:lang w:val="mk-MK"/>
              </w:rPr>
              <w:t xml:space="preserve">на </w:t>
            </w:r>
            <w:r w:rsidRPr="008662BF">
              <w:rPr>
                <w:rFonts w:cs="Arial"/>
                <w:sz w:val="20"/>
                <w:szCs w:val="20"/>
                <w:lang w:val="mk-MK"/>
              </w:rPr>
              <w:t xml:space="preserve">корисниците на истражувачката инфраструктура на Институтот за патологија се засноваат на </w:t>
            </w:r>
            <w:r w:rsidR="00D02F89" w:rsidRPr="008662BF">
              <w:rPr>
                <w:rFonts w:cs="Arial"/>
                <w:sz w:val="20"/>
                <w:szCs w:val="20"/>
                <w:lang w:val="mk-MK"/>
              </w:rPr>
              <w:t xml:space="preserve">известување за </w:t>
            </w:r>
            <w:r w:rsidRPr="008662BF">
              <w:rPr>
                <w:rFonts w:cs="Arial"/>
                <w:sz w:val="20"/>
                <w:szCs w:val="20"/>
                <w:lang w:val="mk-MK"/>
              </w:rPr>
              <w:t>целите на истраж</w:t>
            </w:r>
            <w:r w:rsidR="00D02F89" w:rsidRPr="008662BF">
              <w:rPr>
                <w:rFonts w:cs="Arial"/>
                <w:sz w:val="20"/>
                <w:szCs w:val="20"/>
                <w:lang w:val="mk-MK"/>
              </w:rPr>
              <w:t xml:space="preserve">увањето </w:t>
            </w:r>
            <w:r w:rsidRPr="008662BF">
              <w:rPr>
                <w:rFonts w:cs="Arial"/>
                <w:sz w:val="20"/>
                <w:szCs w:val="20"/>
                <w:lang w:val="mk-MK"/>
              </w:rPr>
              <w:t>и</w:t>
            </w:r>
            <w:r w:rsidR="00A14CEC">
              <w:rPr>
                <w:rFonts w:cs="Arial"/>
                <w:sz w:val="20"/>
                <w:szCs w:val="20"/>
                <w:lang w:val="mk-MK"/>
              </w:rPr>
              <w:t xml:space="preserve"> на</w:t>
            </w:r>
            <w:r w:rsidRPr="008662BF">
              <w:rPr>
                <w:rFonts w:cs="Arial"/>
                <w:sz w:val="20"/>
                <w:szCs w:val="20"/>
                <w:lang w:val="mk-MK"/>
              </w:rPr>
              <w:t xml:space="preserve"> </w:t>
            </w:r>
            <w:r w:rsidR="00D02F89" w:rsidRPr="008662BF">
              <w:rPr>
                <w:rFonts w:cs="Arial"/>
                <w:sz w:val="20"/>
                <w:szCs w:val="20"/>
                <w:lang w:val="mk-MK"/>
              </w:rPr>
              <w:t xml:space="preserve">доставување </w:t>
            </w:r>
            <w:r w:rsidRPr="008662BF">
              <w:rPr>
                <w:rFonts w:cs="Arial"/>
                <w:sz w:val="20"/>
                <w:szCs w:val="20"/>
                <w:lang w:val="mk-MK"/>
              </w:rPr>
              <w:t xml:space="preserve">други податоци до вработените и </w:t>
            </w:r>
            <w:r w:rsidR="00A14CEC">
              <w:rPr>
                <w:rFonts w:cs="Arial"/>
                <w:sz w:val="20"/>
                <w:szCs w:val="20"/>
                <w:lang w:val="mk-MK"/>
              </w:rPr>
              <w:t xml:space="preserve">на </w:t>
            </w:r>
            <w:r w:rsidRPr="008662BF">
              <w:rPr>
                <w:rFonts w:cs="Arial"/>
                <w:sz w:val="20"/>
                <w:szCs w:val="20"/>
                <w:lang w:val="mk-MK"/>
              </w:rPr>
              <w:t>добивање писмена согласност од раководителот на Институтот за спроведување на истражување во некоја од лабораториите и одделенијата. Со оглед на чувствителноста на медицинските информации на пациентите, секој корисник треба да потпише документ за доверливост пред започнувањето со истражувачка</w:t>
            </w:r>
            <w:r w:rsidR="00D02F89" w:rsidRPr="008662BF">
              <w:rPr>
                <w:rFonts w:cs="Arial"/>
                <w:sz w:val="20"/>
                <w:szCs w:val="20"/>
                <w:lang w:val="mk-MK"/>
              </w:rPr>
              <w:t>та</w:t>
            </w:r>
            <w:r w:rsidRPr="008662BF">
              <w:rPr>
                <w:rFonts w:cs="Arial"/>
                <w:sz w:val="20"/>
                <w:szCs w:val="20"/>
                <w:lang w:val="mk-MK"/>
              </w:rPr>
              <w:t xml:space="preserve"> работа.</w:t>
            </w:r>
          </w:p>
        </w:tc>
      </w:tr>
      <w:tr w:rsidR="00D404AE" w:rsidRPr="008662BF" w14:paraId="4F678D59" w14:textId="77777777" w:rsidTr="009F3B36">
        <w:trPr>
          <w:trHeight w:val="777"/>
        </w:trPr>
        <w:tc>
          <w:tcPr>
            <w:cnfStyle w:val="001000000000" w:firstRow="0" w:lastRow="0" w:firstColumn="1" w:lastColumn="0" w:oddVBand="0" w:evenVBand="0" w:oddHBand="0" w:evenHBand="0" w:firstRowFirstColumn="0" w:firstRowLastColumn="0" w:lastRowFirstColumn="0" w:lastRowLastColumn="0"/>
            <w:tcW w:w="1527" w:type="pct"/>
            <w:hideMark/>
          </w:tcPr>
          <w:p w14:paraId="2A8FBECD" w14:textId="77777777" w:rsidR="00D404AE" w:rsidRPr="008662BF" w:rsidRDefault="00D404AE" w:rsidP="00D02F89">
            <w:pPr>
              <w:rPr>
                <w:lang w:val="mk-MK"/>
              </w:rPr>
            </w:pPr>
            <w:r w:rsidRPr="008662BF">
              <w:rPr>
                <w:lang w:val="mk-MK"/>
              </w:rPr>
              <w:t>УКИМ, Медицински факултет, Институт за патофизиологија и нуклеарна медицина</w:t>
            </w:r>
            <w:r w:rsidR="00A14CEC">
              <w:rPr>
                <w:lang w:val="mk-MK"/>
              </w:rPr>
              <w:t xml:space="preserve"> </w:t>
            </w:r>
            <w:r w:rsidR="009F3B36">
              <w:rPr>
                <w:lang w:val="mk-MK"/>
              </w:rPr>
              <w:t>–</w:t>
            </w:r>
            <w:r w:rsidR="00A14CEC">
              <w:rPr>
                <w:lang w:val="mk-MK"/>
              </w:rPr>
              <w:t xml:space="preserve"> </w:t>
            </w:r>
            <w:r w:rsidR="00D02F89" w:rsidRPr="008662BF">
              <w:rPr>
                <w:lang w:val="mk-MK"/>
              </w:rPr>
              <w:t xml:space="preserve"> Скоп</w:t>
            </w:r>
            <w:r w:rsidRPr="008662BF">
              <w:rPr>
                <w:lang w:val="mk-MK"/>
              </w:rPr>
              <w:t>је</w:t>
            </w:r>
          </w:p>
        </w:tc>
        <w:tc>
          <w:tcPr>
            <w:tcW w:w="730" w:type="pct"/>
            <w:noWrap/>
            <w:hideMark/>
          </w:tcPr>
          <w:p w14:paraId="6797855A" w14:textId="77777777" w:rsidR="00D404AE" w:rsidRPr="008662BF" w:rsidRDefault="00685609" w:rsidP="00D404AE">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3AE3C774" w14:textId="77777777" w:rsidR="00D404AE" w:rsidRPr="008662BF" w:rsidRDefault="00401300" w:rsidP="00401300">
            <w:pPr>
              <w:cnfStyle w:val="000000000000" w:firstRow="0" w:lastRow="0" w:firstColumn="0" w:lastColumn="0" w:oddVBand="0" w:evenVBand="0" w:oddHBand="0" w:evenHBand="0" w:firstRowFirstColumn="0" w:firstRowLastColumn="0" w:lastRowFirstColumn="0" w:lastRowLastColumn="0"/>
              <w:rPr>
                <w:rFonts w:cs="Arial"/>
                <w:color w:val="000000"/>
                <w:sz w:val="20"/>
                <w:szCs w:val="20"/>
                <w:lang w:val="mk-MK"/>
              </w:rPr>
            </w:pPr>
            <w:r w:rsidRPr="008662BF">
              <w:rPr>
                <w:rFonts w:cs="Arial"/>
                <w:color w:val="000000"/>
                <w:sz w:val="20"/>
                <w:szCs w:val="20"/>
                <w:lang w:val="mk-MK"/>
              </w:rPr>
              <w:t>Достапно само за вработените на Институтот</w:t>
            </w:r>
            <w:r w:rsidR="00D02F89" w:rsidRPr="008662BF">
              <w:rPr>
                <w:rFonts w:cs="Arial"/>
                <w:color w:val="000000"/>
                <w:sz w:val="20"/>
                <w:szCs w:val="20"/>
                <w:lang w:val="mk-MK"/>
              </w:rPr>
              <w:t>.</w:t>
            </w:r>
          </w:p>
        </w:tc>
      </w:tr>
      <w:tr w:rsidR="00D404AE" w:rsidRPr="008662BF" w14:paraId="337000FB" w14:textId="77777777" w:rsidTr="009F3B36">
        <w:trPr>
          <w:cnfStyle w:val="000000100000" w:firstRow="0" w:lastRow="0" w:firstColumn="0" w:lastColumn="0" w:oddVBand="0" w:evenVBand="0" w:oddHBand="1" w:evenHBand="0" w:firstRowFirstColumn="0" w:firstRowLastColumn="0" w:lastRowFirstColumn="0" w:lastRowLastColumn="0"/>
          <w:trHeight w:val="777"/>
        </w:trPr>
        <w:tc>
          <w:tcPr>
            <w:cnfStyle w:val="001000000000" w:firstRow="0" w:lastRow="0" w:firstColumn="1" w:lastColumn="0" w:oddVBand="0" w:evenVBand="0" w:oddHBand="0" w:evenHBand="0" w:firstRowFirstColumn="0" w:firstRowLastColumn="0" w:lastRowFirstColumn="0" w:lastRowLastColumn="0"/>
            <w:tcW w:w="1527" w:type="pct"/>
          </w:tcPr>
          <w:p w14:paraId="52A671DD" w14:textId="77777777" w:rsidR="00D404AE" w:rsidRPr="008662BF" w:rsidRDefault="00D404AE" w:rsidP="00D404AE">
            <w:pPr>
              <w:rPr>
                <w:lang w:val="mk-MK"/>
              </w:rPr>
            </w:pPr>
            <w:r w:rsidRPr="008662BF">
              <w:rPr>
                <w:lang w:val="mk-MK"/>
              </w:rPr>
              <w:t>УКИМ, Фармацевтски факултет</w:t>
            </w:r>
          </w:p>
        </w:tc>
        <w:tc>
          <w:tcPr>
            <w:tcW w:w="730" w:type="pct"/>
            <w:noWrap/>
          </w:tcPr>
          <w:p w14:paraId="566AFFA7" w14:textId="77777777" w:rsidR="00D404AE" w:rsidRPr="008662BF" w:rsidRDefault="00685609" w:rsidP="00D404AE">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tcPr>
          <w:p w14:paraId="61DE97BC" w14:textId="77777777" w:rsidR="00D404AE" w:rsidRPr="008662BF" w:rsidRDefault="00401300" w:rsidP="00D02F89">
            <w:pPr>
              <w:cnfStyle w:val="000000100000" w:firstRow="0" w:lastRow="0" w:firstColumn="0" w:lastColumn="0" w:oddVBand="0" w:evenVBand="0" w:oddHBand="1" w:evenHBand="0" w:firstRowFirstColumn="0" w:firstRowLastColumn="0" w:lastRowFirstColumn="0" w:lastRowLastColumn="0"/>
              <w:rPr>
                <w:rFonts w:cs="Arial"/>
                <w:color w:val="000000"/>
                <w:sz w:val="20"/>
                <w:szCs w:val="20"/>
                <w:lang w:val="mk-MK"/>
              </w:rPr>
            </w:pPr>
            <w:r w:rsidRPr="008662BF">
              <w:rPr>
                <w:rFonts w:cs="Arial"/>
                <w:color w:val="000000"/>
                <w:sz w:val="20"/>
                <w:szCs w:val="20"/>
                <w:lang w:val="mk-MK"/>
              </w:rPr>
              <w:t xml:space="preserve">Надворешните корисници се обврзани да потпишат договор за соработка за истражувачка и консултантска работа, како и изјава за доверливост. Тие, исто така, треба да достават и информации за истражувачката работа поврзана со употребата на одреден инструмент </w:t>
            </w:r>
            <w:r w:rsidR="00D02F89" w:rsidRPr="008662BF">
              <w:rPr>
                <w:rFonts w:cs="Arial"/>
                <w:color w:val="000000"/>
                <w:sz w:val="20"/>
                <w:szCs w:val="20"/>
                <w:lang w:val="mk-MK"/>
              </w:rPr>
              <w:t xml:space="preserve">од </w:t>
            </w:r>
            <w:r w:rsidRPr="008662BF">
              <w:rPr>
                <w:rFonts w:cs="Arial"/>
                <w:color w:val="000000"/>
                <w:sz w:val="20"/>
                <w:szCs w:val="20"/>
                <w:lang w:val="mk-MK"/>
              </w:rPr>
              <w:t>истражувачката инфраструктура.</w:t>
            </w:r>
          </w:p>
        </w:tc>
      </w:tr>
      <w:tr w:rsidR="007947BF" w:rsidRPr="008662BF" w14:paraId="212B7CD7" w14:textId="77777777" w:rsidTr="009F3B36">
        <w:trPr>
          <w:trHeight w:val="831"/>
        </w:trPr>
        <w:tc>
          <w:tcPr>
            <w:cnfStyle w:val="001000000000" w:firstRow="0" w:lastRow="0" w:firstColumn="1" w:lastColumn="0" w:oddVBand="0" w:evenVBand="0" w:oddHBand="0" w:evenHBand="0" w:firstRowFirstColumn="0" w:firstRowLastColumn="0" w:lastRowFirstColumn="0" w:lastRowLastColumn="0"/>
            <w:tcW w:w="1527" w:type="pct"/>
            <w:hideMark/>
          </w:tcPr>
          <w:p w14:paraId="6AE2766C" w14:textId="77777777" w:rsidR="007947BF" w:rsidRPr="008662BF" w:rsidRDefault="00D404AE" w:rsidP="00D404AE">
            <w:pPr>
              <w:rPr>
                <w:rFonts w:cs="Arial"/>
                <w:color w:val="000000"/>
                <w:sz w:val="20"/>
                <w:szCs w:val="20"/>
                <w:lang w:val="mk-MK"/>
              </w:rPr>
            </w:pPr>
            <w:r w:rsidRPr="008662BF">
              <w:rPr>
                <w:rFonts w:cs="Arial"/>
                <w:color w:val="000000"/>
                <w:sz w:val="20"/>
                <w:szCs w:val="20"/>
                <w:lang w:val="mk-MK"/>
              </w:rPr>
              <w:t xml:space="preserve">УКИМ, Институт за сточарство </w:t>
            </w:r>
          </w:p>
        </w:tc>
        <w:tc>
          <w:tcPr>
            <w:tcW w:w="730" w:type="pct"/>
            <w:hideMark/>
          </w:tcPr>
          <w:p w14:paraId="0CE5F3E4" w14:textId="77777777" w:rsidR="007947BF" w:rsidRPr="008662BF" w:rsidRDefault="00685609" w:rsidP="004B2AB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6CCA1F9B" w14:textId="77777777" w:rsidR="007947BF" w:rsidRPr="008662BF" w:rsidRDefault="000D5B51" w:rsidP="000D5B51">
            <w:p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Приста до истражувачката инфраструктура е дозволен за вработениот персонал. Дозволен е и пристап за надворешни лица, но потребно е писмено барање.</w:t>
            </w:r>
          </w:p>
        </w:tc>
      </w:tr>
      <w:tr w:rsidR="00D404AE" w:rsidRPr="008662BF" w14:paraId="392689BB" w14:textId="77777777" w:rsidTr="009F3B3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27" w:type="pct"/>
            <w:hideMark/>
          </w:tcPr>
          <w:p w14:paraId="1C60FD94" w14:textId="77777777" w:rsidR="00D404AE" w:rsidRPr="008662BF" w:rsidRDefault="00D404AE" w:rsidP="00D404AE">
            <w:pPr>
              <w:rPr>
                <w:lang w:val="mk-MK"/>
              </w:rPr>
            </w:pPr>
            <w:r w:rsidRPr="008662BF">
              <w:rPr>
                <w:lang w:val="mk-MK"/>
              </w:rPr>
              <w:t>УКИМ, Институт за македонска литература, Скопј</w:t>
            </w:r>
            <w:r w:rsidR="00D02F89" w:rsidRPr="008662BF">
              <w:rPr>
                <w:lang w:val="mk-MK"/>
              </w:rPr>
              <w:t>е, Академска библиотека</w:t>
            </w:r>
          </w:p>
        </w:tc>
        <w:tc>
          <w:tcPr>
            <w:tcW w:w="730" w:type="pct"/>
            <w:noWrap/>
            <w:hideMark/>
          </w:tcPr>
          <w:p w14:paraId="4FECD674" w14:textId="77777777" w:rsidR="00D404AE" w:rsidRPr="008662BF" w:rsidRDefault="00685609" w:rsidP="00D404AE">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4BEC091D" w14:textId="1FFC40A1" w:rsidR="00D404AE" w:rsidRPr="008662BF" w:rsidRDefault="00322A2E" w:rsidP="00D404AE">
            <w:pP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Пристапот до публикациите од надворешни корисници се дозволува по доставување писмено барање.</w:t>
            </w:r>
          </w:p>
        </w:tc>
      </w:tr>
      <w:tr w:rsidR="00D404AE" w:rsidRPr="008662BF" w14:paraId="36B1817A" w14:textId="77777777" w:rsidTr="009F3B36">
        <w:trPr>
          <w:trHeight w:val="752"/>
        </w:trPr>
        <w:tc>
          <w:tcPr>
            <w:cnfStyle w:val="001000000000" w:firstRow="0" w:lastRow="0" w:firstColumn="1" w:lastColumn="0" w:oddVBand="0" w:evenVBand="0" w:oddHBand="0" w:evenHBand="0" w:firstRowFirstColumn="0" w:firstRowLastColumn="0" w:lastRowFirstColumn="0" w:lastRowLastColumn="0"/>
            <w:tcW w:w="1527" w:type="pct"/>
            <w:hideMark/>
          </w:tcPr>
          <w:p w14:paraId="167EAFDD" w14:textId="77777777" w:rsidR="00D404AE" w:rsidRPr="008662BF" w:rsidRDefault="00D404AE" w:rsidP="00D404AE">
            <w:pPr>
              <w:rPr>
                <w:lang w:val="mk-MK"/>
              </w:rPr>
            </w:pPr>
            <w:r w:rsidRPr="008662BF">
              <w:rPr>
                <w:lang w:val="mk-MK"/>
              </w:rPr>
              <w:t>УКИМ, Институт за земјотресно инженерство и инженерска сеизмологија</w:t>
            </w:r>
          </w:p>
        </w:tc>
        <w:tc>
          <w:tcPr>
            <w:tcW w:w="730" w:type="pct"/>
            <w:noWrap/>
            <w:hideMark/>
          </w:tcPr>
          <w:p w14:paraId="152D7E77" w14:textId="77777777" w:rsidR="00D404AE" w:rsidRPr="008662BF" w:rsidRDefault="00685609" w:rsidP="00D404AE">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0D595228" w14:textId="77777777" w:rsidR="00D404AE" w:rsidRPr="008662BF" w:rsidRDefault="00322A2E" w:rsidP="00D404AE">
            <w:p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По добивањето на барање за услуга, внатрешниот стручен тим прави понуда на цена за користење на истражувачка</w:t>
            </w:r>
            <w:r w:rsidR="007A03CC">
              <w:rPr>
                <w:rFonts w:cs="Arial"/>
                <w:sz w:val="20"/>
                <w:szCs w:val="20"/>
                <w:lang w:val="mk-MK"/>
              </w:rPr>
              <w:t>та</w:t>
            </w:r>
            <w:r w:rsidRPr="008662BF">
              <w:rPr>
                <w:rFonts w:cs="Arial"/>
                <w:sz w:val="20"/>
                <w:szCs w:val="20"/>
                <w:lang w:val="mk-MK"/>
              </w:rPr>
              <w:t xml:space="preserve"> инфраструктура.</w:t>
            </w:r>
          </w:p>
        </w:tc>
      </w:tr>
      <w:tr w:rsidR="00D404AE" w:rsidRPr="008662BF" w14:paraId="453CC444" w14:textId="77777777" w:rsidTr="00417197">
        <w:trPr>
          <w:cnfStyle w:val="000000100000" w:firstRow="0" w:lastRow="0" w:firstColumn="0" w:lastColumn="0" w:oddVBand="0" w:evenVBand="0" w:oddHBand="1"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0" w:type="pct"/>
            <w:hideMark/>
          </w:tcPr>
          <w:p w14:paraId="52C100F5" w14:textId="77777777" w:rsidR="00D404AE" w:rsidRPr="008662BF" w:rsidRDefault="00D404AE" w:rsidP="00D02F89">
            <w:pPr>
              <w:rPr>
                <w:lang w:val="mk-MK"/>
              </w:rPr>
            </w:pPr>
            <w:r w:rsidRPr="008662BF">
              <w:rPr>
                <w:lang w:val="mk-MK"/>
              </w:rPr>
              <w:t xml:space="preserve">Универзитет </w:t>
            </w:r>
            <w:r w:rsidR="00426DE8" w:rsidRPr="008662BF">
              <w:rPr>
                <w:lang w:val="mk-MK"/>
              </w:rPr>
              <w:t>„</w:t>
            </w:r>
            <w:r w:rsidRPr="008662BF">
              <w:rPr>
                <w:lang w:val="mk-MK"/>
              </w:rPr>
              <w:t>Св. Климент Охридски</w:t>
            </w:r>
            <w:r w:rsidR="00426DE8" w:rsidRPr="008662BF">
              <w:rPr>
                <w:lang w:val="mk-MK"/>
              </w:rPr>
              <w:t>“</w:t>
            </w:r>
            <w:r w:rsidRPr="008662BF">
              <w:rPr>
                <w:lang w:val="mk-MK"/>
              </w:rPr>
              <w:t xml:space="preserve">, ЈНУ Хидробиолошки </w:t>
            </w:r>
            <w:r w:rsidR="00426DE8" w:rsidRPr="008662BF">
              <w:rPr>
                <w:lang w:val="mk-MK"/>
              </w:rPr>
              <w:t>институт</w:t>
            </w:r>
            <w:r w:rsidR="007A03CC">
              <w:rPr>
                <w:lang w:val="mk-MK"/>
              </w:rPr>
              <w:t xml:space="preserve"> </w:t>
            </w:r>
            <w:r w:rsidR="00426DE8" w:rsidRPr="008662BF">
              <w:rPr>
                <w:lang w:val="mk-MK"/>
              </w:rPr>
              <w:t xml:space="preserve"> </w:t>
            </w:r>
            <w:r w:rsidR="009F3B36">
              <w:rPr>
                <w:lang w:val="mk-MK"/>
              </w:rPr>
              <w:t>–</w:t>
            </w:r>
            <w:r w:rsidR="007A03CC">
              <w:rPr>
                <w:lang w:val="mk-MK"/>
              </w:rPr>
              <w:t xml:space="preserve"> </w:t>
            </w:r>
            <w:r w:rsidRPr="008662BF">
              <w:rPr>
                <w:lang w:val="mk-MK"/>
              </w:rPr>
              <w:t>Охрид</w:t>
            </w:r>
          </w:p>
        </w:tc>
        <w:tc>
          <w:tcPr>
            <w:tcW w:w="0" w:type="pct"/>
            <w:noWrap/>
            <w:hideMark/>
          </w:tcPr>
          <w:p w14:paraId="514E9676" w14:textId="77777777" w:rsidR="00D404AE" w:rsidRPr="008662BF" w:rsidRDefault="00685609" w:rsidP="00D404AE">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0" w:type="pct"/>
            <w:hideMark/>
          </w:tcPr>
          <w:p w14:paraId="4EEF1671" w14:textId="0A1E1AC8" w:rsidR="00D404AE" w:rsidRPr="008662BF" w:rsidRDefault="00322A2E" w:rsidP="00D404AE">
            <w:pP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Политика на отворени врати за пристап на сите заинтересирани корисници. Пристап обично се добива по испраќање</w:t>
            </w:r>
            <w:r w:rsidR="00D02F89" w:rsidRPr="008662BF">
              <w:rPr>
                <w:rFonts w:cs="Arial"/>
                <w:sz w:val="20"/>
                <w:szCs w:val="20"/>
                <w:lang w:val="mk-MK"/>
              </w:rPr>
              <w:t xml:space="preserve"> </w:t>
            </w:r>
            <w:r w:rsidRPr="008662BF">
              <w:rPr>
                <w:rFonts w:cs="Arial"/>
                <w:sz w:val="20"/>
                <w:szCs w:val="20"/>
                <w:lang w:val="mk-MK"/>
              </w:rPr>
              <w:t>писмо за интерес.</w:t>
            </w:r>
          </w:p>
        </w:tc>
      </w:tr>
      <w:tr w:rsidR="007947BF" w:rsidRPr="008662BF" w14:paraId="617AF8EC" w14:textId="77777777" w:rsidTr="009F3B36">
        <w:trPr>
          <w:trHeight w:val="309"/>
        </w:trPr>
        <w:tc>
          <w:tcPr>
            <w:cnfStyle w:val="001000000000" w:firstRow="0" w:lastRow="0" w:firstColumn="1" w:lastColumn="0" w:oddVBand="0" w:evenVBand="0" w:oddHBand="0" w:evenHBand="0" w:firstRowFirstColumn="0" w:firstRowLastColumn="0" w:lastRowFirstColumn="0" w:lastRowLastColumn="0"/>
            <w:tcW w:w="1527" w:type="pct"/>
            <w:hideMark/>
          </w:tcPr>
          <w:p w14:paraId="47424F07" w14:textId="77777777" w:rsidR="007947BF" w:rsidRPr="008662BF" w:rsidRDefault="00706363" w:rsidP="00706363">
            <w:pPr>
              <w:rPr>
                <w:rFonts w:cs="Arial"/>
                <w:sz w:val="20"/>
                <w:szCs w:val="20"/>
                <w:lang w:val="mk-MK"/>
              </w:rPr>
            </w:pPr>
            <w:r w:rsidRPr="008662BF">
              <w:rPr>
                <w:rFonts w:cs="Arial"/>
                <w:sz w:val="20"/>
                <w:szCs w:val="20"/>
                <w:lang w:val="mk-MK"/>
              </w:rPr>
              <w:t xml:space="preserve">Универзитет </w:t>
            </w:r>
            <w:r w:rsidR="00426DE8" w:rsidRPr="008662BF">
              <w:rPr>
                <w:rFonts w:cs="Arial"/>
                <w:sz w:val="20"/>
                <w:szCs w:val="20"/>
                <w:lang w:val="mk-MK"/>
              </w:rPr>
              <w:t>„</w:t>
            </w:r>
            <w:r w:rsidRPr="008662BF">
              <w:rPr>
                <w:rFonts w:cs="Arial"/>
                <w:sz w:val="20"/>
                <w:szCs w:val="20"/>
                <w:lang w:val="mk-MK"/>
              </w:rPr>
              <w:t>Гоце Делчев</w:t>
            </w:r>
            <w:r w:rsidR="00426DE8" w:rsidRPr="008662BF">
              <w:rPr>
                <w:rFonts w:cs="Arial"/>
                <w:sz w:val="20"/>
                <w:szCs w:val="20"/>
                <w:lang w:val="mk-MK"/>
              </w:rPr>
              <w:t>“</w:t>
            </w:r>
            <w:r w:rsidRPr="008662BF">
              <w:rPr>
                <w:rFonts w:cs="Arial"/>
                <w:sz w:val="20"/>
                <w:szCs w:val="20"/>
                <w:lang w:val="mk-MK"/>
              </w:rPr>
              <w:t>, истражувачка група АМБИКОН</w:t>
            </w:r>
            <w:r w:rsidR="00426DE8" w:rsidRPr="008662BF">
              <w:rPr>
                <w:rFonts w:cs="Arial"/>
                <w:sz w:val="20"/>
                <w:szCs w:val="20"/>
                <w:lang w:val="mk-MK"/>
              </w:rPr>
              <w:t>,</w:t>
            </w:r>
            <w:r w:rsidRPr="008662BF">
              <w:rPr>
                <w:rFonts w:cs="Arial"/>
                <w:sz w:val="20"/>
                <w:szCs w:val="20"/>
                <w:lang w:val="mk-MK"/>
              </w:rPr>
              <w:t xml:space="preserve"> Факултет за природни и технички науки</w:t>
            </w:r>
          </w:p>
        </w:tc>
        <w:tc>
          <w:tcPr>
            <w:tcW w:w="730" w:type="pct"/>
            <w:noWrap/>
            <w:hideMark/>
          </w:tcPr>
          <w:p w14:paraId="55DE8FB7" w14:textId="77777777" w:rsidR="007947BF" w:rsidRPr="008662BF" w:rsidRDefault="00685609" w:rsidP="004B2AB0">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563C46F5" w14:textId="77777777" w:rsidR="007947BF" w:rsidRPr="008662BF" w:rsidRDefault="00322A2E" w:rsidP="00322A2E">
            <w:p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 xml:space="preserve">Општо, целата опрема што се користи за образовни и научни цели е бесплатна или се наплаќа врз основа на материјалните трошоци (АМБИКОН групацијата има политика за бесплатен пристап додека УНИЛАБ </w:t>
            </w:r>
            <w:r w:rsidRPr="008662BF">
              <w:rPr>
                <w:rFonts w:cs="Arial"/>
                <w:sz w:val="20"/>
                <w:szCs w:val="20"/>
                <w:lang w:val="mk-MK"/>
              </w:rPr>
              <w:lastRenderedPageBreak/>
              <w:t>наплаќа материјални трошоци или одобрува попуст на редовните цени).</w:t>
            </w:r>
          </w:p>
        </w:tc>
      </w:tr>
      <w:tr w:rsidR="00706363" w:rsidRPr="008662BF" w14:paraId="2DA4CEE5" w14:textId="77777777" w:rsidTr="009F3B36">
        <w:trPr>
          <w:cnfStyle w:val="000000100000" w:firstRow="0" w:lastRow="0" w:firstColumn="0" w:lastColumn="0" w:oddVBand="0" w:evenVBand="0" w:oddHBand="1" w:evenHBand="0" w:firstRowFirstColumn="0" w:firstRowLastColumn="0" w:lastRowFirstColumn="0" w:lastRowLastColumn="0"/>
          <w:trHeight w:val="1336"/>
        </w:trPr>
        <w:tc>
          <w:tcPr>
            <w:cnfStyle w:val="001000000000" w:firstRow="0" w:lastRow="0" w:firstColumn="1" w:lastColumn="0" w:oddVBand="0" w:evenVBand="0" w:oddHBand="0" w:evenHBand="0" w:firstRowFirstColumn="0" w:firstRowLastColumn="0" w:lastRowFirstColumn="0" w:lastRowLastColumn="0"/>
            <w:tcW w:w="1527" w:type="pct"/>
            <w:hideMark/>
          </w:tcPr>
          <w:p w14:paraId="45AC605B" w14:textId="77777777" w:rsidR="00706363" w:rsidRPr="008662BF" w:rsidRDefault="00706363" w:rsidP="00706363">
            <w:pPr>
              <w:rPr>
                <w:lang w:val="mk-MK"/>
              </w:rPr>
            </w:pPr>
            <w:r w:rsidRPr="008662BF">
              <w:rPr>
                <w:lang w:val="mk-MK"/>
              </w:rPr>
              <w:lastRenderedPageBreak/>
              <w:t>Универзитет во Тетово</w:t>
            </w:r>
          </w:p>
        </w:tc>
        <w:tc>
          <w:tcPr>
            <w:tcW w:w="730" w:type="pct"/>
            <w:noWrap/>
            <w:hideMark/>
          </w:tcPr>
          <w:p w14:paraId="00F96F1C" w14:textId="77777777" w:rsidR="00706363" w:rsidRPr="008662BF" w:rsidRDefault="00685609" w:rsidP="00706363">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7C2835CC" w14:textId="77777777" w:rsidR="00706363" w:rsidRPr="008662BF" w:rsidRDefault="00015F9F" w:rsidP="00D02F89">
            <w:pP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 xml:space="preserve">Политиката за пристап се регулира според документот за процедури за итни случаи на Универзитетот Лејкхед, што е поставен во секоја лабораторија. Внатрешните процедури за пристап до истражувачката инфраструктура претежно </w:t>
            </w:r>
            <w:r w:rsidR="00D02F89" w:rsidRPr="008662BF">
              <w:rPr>
                <w:rFonts w:cs="Arial"/>
                <w:sz w:val="20"/>
                <w:szCs w:val="20"/>
                <w:lang w:val="mk-MK"/>
              </w:rPr>
              <w:t xml:space="preserve">се однесуваат на </w:t>
            </w:r>
            <w:r w:rsidRPr="008662BF">
              <w:rPr>
                <w:rFonts w:cs="Arial"/>
                <w:sz w:val="20"/>
                <w:szCs w:val="20"/>
                <w:lang w:val="mk-MK"/>
              </w:rPr>
              <w:t>студентите.</w:t>
            </w:r>
          </w:p>
        </w:tc>
      </w:tr>
      <w:tr w:rsidR="00706363" w:rsidRPr="008662BF" w14:paraId="3BC09F77" w14:textId="77777777" w:rsidTr="009F3B36">
        <w:trPr>
          <w:trHeight w:val="510"/>
        </w:trPr>
        <w:tc>
          <w:tcPr>
            <w:cnfStyle w:val="001000000000" w:firstRow="0" w:lastRow="0" w:firstColumn="1" w:lastColumn="0" w:oddVBand="0" w:evenVBand="0" w:oddHBand="0" w:evenHBand="0" w:firstRowFirstColumn="0" w:firstRowLastColumn="0" w:lastRowFirstColumn="0" w:lastRowLastColumn="0"/>
            <w:tcW w:w="1527" w:type="pct"/>
            <w:hideMark/>
          </w:tcPr>
          <w:p w14:paraId="26A1E8E8" w14:textId="77777777" w:rsidR="00706363" w:rsidRPr="008662BF" w:rsidRDefault="00706363" w:rsidP="00706363">
            <w:pPr>
              <w:rPr>
                <w:lang w:val="mk-MK"/>
              </w:rPr>
            </w:pPr>
            <w:r w:rsidRPr="008662BF">
              <w:rPr>
                <w:lang w:val="mk-MK"/>
              </w:rPr>
              <w:t xml:space="preserve">Универзитет </w:t>
            </w:r>
            <w:r w:rsidR="00426DE8" w:rsidRPr="008662BF">
              <w:rPr>
                <w:lang w:val="mk-MK"/>
              </w:rPr>
              <w:t>„</w:t>
            </w:r>
            <w:r w:rsidRPr="008662BF">
              <w:rPr>
                <w:lang w:val="mk-MK"/>
              </w:rPr>
              <w:t>Мајка Тереза</w:t>
            </w:r>
            <w:r w:rsidR="00426DE8" w:rsidRPr="008662BF">
              <w:rPr>
                <w:lang w:val="mk-MK"/>
              </w:rPr>
              <w:t>“</w:t>
            </w:r>
            <w:r w:rsidR="009F3B36">
              <w:rPr>
                <w:lang w:val="mk-MK"/>
              </w:rPr>
              <w:t>–</w:t>
            </w:r>
            <w:r w:rsidRPr="008662BF">
              <w:rPr>
                <w:lang w:val="mk-MK"/>
              </w:rPr>
              <w:t xml:space="preserve"> Скопје</w:t>
            </w:r>
          </w:p>
        </w:tc>
        <w:tc>
          <w:tcPr>
            <w:tcW w:w="730" w:type="pct"/>
            <w:noWrap/>
            <w:hideMark/>
          </w:tcPr>
          <w:p w14:paraId="2C70CB39" w14:textId="77777777" w:rsidR="00706363" w:rsidRPr="008662BF" w:rsidRDefault="00685609" w:rsidP="00706363">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7E31135C" w14:textId="77777777" w:rsidR="00706363" w:rsidRPr="008662BF" w:rsidRDefault="00015F9F" w:rsidP="00015F9F">
            <w:p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Нема политика за пристап. Истражувачката опрема е достапна за образовниот и</w:t>
            </w:r>
            <w:r w:rsidR="007A03CC">
              <w:rPr>
                <w:rFonts w:cs="Arial"/>
                <w:sz w:val="20"/>
                <w:szCs w:val="20"/>
                <w:lang w:val="mk-MK"/>
              </w:rPr>
              <w:t xml:space="preserve"> за</w:t>
            </w:r>
            <w:r w:rsidRPr="008662BF">
              <w:rPr>
                <w:rFonts w:cs="Arial"/>
                <w:sz w:val="20"/>
                <w:szCs w:val="20"/>
                <w:lang w:val="mk-MK"/>
              </w:rPr>
              <w:t xml:space="preserve"> истражувачки кадар и </w:t>
            </w:r>
            <w:r w:rsidR="007A03CC">
              <w:rPr>
                <w:rFonts w:cs="Arial"/>
                <w:sz w:val="20"/>
                <w:szCs w:val="20"/>
                <w:lang w:val="mk-MK"/>
              </w:rPr>
              <w:t xml:space="preserve">за </w:t>
            </w:r>
            <w:r w:rsidRPr="008662BF">
              <w:rPr>
                <w:rFonts w:cs="Arial"/>
                <w:sz w:val="20"/>
                <w:szCs w:val="20"/>
                <w:lang w:val="mk-MK"/>
              </w:rPr>
              <w:t>студентите.</w:t>
            </w:r>
          </w:p>
        </w:tc>
      </w:tr>
      <w:tr w:rsidR="00706363" w:rsidRPr="008662BF" w14:paraId="6C6CDA3A" w14:textId="77777777" w:rsidTr="009F3B36">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527" w:type="pct"/>
            <w:hideMark/>
          </w:tcPr>
          <w:p w14:paraId="67B2798F" w14:textId="77777777" w:rsidR="00706363" w:rsidRPr="008662BF" w:rsidRDefault="00706363" w:rsidP="00D02F89">
            <w:pPr>
              <w:rPr>
                <w:lang w:val="mk-MK"/>
              </w:rPr>
            </w:pPr>
            <w:r w:rsidRPr="008662BF">
              <w:rPr>
                <w:lang w:val="mk-MK"/>
              </w:rPr>
              <w:t xml:space="preserve">Институт за напредни композити и роботика </w:t>
            </w:r>
            <w:r w:rsidR="00D02F89" w:rsidRPr="008662BF">
              <w:rPr>
                <w:lang w:val="mk-MK"/>
              </w:rPr>
              <w:t>–</w:t>
            </w:r>
            <w:r w:rsidRPr="008662BF">
              <w:rPr>
                <w:lang w:val="mk-MK"/>
              </w:rPr>
              <w:t>Прилеп</w:t>
            </w:r>
          </w:p>
        </w:tc>
        <w:tc>
          <w:tcPr>
            <w:tcW w:w="730" w:type="pct"/>
            <w:noWrap/>
            <w:hideMark/>
          </w:tcPr>
          <w:p w14:paraId="44EE6147" w14:textId="77777777" w:rsidR="00706363" w:rsidRPr="008662BF" w:rsidRDefault="00685609" w:rsidP="00706363">
            <w:pPr>
              <w:jc w:val="cente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hideMark/>
          </w:tcPr>
          <w:p w14:paraId="0816C414" w14:textId="3FF62061" w:rsidR="00706363" w:rsidRPr="008662BF" w:rsidRDefault="00015F9F" w:rsidP="00015F9F">
            <w:pPr>
              <w:cnfStyle w:val="000000100000" w:firstRow="0" w:lastRow="0" w:firstColumn="0" w:lastColumn="0" w:oddVBand="0" w:evenVBand="0" w:oddHBand="1" w:evenHBand="0" w:firstRowFirstColumn="0" w:firstRowLastColumn="0" w:lastRowFirstColumn="0" w:lastRowLastColumn="0"/>
              <w:rPr>
                <w:rFonts w:cs="Arial"/>
                <w:sz w:val="20"/>
                <w:szCs w:val="20"/>
                <w:lang w:val="mk-MK"/>
              </w:rPr>
            </w:pPr>
            <w:r w:rsidRPr="008662BF">
              <w:rPr>
                <w:rFonts w:cs="Arial"/>
                <w:sz w:val="20"/>
                <w:szCs w:val="20"/>
                <w:lang w:val="mk-MK"/>
              </w:rPr>
              <w:t>По добивањето барање за услуга, внатрешниот стручен тим прави понуда на цена за користење на истражувачка инфраструктура.</w:t>
            </w:r>
          </w:p>
        </w:tc>
      </w:tr>
      <w:tr w:rsidR="00706363" w:rsidRPr="008662BF" w14:paraId="66869BA1" w14:textId="77777777" w:rsidTr="009F3B36">
        <w:trPr>
          <w:trHeight w:val="829"/>
        </w:trPr>
        <w:tc>
          <w:tcPr>
            <w:cnfStyle w:val="001000000000" w:firstRow="0" w:lastRow="0" w:firstColumn="1" w:lastColumn="0" w:oddVBand="0" w:evenVBand="0" w:oddHBand="0" w:evenHBand="0" w:firstRowFirstColumn="0" w:firstRowLastColumn="0" w:lastRowFirstColumn="0" w:lastRowLastColumn="0"/>
            <w:tcW w:w="1527" w:type="pct"/>
          </w:tcPr>
          <w:p w14:paraId="26FCCE4B" w14:textId="77777777" w:rsidR="00706363" w:rsidRPr="008662BF" w:rsidRDefault="00706363" w:rsidP="00706363">
            <w:pPr>
              <w:rPr>
                <w:lang w:val="mk-MK"/>
              </w:rPr>
            </w:pPr>
            <w:r w:rsidRPr="008662BF">
              <w:rPr>
                <w:lang w:val="mk-MK"/>
              </w:rPr>
              <w:t xml:space="preserve">МАНУ, Истражувачки центар за за генетско инженерство и биотехнологија </w:t>
            </w:r>
            <w:r w:rsidR="00426DE8" w:rsidRPr="008662BF">
              <w:rPr>
                <w:lang w:val="mk-MK"/>
              </w:rPr>
              <w:t>„</w:t>
            </w:r>
            <w:r w:rsidRPr="008662BF">
              <w:rPr>
                <w:lang w:val="mk-MK"/>
              </w:rPr>
              <w:t>Георги Д. Ефремов</w:t>
            </w:r>
            <w:r w:rsidR="00426DE8" w:rsidRPr="008662BF">
              <w:rPr>
                <w:lang w:val="mk-MK"/>
              </w:rPr>
              <w:t>“</w:t>
            </w:r>
          </w:p>
        </w:tc>
        <w:tc>
          <w:tcPr>
            <w:tcW w:w="730" w:type="pct"/>
            <w:noWrap/>
          </w:tcPr>
          <w:p w14:paraId="4B82EA63" w14:textId="77777777" w:rsidR="00706363" w:rsidRPr="008662BF" w:rsidRDefault="00685609" w:rsidP="00706363">
            <w:pPr>
              <w:jc w:val="cente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Не</w:t>
            </w:r>
          </w:p>
        </w:tc>
        <w:tc>
          <w:tcPr>
            <w:tcW w:w="2743" w:type="pct"/>
          </w:tcPr>
          <w:p w14:paraId="7866BB51" w14:textId="77777777" w:rsidR="00706363" w:rsidRPr="008662BF" w:rsidRDefault="002A2CA9" w:rsidP="00706363">
            <w:p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ИЦГИБ има политика за отворен пристап за користење на неговата експертиза и капацитети за научници од земјата и од странство. Главните принципи за дозвола на пристап на корисни</w:t>
            </w:r>
            <w:r w:rsidR="00D02F89" w:rsidRPr="008662BF">
              <w:rPr>
                <w:rFonts w:cs="Arial"/>
                <w:sz w:val="20"/>
                <w:szCs w:val="20"/>
                <w:lang w:val="mk-MK"/>
              </w:rPr>
              <w:t xml:space="preserve">ците </w:t>
            </w:r>
            <w:r w:rsidRPr="008662BF">
              <w:rPr>
                <w:rFonts w:cs="Arial"/>
                <w:sz w:val="20"/>
                <w:szCs w:val="20"/>
                <w:lang w:val="mk-MK"/>
              </w:rPr>
              <w:t>се засноваат на следново:</w:t>
            </w:r>
          </w:p>
          <w:p w14:paraId="182D0D16" w14:textId="77777777" w:rsidR="002A2CA9" w:rsidRPr="008662BF" w:rsidRDefault="002A2CA9" w:rsidP="002A2CA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 xml:space="preserve">Заеднички истражувачки проекти во </w:t>
            </w:r>
            <w:r w:rsidR="00D02F89" w:rsidRPr="008662BF">
              <w:rPr>
                <w:rFonts w:cs="Arial"/>
                <w:sz w:val="20"/>
                <w:szCs w:val="20"/>
                <w:lang w:val="mk-MK"/>
              </w:rPr>
              <w:t xml:space="preserve">областа </w:t>
            </w:r>
            <w:r w:rsidRPr="008662BF">
              <w:rPr>
                <w:rFonts w:cs="Arial"/>
                <w:sz w:val="20"/>
                <w:szCs w:val="20"/>
                <w:lang w:val="mk-MK"/>
              </w:rPr>
              <w:t xml:space="preserve">на тековните истражувања на ИЦГИБ </w:t>
            </w:r>
            <w:r w:rsidR="00D02F89" w:rsidRPr="008662BF">
              <w:rPr>
                <w:rFonts w:cs="Arial"/>
                <w:sz w:val="20"/>
                <w:szCs w:val="20"/>
                <w:lang w:val="mk-MK"/>
              </w:rPr>
              <w:t>–</w:t>
            </w:r>
            <w:r w:rsidRPr="008662BF">
              <w:rPr>
                <w:rFonts w:cs="Arial"/>
                <w:sz w:val="20"/>
                <w:szCs w:val="20"/>
                <w:lang w:val="mk-MK"/>
              </w:rPr>
              <w:t xml:space="preserve"> МАНУ</w:t>
            </w:r>
            <w:r w:rsidR="00D02F89" w:rsidRPr="008662BF">
              <w:rPr>
                <w:rFonts w:cs="Arial"/>
                <w:sz w:val="20"/>
                <w:szCs w:val="20"/>
                <w:lang w:val="mk-MK"/>
              </w:rPr>
              <w:t>;</w:t>
            </w:r>
          </w:p>
          <w:p w14:paraId="135BC5CF" w14:textId="77777777" w:rsidR="002A2CA9" w:rsidRPr="008662BF" w:rsidRDefault="002A2CA9" w:rsidP="002A2CA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Бесплатен пристап со тоа што потрошниот материјал го покриваат корисниците; резултатите треба заеднички да се објават</w:t>
            </w:r>
            <w:r w:rsidR="00D02F89" w:rsidRPr="008662BF">
              <w:rPr>
                <w:rFonts w:cs="Arial"/>
                <w:sz w:val="20"/>
                <w:szCs w:val="20"/>
                <w:lang w:val="mk-MK"/>
              </w:rPr>
              <w:t>;</w:t>
            </w:r>
          </w:p>
          <w:p w14:paraId="42C04E3F" w14:textId="77777777" w:rsidR="002A2CA9" w:rsidRPr="008662BF" w:rsidRDefault="002A2CA9" w:rsidP="002A2CA9">
            <w:pPr>
              <w:pStyle w:val="ListParagraph"/>
              <w:numPr>
                <w:ilvl w:val="0"/>
                <w:numId w:val="52"/>
              </w:numPr>
              <w:cnfStyle w:val="000000000000" w:firstRow="0" w:lastRow="0" w:firstColumn="0" w:lastColumn="0" w:oddVBand="0" w:evenVBand="0" w:oddHBand="0" w:evenHBand="0" w:firstRowFirstColumn="0" w:firstRowLastColumn="0" w:lastRowFirstColumn="0" w:lastRowLastColumn="0"/>
              <w:rPr>
                <w:rFonts w:cs="Arial"/>
                <w:sz w:val="20"/>
                <w:szCs w:val="20"/>
                <w:lang w:val="mk-MK"/>
              </w:rPr>
            </w:pPr>
            <w:r w:rsidRPr="008662BF">
              <w:rPr>
                <w:rFonts w:cs="Arial"/>
                <w:sz w:val="20"/>
                <w:szCs w:val="20"/>
                <w:lang w:val="mk-MK"/>
              </w:rPr>
              <w:t>Платени услуги</w:t>
            </w:r>
            <w:r w:rsidR="00D02F89" w:rsidRPr="008662BF">
              <w:rPr>
                <w:rFonts w:cs="Arial"/>
                <w:sz w:val="20"/>
                <w:szCs w:val="20"/>
                <w:lang w:val="mk-MK"/>
              </w:rPr>
              <w:t>.</w:t>
            </w:r>
          </w:p>
        </w:tc>
      </w:tr>
    </w:tbl>
    <w:p w14:paraId="550D5A09" w14:textId="77777777" w:rsidR="00685609" w:rsidRPr="008662BF" w:rsidRDefault="00685609" w:rsidP="007947BF">
      <w:pPr>
        <w:jc w:val="both"/>
        <w:rPr>
          <w:sz w:val="20"/>
          <w:shd w:val="clear" w:color="auto" w:fill="FFFFFF"/>
          <w:lang w:val="mk-MK"/>
        </w:rPr>
      </w:pPr>
      <w:r w:rsidRPr="008662BF">
        <w:rPr>
          <w:sz w:val="20"/>
          <w:shd w:val="clear" w:color="auto" w:fill="FFFFFF"/>
          <w:lang w:val="mk-MK"/>
        </w:rPr>
        <w:t xml:space="preserve">Извор: TE – Тим на експерти, анализа на </w:t>
      </w:r>
      <w:r w:rsidR="00D02F89" w:rsidRPr="008662BF">
        <w:rPr>
          <w:sz w:val="20"/>
          <w:shd w:val="clear" w:color="auto" w:fill="FFFFFF"/>
          <w:lang w:val="mk-MK"/>
        </w:rPr>
        <w:t xml:space="preserve">добиени </w:t>
      </w:r>
      <w:r w:rsidRPr="008662BF">
        <w:rPr>
          <w:sz w:val="20"/>
          <w:shd w:val="clear" w:color="auto" w:fill="FFFFFF"/>
          <w:lang w:val="mk-MK"/>
        </w:rPr>
        <w:t>прашалници</w:t>
      </w:r>
    </w:p>
    <w:p w14:paraId="7C43F058" w14:textId="77777777" w:rsidR="00685609" w:rsidRPr="008662BF" w:rsidRDefault="00685609" w:rsidP="007947BF">
      <w:pPr>
        <w:jc w:val="both"/>
        <w:rPr>
          <w:lang w:val="mk-MK"/>
        </w:rPr>
      </w:pPr>
      <w:r w:rsidRPr="008662BF">
        <w:rPr>
          <w:lang w:val="mk-MK"/>
        </w:rPr>
        <w:t xml:space="preserve">Секретаријатот на РЦЦ ја спроведе Програмата за поддршка на отворениот пристап до истражувачката инфраструктура во Западен Балкан во периодот од мај до декември 2020 година за </w:t>
      </w:r>
      <w:r w:rsidR="008662BF" w:rsidRPr="008662BF">
        <w:rPr>
          <w:lang w:val="mk-MK"/>
        </w:rPr>
        <w:t xml:space="preserve">да се обезбедат насоки за </w:t>
      </w:r>
      <w:r w:rsidRPr="008662BF">
        <w:rPr>
          <w:lang w:val="mk-MK"/>
        </w:rPr>
        <w:t xml:space="preserve">подготовката на политики за отворен пристап на избраните истражувачки инфраструктури во Западен Балкан и </w:t>
      </w:r>
      <w:r w:rsidR="008662BF" w:rsidRPr="008662BF">
        <w:rPr>
          <w:lang w:val="mk-MK"/>
        </w:rPr>
        <w:t xml:space="preserve">да се обучи </w:t>
      </w:r>
      <w:r w:rsidRPr="008662BF">
        <w:rPr>
          <w:lang w:val="mk-MK"/>
        </w:rPr>
        <w:t>раководниот, административниот и истражувачкиот кадар за воведување на принципи за отворен пристап до истражувачки</w:t>
      </w:r>
      <w:r w:rsidR="00D02F89" w:rsidRPr="008662BF">
        <w:rPr>
          <w:lang w:val="mk-MK"/>
        </w:rPr>
        <w:t>те</w:t>
      </w:r>
      <w:r w:rsidRPr="008662BF">
        <w:rPr>
          <w:lang w:val="mk-MK"/>
        </w:rPr>
        <w:t xml:space="preserve"> инфраструктури.</w:t>
      </w:r>
    </w:p>
    <w:p w14:paraId="55686172" w14:textId="6C21E3B1" w:rsidR="00B33632" w:rsidRPr="008662BF" w:rsidRDefault="00B33632" w:rsidP="007947BF">
      <w:pPr>
        <w:spacing w:after="0"/>
        <w:jc w:val="both"/>
        <w:rPr>
          <w:lang w:val="mk-MK"/>
        </w:rPr>
      </w:pPr>
      <w:r w:rsidRPr="008662BF">
        <w:rPr>
          <w:lang w:val="mk-MK"/>
        </w:rPr>
        <w:t xml:space="preserve">Во оваа програма учествуваа следните истражувачки институции од </w:t>
      </w:r>
      <w:r w:rsidR="00417197">
        <w:rPr>
          <w:lang w:val="mk-MK"/>
        </w:rPr>
        <w:t>Република Северна Македонија</w:t>
      </w:r>
      <w:r w:rsidRPr="008662BF">
        <w:rPr>
          <w:lang w:val="mk-MK"/>
        </w:rPr>
        <w:t>:</w:t>
      </w:r>
    </w:p>
    <w:p w14:paraId="206F2776" w14:textId="60450C24" w:rsidR="00B33632" w:rsidRPr="008662BF" w:rsidRDefault="00B33632" w:rsidP="00B33632">
      <w:pPr>
        <w:pStyle w:val="ListParagraph"/>
        <w:numPr>
          <w:ilvl w:val="0"/>
          <w:numId w:val="16"/>
        </w:numPr>
        <w:jc w:val="both"/>
        <w:rPr>
          <w:lang w:val="mk-MK"/>
        </w:rPr>
      </w:pPr>
      <w:r w:rsidRPr="008662BF">
        <w:rPr>
          <w:lang w:val="mk-MK"/>
        </w:rPr>
        <w:t xml:space="preserve">Институт за општествени, политички и правни истражувања, Универзитет Св. Кирил и Методиј </w:t>
      </w:r>
      <w:r w:rsidR="007A03CC">
        <w:rPr>
          <w:rFonts w:cstheme="minorHAnsi"/>
          <w:lang w:val="mk-MK"/>
        </w:rPr>
        <w:t>–</w:t>
      </w:r>
      <w:r w:rsidRPr="008662BF">
        <w:rPr>
          <w:lang w:val="mk-MK"/>
        </w:rPr>
        <w:t xml:space="preserve"> Скопје</w:t>
      </w:r>
    </w:p>
    <w:p w14:paraId="6349938F" w14:textId="53EFB84A" w:rsidR="00B33632" w:rsidRPr="008662BF" w:rsidRDefault="00B33632" w:rsidP="00B33632">
      <w:pPr>
        <w:pStyle w:val="ListParagraph"/>
        <w:numPr>
          <w:ilvl w:val="0"/>
          <w:numId w:val="16"/>
        </w:numPr>
        <w:jc w:val="both"/>
        <w:rPr>
          <w:lang w:val="mk-MK"/>
        </w:rPr>
      </w:pPr>
      <w:r w:rsidRPr="008662BF">
        <w:rPr>
          <w:lang w:val="mk-MK"/>
        </w:rPr>
        <w:t xml:space="preserve">Економски институт, Св. Кирил и Методиј </w:t>
      </w:r>
      <w:r w:rsidR="007A03CC">
        <w:rPr>
          <w:rFonts w:cstheme="minorHAnsi"/>
          <w:lang w:val="mk-MK"/>
        </w:rPr>
        <w:t>–</w:t>
      </w:r>
      <w:r w:rsidRPr="008662BF">
        <w:rPr>
          <w:lang w:val="mk-MK"/>
        </w:rPr>
        <w:t xml:space="preserve"> Скопје</w:t>
      </w:r>
    </w:p>
    <w:p w14:paraId="18AECFE9" w14:textId="77777777" w:rsidR="00B33632" w:rsidRPr="008662BF" w:rsidRDefault="00B33632" w:rsidP="00B33632">
      <w:pPr>
        <w:pStyle w:val="ListParagraph"/>
        <w:numPr>
          <w:ilvl w:val="0"/>
          <w:numId w:val="16"/>
        </w:numPr>
        <w:jc w:val="both"/>
        <w:rPr>
          <w:lang w:val="mk-MK"/>
        </w:rPr>
      </w:pPr>
      <w:r w:rsidRPr="008662BF">
        <w:rPr>
          <w:lang w:val="mk-MK"/>
        </w:rPr>
        <w:t>Факултет за компјутерски науки и инженерство, Универзитет Св. Кирил и Методиј – Скопје</w:t>
      </w:r>
    </w:p>
    <w:p w14:paraId="056AD3E6" w14:textId="2E7DC859" w:rsidR="00B33632" w:rsidRPr="008662BF" w:rsidRDefault="00B33632" w:rsidP="00B33632">
      <w:pPr>
        <w:pStyle w:val="ListParagraph"/>
        <w:numPr>
          <w:ilvl w:val="0"/>
          <w:numId w:val="16"/>
        </w:numPr>
        <w:jc w:val="both"/>
        <w:rPr>
          <w:lang w:val="mk-MK"/>
        </w:rPr>
      </w:pPr>
      <w:r w:rsidRPr="008662BF">
        <w:rPr>
          <w:lang w:val="mk-MK"/>
        </w:rPr>
        <w:t xml:space="preserve">Ректорат на Универзитетот Св. Кирил и Методиј </w:t>
      </w:r>
      <w:r w:rsidR="007A03CC">
        <w:rPr>
          <w:rFonts w:cstheme="minorHAnsi"/>
          <w:lang w:val="mk-MK"/>
        </w:rPr>
        <w:t>–</w:t>
      </w:r>
      <w:r w:rsidRPr="008662BF">
        <w:rPr>
          <w:lang w:val="mk-MK"/>
        </w:rPr>
        <w:t xml:space="preserve"> Скопје</w:t>
      </w:r>
    </w:p>
    <w:p w14:paraId="6E4FBF25" w14:textId="2A7BD387" w:rsidR="00F051CE" w:rsidRPr="008662BF" w:rsidRDefault="00F051CE" w:rsidP="00F051CE">
      <w:pPr>
        <w:jc w:val="both"/>
        <w:rPr>
          <w:lang w:val="mk-MK"/>
        </w:rPr>
      </w:pPr>
      <w:r w:rsidRPr="008662BF">
        <w:rPr>
          <w:lang w:val="mk-MK"/>
        </w:rPr>
        <w:t>Како резултат на програмата, сите институции</w:t>
      </w:r>
      <w:r w:rsidR="007A03CC">
        <w:rPr>
          <w:lang w:val="mk-MK"/>
        </w:rPr>
        <w:t xml:space="preserve"> што се </w:t>
      </w:r>
      <w:r w:rsidRPr="008662BF">
        <w:rPr>
          <w:lang w:val="mk-MK"/>
        </w:rPr>
        <w:t>кориснички подготвија политики за пристап до истражувачки</w:t>
      </w:r>
      <w:r w:rsidR="007A03CC">
        <w:rPr>
          <w:lang w:val="mk-MK"/>
        </w:rPr>
        <w:t>те</w:t>
      </w:r>
      <w:r w:rsidRPr="008662BF">
        <w:rPr>
          <w:lang w:val="mk-MK"/>
        </w:rPr>
        <w:t xml:space="preserve"> инфраструктури.</w:t>
      </w:r>
    </w:p>
    <w:p w14:paraId="0464EF2C" w14:textId="1A959D73" w:rsidR="00F051CE" w:rsidRPr="008662BF" w:rsidRDefault="00F051CE" w:rsidP="00F051CE">
      <w:pPr>
        <w:jc w:val="both"/>
        <w:rPr>
          <w:lang w:val="mk-MK"/>
        </w:rPr>
      </w:pPr>
      <w:r w:rsidRPr="009D131E">
        <w:rPr>
          <w:lang w:val="mk-MK"/>
        </w:rPr>
        <w:t xml:space="preserve">Исто така, треба да се напомене дека со поддршка на проектот NI4OS-Europe веќе започнаа првичните активности за воспоставување на Националната иницијатива за отворена наука во облак (NOSCI) во </w:t>
      </w:r>
      <w:r w:rsidR="00417197">
        <w:rPr>
          <w:lang w:val="mk-MK"/>
        </w:rPr>
        <w:t>Република Северна Македонија</w:t>
      </w:r>
      <w:r w:rsidRPr="009D131E">
        <w:rPr>
          <w:lang w:val="mk-MK"/>
        </w:rPr>
        <w:t xml:space="preserve">. Веб-страницата </w:t>
      </w:r>
      <w:hyperlink r:id="rId10" w:history="1">
        <w:r w:rsidRPr="009D131E">
          <w:rPr>
            <w:rStyle w:val="Hyperlink"/>
            <w:color w:val="auto"/>
            <w:lang w:val="mk-MK"/>
          </w:rPr>
          <w:t>https://nosci.mk/</w:t>
        </w:r>
      </w:hyperlink>
      <w:r w:rsidRPr="009D131E">
        <w:rPr>
          <w:lang w:val="mk-MK"/>
        </w:rPr>
        <w:t xml:space="preserve"> веќе функционира</w:t>
      </w:r>
      <w:r w:rsidR="008662BF" w:rsidRPr="009D131E">
        <w:rPr>
          <w:lang w:val="mk-MK"/>
        </w:rPr>
        <w:t xml:space="preserve"> и </w:t>
      </w:r>
      <w:r w:rsidRPr="009D131E">
        <w:rPr>
          <w:lang w:val="mk-MK"/>
        </w:rPr>
        <w:t>содржи корисни информации за сите принципи</w:t>
      </w:r>
      <w:r w:rsidR="007A03CC">
        <w:rPr>
          <w:lang w:val="mk-MK"/>
        </w:rPr>
        <w:t xml:space="preserve"> што се</w:t>
      </w:r>
      <w:r w:rsidRPr="009D131E">
        <w:rPr>
          <w:lang w:val="mk-MK"/>
        </w:rPr>
        <w:t xml:space="preserve"> поврзани со отворената </w:t>
      </w:r>
      <w:r w:rsidRPr="009D131E">
        <w:rPr>
          <w:lang w:val="mk-MK"/>
        </w:rPr>
        <w:lastRenderedPageBreak/>
        <w:t xml:space="preserve">наука, на македонски, албански и </w:t>
      </w:r>
      <w:r w:rsidR="007A03CC">
        <w:rPr>
          <w:lang w:val="mk-MK"/>
        </w:rPr>
        <w:t xml:space="preserve">на </w:t>
      </w:r>
      <w:r w:rsidRPr="009D131E">
        <w:rPr>
          <w:lang w:val="mk-MK"/>
        </w:rPr>
        <w:t>англиски јазик. Нацрт</w:t>
      </w:r>
      <w:r w:rsidR="007A03CC">
        <w:rPr>
          <w:lang w:val="mk-MK"/>
        </w:rPr>
        <w:t>-</w:t>
      </w:r>
      <w:r w:rsidRPr="009D131E">
        <w:rPr>
          <w:lang w:val="mk-MK"/>
        </w:rPr>
        <w:t xml:space="preserve">верзијата на Декларацијата на NOSCI.mk во моментов е во фаза на подготовка, а ќе биде отворена за сите поединци и институции </w:t>
      </w:r>
      <w:r w:rsidR="007A03CC">
        <w:rPr>
          <w:lang w:val="mk-MK"/>
        </w:rPr>
        <w:t>што</w:t>
      </w:r>
      <w:r w:rsidRPr="009D131E">
        <w:rPr>
          <w:lang w:val="mk-MK"/>
        </w:rPr>
        <w:t xml:space="preserve"> се заинтересирани да го поддржат NOSCI.mk.</w:t>
      </w:r>
    </w:p>
    <w:p w14:paraId="2F3820DC" w14:textId="77777777" w:rsidR="00F0126E" w:rsidRPr="008662BF" w:rsidRDefault="00F0126E" w:rsidP="00F0126E">
      <w:pPr>
        <w:pStyle w:val="Heading2"/>
        <w:numPr>
          <w:ilvl w:val="1"/>
          <w:numId w:val="16"/>
        </w:numPr>
        <w:spacing w:after="240"/>
        <w:rPr>
          <w:rFonts w:asciiTheme="minorHAnsi" w:hAnsiTheme="minorHAnsi"/>
          <w:lang w:val="mk-MK"/>
        </w:rPr>
      </w:pPr>
      <w:bookmarkStart w:id="27" w:name="_Toc86916062"/>
      <w:bookmarkStart w:id="28" w:name="_Toc61096333"/>
      <w:r w:rsidRPr="008662BF">
        <w:rPr>
          <w:rFonts w:asciiTheme="minorHAnsi" w:hAnsiTheme="minorHAnsi"/>
          <w:lang w:val="mk-MK"/>
        </w:rPr>
        <w:t>Истражувачка инфраструктура</w:t>
      </w:r>
      <w:bookmarkEnd w:id="27"/>
    </w:p>
    <w:bookmarkEnd w:id="28"/>
    <w:p w14:paraId="17516267" w14:textId="43F8359D" w:rsidR="00F0126E" w:rsidRPr="008662BF" w:rsidRDefault="00F0126E" w:rsidP="00F0126E">
      <w:pPr>
        <w:jc w:val="both"/>
        <w:rPr>
          <w:lang w:val="mk-MK"/>
        </w:rPr>
      </w:pPr>
      <w:r w:rsidRPr="008662BF">
        <w:rPr>
          <w:lang w:val="mk-MK"/>
        </w:rPr>
        <w:t>Современото образование и современ</w:t>
      </w:r>
      <w:r w:rsidR="008662BF" w:rsidRPr="008662BF">
        <w:rPr>
          <w:lang w:val="mk-MK"/>
        </w:rPr>
        <w:t xml:space="preserve">ите </w:t>
      </w:r>
      <w:r w:rsidRPr="008662BF">
        <w:rPr>
          <w:lang w:val="mk-MK"/>
        </w:rPr>
        <w:t>истражувањ</w:t>
      </w:r>
      <w:r w:rsidR="008662BF" w:rsidRPr="008662BF">
        <w:rPr>
          <w:lang w:val="mk-MK"/>
        </w:rPr>
        <w:t xml:space="preserve">а </w:t>
      </w:r>
      <w:r w:rsidRPr="008662BF">
        <w:rPr>
          <w:lang w:val="mk-MK"/>
        </w:rPr>
        <w:t>денес се незамисливи без потпирање на е-инфраструктурата и без користење на можностите што различните компоненти на е-инфраструктурата ги нудат во лабораториите, училниците и</w:t>
      </w:r>
      <w:r w:rsidR="007A03CC">
        <w:rPr>
          <w:lang w:val="mk-MK"/>
        </w:rPr>
        <w:t xml:space="preserve"> во</w:t>
      </w:r>
      <w:r w:rsidRPr="008662BF">
        <w:rPr>
          <w:lang w:val="mk-MK"/>
        </w:rPr>
        <w:t xml:space="preserve"> секојдневната соработка. С</w:t>
      </w:r>
      <w:r w:rsidR="008662BF" w:rsidRPr="008662BF">
        <w:rPr>
          <w:rFonts w:cstheme="minorHAnsi"/>
          <w:lang w:val="mk-MK"/>
        </w:rPr>
        <w:t>ѐ</w:t>
      </w:r>
      <w:r w:rsidRPr="008662BF">
        <w:rPr>
          <w:lang w:val="mk-MK"/>
        </w:rPr>
        <w:t xml:space="preserve"> поголемите потреби од е-инфраструктури се поттикнати од новите технологии и инфраструктури </w:t>
      </w:r>
      <w:r w:rsidR="007A03CC">
        <w:rPr>
          <w:lang w:val="mk-MK"/>
        </w:rPr>
        <w:t>што</w:t>
      </w:r>
      <w:r w:rsidRPr="008662BF">
        <w:rPr>
          <w:lang w:val="mk-MK"/>
        </w:rPr>
        <w:t xml:space="preserve"> генерираат значителни количини податоци во сите истражувачки области.</w:t>
      </w:r>
    </w:p>
    <w:p w14:paraId="2838D206" w14:textId="04B0AB2C" w:rsidR="00F0126E" w:rsidRPr="008662BF" w:rsidRDefault="00F0126E" w:rsidP="00F0126E">
      <w:pPr>
        <w:jc w:val="both"/>
        <w:rPr>
          <w:lang w:val="mk-MK"/>
        </w:rPr>
      </w:pPr>
      <w:r w:rsidRPr="008662BF">
        <w:rPr>
          <w:lang w:val="mk-MK"/>
        </w:rPr>
        <w:t>Е-инфраструктурата е сложена интегрирана средина</w:t>
      </w:r>
      <w:r w:rsidR="007A03CC">
        <w:rPr>
          <w:lang w:val="mk-MK"/>
        </w:rPr>
        <w:t xml:space="preserve"> што е</w:t>
      </w:r>
      <w:r w:rsidRPr="008662BF">
        <w:rPr>
          <w:lang w:val="mk-MK"/>
        </w:rPr>
        <w:t xml:space="preserve"> заснована на информациска и </w:t>
      </w:r>
      <w:r w:rsidR="007A03CC">
        <w:rPr>
          <w:lang w:val="mk-MK"/>
        </w:rPr>
        <w:t xml:space="preserve">на </w:t>
      </w:r>
      <w:r w:rsidRPr="008662BF">
        <w:rPr>
          <w:lang w:val="mk-MK"/>
        </w:rPr>
        <w:t xml:space="preserve">комуникациска технологија во која истражувачите, наставниците, студентите и другите членови на академската и истражувачката заедница соработуваат и заеднички имаат пристап до дистрибуирани или единствени компоненти на истражувачката и образовната инфраструктура, без оглед на видот и </w:t>
      </w:r>
      <w:r w:rsidR="007A03CC">
        <w:rPr>
          <w:lang w:val="mk-MK"/>
        </w:rPr>
        <w:t xml:space="preserve">на </w:t>
      </w:r>
      <w:r w:rsidRPr="008662BF">
        <w:rPr>
          <w:lang w:val="mk-MK"/>
        </w:rPr>
        <w:t xml:space="preserve">географската локација на оваа опрема. Се состои од низа меѓусебно поврзани слоеви: напредни комуникациски мрежи, компјутери и уреди за складирање </w:t>
      </w:r>
      <w:r w:rsidR="007A03CC">
        <w:rPr>
          <w:lang w:val="mk-MK"/>
        </w:rPr>
        <w:t>што</w:t>
      </w:r>
      <w:r w:rsidR="007A03CC" w:rsidRPr="008662BF">
        <w:rPr>
          <w:lang w:val="mk-MK"/>
        </w:rPr>
        <w:t xml:space="preserve"> </w:t>
      </w:r>
      <w:r w:rsidRPr="008662BF">
        <w:rPr>
          <w:lang w:val="mk-MK"/>
        </w:rPr>
        <w:t>се наоѓаат во центрите за податоци, среден слој, податочен слој и информациски слој во кој функционираат информациските системи и на корисниците им се обезбедуваат информациски услуги. Во меѓународен контекст, истражувачките е-инфраструктури опфаќаат федерација, складирање, чување големи сетови на податоци (</w:t>
      </w:r>
      <w:r w:rsidR="008662BF">
        <w:rPr>
          <w:lang w:val="mk-MK"/>
        </w:rPr>
        <w:t>Г</w:t>
      </w:r>
      <w:r w:rsidRPr="008662BF">
        <w:rPr>
          <w:lang w:val="mk-MK"/>
        </w:rPr>
        <w:t>лобал</w:t>
      </w:r>
      <w:r w:rsidR="008662BF">
        <w:rPr>
          <w:lang w:val="mk-MK"/>
        </w:rPr>
        <w:t xml:space="preserve">ен </w:t>
      </w:r>
      <w:r w:rsidRPr="008662BF">
        <w:rPr>
          <w:lang w:val="mk-MK"/>
        </w:rPr>
        <w:t>информативен систем за биолошка разновидност</w:t>
      </w:r>
      <w:r w:rsidR="00F61306">
        <w:rPr>
          <w:lang w:val="mk-MK"/>
        </w:rPr>
        <w:t xml:space="preserve"> (</w:t>
      </w:r>
      <w:r w:rsidRPr="008662BF">
        <w:rPr>
          <w:lang w:val="mk-MK"/>
        </w:rPr>
        <w:t>GBIF</w:t>
      </w:r>
      <w:r w:rsidR="00F61306">
        <w:rPr>
          <w:lang w:val="mk-MK"/>
        </w:rPr>
        <w:t>)</w:t>
      </w:r>
      <w:r w:rsidRPr="008662BF">
        <w:rPr>
          <w:lang w:val="mk-MK"/>
        </w:rPr>
        <w:t>, Меѓународ</w:t>
      </w:r>
      <w:r w:rsidR="008662BF">
        <w:rPr>
          <w:lang w:val="mk-MK"/>
        </w:rPr>
        <w:t xml:space="preserve">ен </w:t>
      </w:r>
      <w:r w:rsidRPr="008662BF">
        <w:rPr>
          <w:lang w:val="mk-MK"/>
        </w:rPr>
        <w:t xml:space="preserve">координативен </w:t>
      </w:r>
      <w:r w:rsidR="00BB06AC">
        <w:rPr>
          <w:lang w:val="mk-MK"/>
        </w:rPr>
        <w:t xml:space="preserve">центар </w:t>
      </w:r>
      <w:r w:rsidRPr="008662BF">
        <w:rPr>
          <w:lang w:val="mk-MK"/>
        </w:rPr>
        <w:t>за невроинформатика</w:t>
      </w:r>
      <w:r w:rsidR="00F61306">
        <w:rPr>
          <w:lang w:val="mk-MK"/>
        </w:rPr>
        <w:t xml:space="preserve"> (</w:t>
      </w:r>
      <w:r w:rsidRPr="008662BF">
        <w:rPr>
          <w:lang w:val="mk-MK"/>
        </w:rPr>
        <w:t>INCF</w:t>
      </w:r>
      <w:r w:rsidR="00F61306">
        <w:rPr>
          <w:lang w:val="mk-MK"/>
        </w:rPr>
        <w:t>)</w:t>
      </w:r>
      <w:r w:rsidRPr="008662BF">
        <w:rPr>
          <w:lang w:val="mk-MK"/>
        </w:rPr>
        <w:t>, Конзорциум</w:t>
      </w:r>
      <w:r w:rsidR="00FA2E32">
        <w:rPr>
          <w:lang w:val="mk-MK"/>
        </w:rPr>
        <w:t xml:space="preserve"> </w:t>
      </w:r>
      <w:r w:rsidRPr="008662BF">
        <w:rPr>
          <w:lang w:val="mk-MK"/>
        </w:rPr>
        <w:t>на европските архиви на податоци за општествени науки</w:t>
      </w:r>
      <w:r w:rsidR="00F61306">
        <w:rPr>
          <w:lang w:val="mk-MK"/>
        </w:rPr>
        <w:t xml:space="preserve"> (</w:t>
      </w:r>
      <w:r w:rsidRPr="008662BF">
        <w:rPr>
          <w:lang w:val="mk-MK"/>
        </w:rPr>
        <w:t>CESSDA</w:t>
      </w:r>
      <w:r w:rsidR="00F61306">
        <w:rPr>
          <w:lang w:val="mk-MK"/>
        </w:rPr>
        <w:t>)</w:t>
      </w:r>
      <w:r w:rsidRPr="008662BF">
        <w:rPr>
          <w:lang w:val="mk-MK"/>
        </w:rPr>
        <w:t>, Европски конзорциум за инфраструктура</w:t>
      </w:r>
      <w:r w:rsidR="00F61306">
        <w:rPr>
          <w:lang w:val="mk-MK"/>
        </w:rPr>
        <w:t xml:space="preserve"> (</w:t>
      </w:r>
      <w:r w:rsidRPr="008662BF">
        <w:rPr>
          <w:lang w:val="mk-MK"/>
        </w:rPr>
        <w:t>LifeWatch ERIC</w:t>
      </w:r>
      <w:r w:rsidR="00F61306">
        <w:rPr>
          <w:lang w:val="mk-MK"/>
        </w:rPr>
        <w:t>)</w:t>
      </w:r>
      <w:r w:rsidRPr="008662BF">
        <w:rPr>
          <w:lang w:val="mk-MK"/>
        </w:rPr>
        <w:t>) и пресметување со високи перформанси</w:t>
      </w:r>
      <w:r w:rsidR="00FA2E32">
        <w:rPr>
          <w:lang w:val="mk-MK"/>
        </w:rPr>
        <w:t xml:space="preserve"> </w:t>
      </w:r>
      <w:r w:rsidR="00F61306" w:rsidRPr="008662BF">
        <w:rPr>
          <w:lang w:val="mk-MK"/>
        </w:rPr>
        <w:t>и вмрежување</w:t>
      </w:r>
      <w:r w:rsidRPr="008662BF">
        <w:rPr>
          <w:lang w:val="mk-MK"/>
        </w:rPr>
        <w:t xml:space="preserve"> (GÉANT, PRACE).</w:t>
      </w:r>
    </w:p>
    <w:p w14:paraId="26DE0A65" w14:textId="58AAA996" w:rsidR="00F0126E" w:rsidRPr="008662BF" w:rsidRDefault="00417197" w:rsidP="00F0126E">
      <w:pPr>
        <w:jc w:val="both"/>
        <w:rPr>
          <w:lang w:val="mk-MK"/>
        </w:rPr>
      </w:pPr>
      <w:r>
        <w:rPr>
          <w:lang w:val="mk-MK"/>
        </w:rPr>
        <w:t>Република Северна Македонија</w:t>
      </w:r>
      <w:r w:rsidR="00F0126E" w:rsidRPr="008662BF">
        <w:rPr>
          <w:lang w:val="mk-MK"/>
        </w:rPr>
        <w:t xml:space="preserve"> придонесува за развојот на европската е-инфраструктура преку учество во меѓународни проекти</w:t>
      </w:r>
      <w:r w:rsidR="00FA2E32">
        <w:rPr>
          <w:lang w:val="mk-MK"/>
        </w:rPr>
        <w:t xml:space="preserve"> и</w:t>
      </w:r>
      <w:r w:rsidR="00F0126E" w:rsidRPr="008662BF">
        <w:rPr>
          <w:lang w:val="mk-MK"/>
        </w:rPr>
        <w:t xml:space="preserve"> </w:t>
      </w:r>
      <w:r w:rsidR="00FA2E32">
        <w:rPr>
          <w:lang w:val="mk-MK"/>
        </w:rPr>
        <w:t xml:space="preserve">во </w:t>
      </w:r>
      <w:r w:rsidR="00F0126E" w:rsidRPr="008662BF">
        <w:rPr>
          <w:lang w:val="mk-MK"/>
        </w:rPr>
        <w:t xml:space="preserve">меѓународни асоцијации и институции, со што придонесува за поголема интеграција на </w:t>
      </w:r>
      <w:r>
        <w:rPr>
          <w:lang w:val="mk-MK"/>
        </w:rPr>
        <w:t>Република Северна Македонија</w:t>
      </w:r>
      <w:r w:rsidR="00F0126E" w:rsidRPr="008662BF">
        <w:rPr>
          <w:lang w:val="mk-MK"/>
        </w:rPr>
        <w:t xml:space="preserve"> во Е</w:t>
      </w:r>
      <w:r w:rsidR="00F61306">
        <w:rPr>
          <w:lang w:val="mk-MK"/>
        </w:rPr>
        <w:t>вропската истражувачка област</w:t>
      </w:r>
      <w:r w:rsidR="00F0126E" w:rsidRPr="008662BF">
        <w:rPr>
          <w:lang w:val="mk-MK"/>
        </w:rPr>
        <w:t>.</w:t>
      </w:r>
    </w:p>
    <w:p w14:paraId="2F4192D8" w14:textId="38015AB5" w:rsidR="00F0126E" w:rsidRPr="008662BF" w:rsidRDefault="00F0126E" w:rsidP="00F0126E">
      <w:pPr>
        <w:jc w:val="both"/>
        <w:rPr>
          <w:lang w:val="mk-MK"/>
        </w:rPr>
      </w:pPr>
      <w:r w:rsidRPr="008662BF">
        <w:rPr>
          <w:lang w:val="mk-MK"/>
        </w:rPr>
        <w:t xml:space="preserve">Во продолжение е претставена е-инфраструктурата во </w:t>
      </w:r>
      <w:r w:rsidR="00417197">
        <w:rPr>
          <w:lang w:val="mk-MK"/>
        </w:rPr>
        <w:t>Република Северна Македонија</w:t>
      </w:r>
      <w:r w:rsidRPr="008662BF">
        <w:rPr>
          <w:lang w:val="mk-MK"/>
        </w:rPr>
        <w:t xml:space="preserve">. Во Дел 4.4 се </w:t>
      </w:r>
      <w:r w:rsidR="00F61306">
        <w:rPr>
          <w:lang w:val="mk-MK"/>
        </w:rPr>
        <w:t xml:space="preserve">претставени </w:t>
      </w:r>
      <w:r w:rsidRPr="008662BF">
        <w:rPr>
          <w:lang w:val="mk-MK"/>
        </w:rPr>
        <w:t xml:space="preserve">меѓународните проекти за истражувачка инфраструктура во кои учествувале институции од </w:t>
      </w:r>
      <w:r w:rsidR="00417197">
        <w:rPr>
          <w:lang w:val="mk-MK"/>
        </w:rPr>
        <w:t>Република Северна Македонија</w:t>
      </w:r>
      <w:r w:rsidRPr="008662BF">
        <w:rPr>
          <w:lang w:val="mk-MK"/>
        </w:rPr>
        <w:t>.</w:t>
      </w:r>
    </w:p>
    <w:p w14:paraId="01AB2D42" w14:textId="77777777" w:rsidR="007947BF" w:rsidRPr="008662BF" w:rsidRDefault="007947BF" w:rsidP="007947BF">
      <w:pPr>
        <w:jc w:val="both"/>
        <w:rPr>
          <w:sz w:val="24"/>
          <w:szCs w:val="24"/>
          <w:lang w:val="mk-MK"/>
        </w:rPr>
      </w:pPr>
    </w:p>
    <w:p w14:paraId="1EF3E6B7" w14:textId="77777777" w:rsidR="00F6507E" w:rsidRPr="008662BF" w:rsidRDefault="00F6507E" w:rsidP="00F6507E">
      <w:pPr>
        <w:pStyle w:val="Heading3"/>
        <w:numPr>
          <w:ilvl w:val="2"/>
          <w:numId w:val="16"/>
        </w:numPr>
        <w:spacing w:after="240"/>
        <w:rPr>
          <w:rFonts w:asciiTheme="minorHAnsi" w:hAnsiTheme="minorHAnsi" w:cstheme="minorHAnsi"/>
          <w:szCs w:val="24"/>
          <w:lang w:val="mk-MK"/>
        </w:rPr>
      </w:pPr>
      <w:bookmarkStart w:id="29" w:name="_Toc86916063"/>
      <w:r w:rsidRPr="008662BF">
        <w:rPr>
          <w:rFonts w:asciiTheme="minorHAnsi" w:hAnsiTheme="minorHAnsi" w:cstheme="minorHAnsi"/>
          <w:szCs w:val="24"/>
          <w:lang w:val="mk-MK"/>
        </w:rPr>
        <w:t xml:space="preserve">Факултет за информатички науки и компјутерско инженерство, Универзитет </w:t>
      </w:r>
      <w:r w:rsidR="00426DE8" w:rsidRPr="008662BF">
        <w:rPr>
          <w:rFonts w:asciiTheme="minorHAnsi" w:hAnsiTheme="minorHAnsi" w:cstheme="minorHAnsi"/>
          <w:szCs w:val="24"/>
          <w:lang w:val="mk-MK"/>
        </w:rPr>
        <w:t>„</w:t>
      </w:r>
      <w:r w:rsidRPr="008662BF">
        <w:rPr>
          <w:rFonts w:asciiTheme="minorHAnsi" w:hAnsiTheme="minorHAnsi" w:cstheme="minorHAnsi"/>
          <w:szCs w:val="24"/>
          <w:lang w:val="mk-MK"/>
        </w:rPr>
        <w:t>Св. Кирил и Методиј</w:t>
      </w:r>
      <w:r w:rsidR="00426DE8" w:rsidRPr="008662BF">
        <w:rPr>
          <w:rFonts w:asciiTheme="minorHAnsi" w:hAnsiTheme="minorHAnsi" w:cstheme="minorHAnsi"/>
          <w:szCs w:val="24"/>
          <w:lang w:val="mk-MK"/>
        </w:rPr>
        <w:t xml:space="preserve">“ - </w:t>
      </w:r>
      <w:r w:rsidRPr="008662BF">
        <w:rPr>
          <w:rFonts w:asciiTheme="minorHAnsi" w:hAnsiTheme="minorHAnsi" w:cstheme="minorHAnsi"/>
          <w:szCs w:val="24"/>
          <w:lang w:val="mk-MK"/>
        </w:rPr>
        <w:t>Скопје</w:t>
      </w:r>
      <w:bookmarkEnd w:id="29"/>
    </w:p>
    <w:p w14:paraId="0DE6B4A1" w14:textId="77777777" w:rsidR="00F6507E" w:rsidRPr="008662BF" w:rsidRDefault="00F6507E" w:rsidP="00F6507E">
      <w:pPr>
        <w:jc w:val="both"/>
        <w:rPr>
          <w:lang w:val="mk-MK"/>
        </w:rPr>
      </w:pPr>
      <w:r w:rsidRPr="008662BF">
        <w:rPr>
          <w:rFonts w:cstheme="minorHAnsi"/>
          <w:lang w:val="mk-MK"/>
        </w:rPr>
        <w:t>ФИНКИ - УКИМ е најважната институција во економијата во поглед на е-инфраструктурата. Обезбедува поддршка за е-инфраструктура на академските и</w:t>
      </w:r>
      <w:r w:rsidRPr="008662BF">
        <w:rPr>
          <w:lang w:val="mk-MK"/>
        </w:rPr>
        <w:t xml:space="preserve"> истражувачките заедници, </w:t>
      </w:r>
      <w:r w:rsidR="00FA2E32">
        <w:rPr>
          <w:lang w:val="mk-MK"/>
        </w:rPr>
        <w:t xml:space="preserve">на </w:t>
      </w:r>
      <w:r w:rsidRPr="008662BF">
        <w:rPr>
          <w:lang w:val="mk-MK"/>
        </w:rPr>
        <w:t>министерствата, јавниот сектор и</w:t>
      </w:r>
      <w:r w:rsidR="00FA2E32">
        <w:rPr>
          <w:lang w:val="mk-MK"/>
        </w:rPr>
        <w:t xml:space="preserve"> на</w:t>
      </w:r>
      <w:r w:rsidRPr="008662BF">
        <w:rPr>
          <w:lang w:val="mk-MK"/>
        </w:rPr>
        <w:t xml:space="preserve"> индустријата. ФИНКИ е национален центар за пресметување со високи перформанси и облак. Повеќе информации за услугите што ги обезбедува ФИНКИ може да се најдат во </w:t>
      </w:r>
      <w:r w:rsidR="00F61306">
        <w:rPr>
          <w:lang w:val="mk-MK"/>
        </w:rPr>
        <w:t xml:space="preserve">точка </w:t>
      </w:r>
      <w:r w:rsidRPr="008662BF">
        <w:rPr>
          <w:lang w:val="mk-MK"/>
        </w:rPr>
        <w:t>4.1.1.</w:t>
      </w:r>
    </w:p>
    <w:p w14:paraId="66AC4D2B" w14:textId="77777777" w:rsidR="00F6507E" w:rsidRPr="008662BF" w:rsidRDefault="00F6507E" w:rsidP="00F6507E">
      <w:pPr>
        <w:jc w:val="both"/>
        <w:rPr>
          <w:lang w:val="mk-MK"/>
        </w:rPr>
      </w:pPr>
      <w:r w:rsidRPr="008662BF">
        <w:rPr>
          <w:lang w:val="mk-MK"/>
        </w:rPr>
        <w:lastRenderedPageBreak/>
        <w:t xml:space="preserve">ФИНКИ - УКИМ учествуваше во бројни проекти за е-инфраструктура во рамките на програмата Хоризонт 2020 и </w:t>
      </w:r>
      <w:r w:rsidR="00F61306">
        <w:t>FP</w:t>
      </w:r>
      <w:r w:rsidRPr="008662BF">
        <w:rPr>
          <w:lang w:val="mk-MK"/>
        </w:rPr>
        <w:t xml:space="preserve">7, а исто така е член на големите паневропски истражувачки инфраструктури. Повеќе информации за проектите и големите </w:t>
      </w:r>
      <w:r w:rsidR="00F61306">
        <w:rPr>
          <w:lang w:val="mk-MK"/>
        </w:rPr>
        <w:t xml:space="preserve">истражувачки инфраструктури </w:t>
      </w:r>
      <w:r w:rsidRPr="008662BF">
        <w:rPr>
          <w:lang w:val="mk-MK"/>
        </w:rPr>
        <w:t xml:space="preserve">се дадени во </w:t>
      </w:r>
      <w:r w:rsidR="0094306A">
        <w:rPr>
          <w:lang w:val="mk-MK"/>
        </w:rPr>
        <w:t xml:space="preserve">поглавјата </w:t>
      </w:r>
      <w:r w:rsidRPr="008662BF">
        <w:rPr>
          <w:lang w:val="mk-MK"/>
        </w:rPr>
        <w:t>4.4. и 4.5.</w:t>
      </w:r>
    </w:p>
    <w:p w14:paraId="7B194BCD" w14:textId="02130695" w:rsidR="00F6507E" w:rsidRPr="008662BF" w:rsidRDefault="00F6507E" w:rsidP="00F6507E">
      <w:pPr>
        <w:pStyle w:val="Heading3"/>
        <w:numPr>
          <w:ilvl w:val="2"/>
          <w:numId w:val="16"/>
        </w:numPr>
        <w:spacing w:after="240"/>
        <w:rPr>
          <w:rStyle w:val="Heading3Char"/>
          <w:rFonts w:asciiTheme="minorHAnsi" w:hAnsiTheme="minorHAnsi"/>
          <w:b/>
          <w:lang w:val="mk-MK"/>
        </w:rPr>
      </w:pPr>
      <w:bookmarkStart w:id="30" w:name="_Toc86916064"/>
      <w:r w:rsidRPr="008662BF">
        <w:rPr>
          <w:rStyle w:val="Heading3Char"/>
          <w:rFonts w:asciiTheme="minorHAnsi" w:hAnsiTheme="minorHAnsi"/>
          <w:b/>
          <w:lang w:val="mk-MK"/>
        </w:rPr>
        <w:t xml:space="preserve">Национална академска истражувачка мрежа на </w:t>
      </w:r>
      <w:r w:rsidR="00417197">
        <w:rPr>
          <w:rStyle w:val="Heading3Char"/>
          <w:rFonts w:asciiTheme="minorHAnsi" w:hAnsiTheme="minorHAnsi"/>
          <w:b/>
          <w:lang w:val="mk-MK"/>
        </w:rPr>
        <w:t>Република Северна Македонија</w:t>
      </w:r>
      <w:r w:rsidRPr="008662BF">
        <w:rPr>
          <w:rStyle w:val="Heading3Char"/>
          <w:rFonts w:asciiTheme="minorHAnsi" w:hAnsiTheme="minorHAnsi"/>
          <w:b/>
          <w:lang w:val="mk-MK"/>
        </w:rPr>
        <w:t xml:space="preserve"> – МАРНет</w:t>
      </w:r>
      <w:bookmarkEnd w:id="30"/>
    </w:p>
    <w:p w14:paraId="147DE7DE" w14:textId="7260D76D" w:rsidR="00F6507E" w:rsidRPr="008662BF" w:rsidRDefault="00F6507E" w:rsidP="007947BF">
      <w:pPr>
        <w:jc w:val="both"/>
        <w:rPr>
          <w:lang w:val="mk-MK"/>
        </w:rPr>
      </w:pPr>
      <w:r w:rsidRPr="008662BF">
        <w:rPr>
          <w:lang w:val="mk-MK"/>
        </w:rPr>
        <w:t>Македонската академска истражувачка мрежа (МАРНет) е јавна установа</w:t>
      </w:r>
      <w:r w:rsidR="00FA2E32">
        <w:rPr>
          <w:lang w:val="mk-MK"/>
        </w:rPr>
        <w:t xml:space="preserve"> што е</w:t>
      </w:r>
      <w:r w:rsidRPr="008662BF">
        <w:rPr>
          <w:lang w:val="mk-MK"/>
        </w:rPr>
        <w:t xml:space="preserve"> основана со Законот за основање на Македонската академска истражувачка мрежа,</w:t>
      </w:r>
      <w:r w:rsidR="0094306A">
        <w:rPr>
          <w:lang w:val="mk-MK"/>
        </w:rPr>
        <w:t xml:space="preserve"> </w:t>
      </w:r>
      <w:r w:rsidRPr="008662BF">
        <w:rPr>
          <w:lang w:val="mk-MK"/>
        </w:rPr>
        <w:t xml:space="preserve">донесен во септември 2010 година.  МАРнет обезбедува услуги на национално ниво и меѓународно поврзување на македонската академска истражувачка и образовна заедница и поддршка на нивните истражувачки и образовни активности. Исто така МАРнет се занимава со промовирање и </w:t>
      </w:r>
      <w:r w:rsidR="00FA2E32">
        <w:rPr>
          <w:lang w:val="mk-MK"/>
        </w:rPr>
        <w:t xml:space="preserve">со </w:t>
      </w:r>
      <w:r w:rsidRPr="008662BF">
        <w:rPr>
          <w:lang w:val="mk-MK"/>
        </w:rPr>
        <w:t xml:space="preserve">дисеминирање на употребата на информациските и комуникациските технологии посебно  во академскиот и </w:t>
      </w:r>
      <w:r w:rsidR="00FA2E32">
        <w:rPr>
          <w:lang w:val="mk-MK"/>
        </w:rPr>
        <w:t xml:space="preserve">во </w:t>
      </w:r>
      <w:r w:rsidRPr="008662BF">
        <w:rPr>
          <w:lang w:val="mk-MK"/>
        </w:rPr>
        <w:t>истражувачкиот сектор;</w:t>
      </w:r>
      <w:r w:rsidR="00FA2E32">
        <w:rPr>
          <w:lang w:val="mk-MK"/>
        </w:rPr>
        <w:t xml:space="preserve"> со</w:t>
      </w:r>
      <w:r w:rsidRPr="008662BF">
        <w:rPr>
          <w:lang w:val="mk-MK"/>
        </w:rPr>
        <w:t xml:space="preserve"> одржување и управување со националниот </w:t>
      </w:r>
      <w:r w:rsidR="0094306A">
        <w:rPr>
          <w:lang w:val="mk-MK"/>
        </w:rPr>
        <w:t xml:space="preserve">домен </w:t>
      </w:r>
      <w:r w:rsidRPr="008662BF">
        <w:rPr>
          <w:lang w:val="mk-MK"/>
        </w:rPr>
        <w:t>ДНС,</w:t>
      </w:r>
      <w:r w:rsidR="00FA2E32">
        <w:rPr>
          <w:lang w:val="mk-MK"/>
        </w:rPr>
        <w:t xml:space="preserve"> и</w:t>
      </w:r>
      <w:r w:rsidRPr="008662BF">
        <w:rPr>
          <w:lang w:val="mk-MK"/>
        </w:rPr>
        <w:t xml:space="preserve"> меѓународно претставување и членство; </w:t>
      </w:r>
      <w:r w:rsidR="0094306A">
        <w:rPr>
          <w:lang w:val="mk-MK"/>
        </w:rPr>
        <w:t>како и</w:t>
      </w:r>
      <w:r w:rsidR="00FA2E32">
        <w:rPr>
          <w:lang w:val="mk-MK"/>
        </w:rPr>
        <w:t xml:space="preserve"> со</w:t>
      </w:r>
      <w:r w:rsidR="0094306A">
        <w:rPr>
          <w:lang w:val="mk-MK"/>
        </w:rPr>
        <w:t xml:space="preserve"> </w:t>
      </w:r>
      <w:r w:rsidRPr="008662BF">
        <w:rPr>
          <w:lang w:val="mk-MK"/>
        </w:rPr>
        <w:t xml:space="preserve">водење политика и развој на националната академска мрежа. </w:t>
      </w:r>
    </w:p>
    <w:p w14:paraId="3D34F4CF" w14:textId="3869623B" w:rsidR="001E3693" w:rsidRPr="008662BF" w:rsidRDefault="001E3693" w:rsidP="001E3693">
      <w:pPr>
        <w:jc w:val="both"/>
        <w:rPr>
          <w:lang w:val="mk-MK"/>
        </w:rPr>
      </w:pPr>
      <w:r w:rsidRPr="008662BF">
        <w:rPr>
          <w:lang w:val="mk-MK"/>
        </w:rPr>
        <w:t xml:space="preserve">E-инфраструктурата на МАРНет ги опфаќа сите уреди </w:t>
      </w:r>
      <w:r w:rsidR="00FA2E32">
        <w:rPr>
          <w:lang w:val="mk-MK"/>
        </w:rPr>
        <w:t>што</w:t>
      </w:r>
      <w:r w:rsidRPr="008662BF">
        <w:rPr>
          <w:lang w:val="mk-MK"/>
        </w:rPr>
        <w:t xml:space="preserve"> ги поседува или изнајмува </w:t>
      </w:r>
      <w:r w:rsidR="00FA2E32" w:rsidRPr="008662BF">
        <w:rPr>
          <w:lang w:val="mk-MK"/>
        </w:rPr>
        <w:t xml:space="preserve">МАРнет </w:t>
      </w:r>
      <w:r w:rsidRPr="008662BF">
        <w:rPr>
          <w:lang w:val="mk-MK"/>
        </w:rPr>
        <w:t xml:space="preserve">и сите телекомуникациски врски кои МАРНет ги поседува или телекомуникациските провајдери ги изнајмуваат. </w:t>
      </w:r>
      <w:r w:rsidR="0094306A">
        <w:rPr>
          <w:lang w:val="mk-MK"/>
        </w:rPr>
        <w:t xml:space="preserve">Ова </w:t>
      </w:r>
      <w:r w:rsidRPr="008662BF">
        <w:rPr>
          <w:lang w:val="mk-MK"/>
        </w:rPr>
        <w:t xml:space="preserve">е многу важно за информатичкото општество на </w:t>
      </w:r>
      <w:r w:rsidR="00417197">
        <w:rPr>
          <w:lang w:val="mk-MK"/>
        </w:rPr>
        <w:t>Република Северна Македонија</w:t>
      </w:r>
      <w:r w:rsidRPr="008662BF">
        <w:rPr>
          <w:lang w:val="mk-MK"/>
        </w:rPr>
        <w:t xml:space="preserve"> бидејќи </w:t>
      </w:r>
      <w:r w:rsidR="0094306A">
        <w:rPr>
          <w:lang w:val="mk-MK"/>
        </w:rPr>
        <w:t xml:space="preserve">се </w:t>
      </w:r>
      <w:r w:rsidRPr="008662BF">
        <w:rPr>
          <w:lang w:val="mk-MK"/>
        </w:rPr>
        <w:t>обезбедува</w:t>
      </w:r>
      <w:r w:rsidR="0094306A">
        <w:rPr>
          <w:lang w:val="mk-MK"/>
        </w:rPr>
        <w:t>ат</w:t>
      </w:r>
      <w:r w:rsidRPr="008662BF">
        <w:rPr>
          <w:lang w:val="mk-MK"/>
        </w:rPr>
        <w:t xml:space="preserve"> услуги кои имаат за цел да ги исполнат барањата во областа на образованието и истражувањето.</w:t>
      </w:r>
    </w:p>
    <w:p w14:paraId="33A075C7" w14:textId="77777777" w:rsidR="001E3693" w:rsidRPr="008662BF" w:rsidRDefault="001E3693" w:rsidP="001E3693">
      <w:pPr>
        <w:jc w:val="both"/>
        <w:rPr>
          <w:lang w:val="mk-MK"/>
        </w:rPr>
      </w:pPr>
      <w:r w:rsidRPr="008662BF">
        <w:rPr>
          <w:lang w:val="mk-MK"/>
        </w:rPr>
        <w:t>МАРнет е член</w:t>
      </w:r>
      <w:r w:rsidR="0094306A">
        <w:rPr>
          <w:lang w:val="mk-MK"/>
        </w:rPr>
        <w:t>ка</w:t>
      </w:r>
      <w:r w:rsidRPr="008662BF">
        <w:rPr>
          <w:lang w:val="mk-MK"/>
        </w:rPr>
        <w:t xml:space="preserve"> на GÉANT, паневропск</w:t>
      </w:r>
      <w:r w:rsidR="0094306A">
        <w:rPr>
          <w:lang w:val="mk-MK"/>
        </w:rPr>
        <w:t xml:space="preserve">ата </w:t>
      </w:r>
      <w:r w:rsidRPr="008662BF">
        <w:rPr>
          <w:lang w:val="mk-MK"/>
        </w:rPr>
        <w:t>истражува</w:t>
      </w:r>
      <w:r w:rsidR="0094306A">
        <w:rPr>
          <w:lang w:val="mk-MK"/>
        </w:rPr>
        <w:t xml:space="preserve">чка </w:t>
      </w:r>
      <w:r w:rsidRPr="008662BF">
        <w:rPr>
          <w:lang w:val="mk-MK"/>
        </w:rPr>
        <w:t>и образован</w:t>
      </w:r>
      <w:r w:rsidR="0094306A">
        <w:rPr>
          <w:lang w:val="mk-MK"/>
        </w:rPr>
        <w:t xml:space="preserve">а мрежа </w:t>
      </w:r>
      <w:r w:rsidRPr="008662BF">
        <w:rPr>
          <w:lang w:val="mk-MK"/>
        </w:rPr>
        <w:t>со висок пропусен опсег што ги поврзув</w:t>
      </w:r>
      <w:r w:rsidR="0094306A">
        <w:rPr>
          <w:lang w:val="mk-MK"/>
        </w:rPr>
        <w:t>а е</w:t>
      </w:r>
      <w:r w:rsidRPr="008662BF">
        <w:rPr>
          <w:lang w:val="mk-MK"/>
        </w:rPr>
        <w:t>вропските национални истражувачки и образовни мрежи (NREN). Преку широк</w:t>
      </w:r>
      <w:r w:rsidR="008C1A7A">
        <w:rPr>
          <w:lang w:val="mk-MK"/>
        </w:rPr>
        <w:t xml:space="preserve">о распространети </w:t>
      </w:r>
      <w:r w:rsidRPr="008662BF">
        <w:rPr>
          <w:lang w:val="mk-MK"/>
        </w:rPr>
        <w:t xml:space="preserve">врски со мрежи ширум светот, GÉANT поврзува над 50 милиони корисници во 10.000 институции </w:t>
      </w:r>
      <w:r w:rsidR="008C1A7A">
        <w:rPr>
          <w:lang w:val="mk-MK"/>
        </w:rPr>
        <w:t>во</w:t>
      </w:r>
      <w:r w:rsidRPr="008662BF">
        <w:rPr>
          <w:lang w:val="mk-MK"/>
        </w:rPr>
        <w:t xml:space="preserve"> Европа и исто така </w:t>
      </w:r>
      <w:r w:rsidR="008C1A7A">
        <w:rPr>
          <w:lang w:val="mk-MK"/>
        </w:rPr>
        <w:t xml:space="preserve">опфаќа и </w:t>
      </w:r>
      <w:r w:rsidRPr="008662BF">
        <w:rPr>
          <w:lang w:val="mk-MK"/>
        </w:rPr>
        <w:t>65 земји надвор од Европа.</w:t>
      </w:r>
    </w:p>
    <w:p w14:paraId="2DD31F32" w14:textId="3D5BF2B8" w:rsidR="001E3693" w:rsidRPr="008662BF" w:rsidRDefault="001E3693" w:rsidP="001E3693">
      <w:pPr>
        <w:jc w:val="both"/>
        <w:rPr>
          <w:lang w:val="mk-MK"/>
        </w:rPr>
      </w:pPr>
      <w:r w:rsidRPr="008662BF">
        <w:rPr>
          <w:lang w:val="mk-MK"/>
        </w:rPr>
        <w:t>Обидувајќи се да ги искористи врските со меѓународните академски мрежи, МАРнет има цел да постигне:</w:t>
      </w:r>
    </w:p>
    <w:p w14:paraId="17609B15" w14:textId="77777777" w:rsidR="00054303" w:rsidRPr="008662BF" w:rsidRDefault="00054303" w:rsidP="00054303">
      <w:pPr>
        <w:pStyle w:val="ListParagraph"/>
        <w:numPr>
          <w:ilvl w:val="0"/>
          <w:numId w:val="17"/>
        </w:numPr>
        <w:rPr>
          <w:lang w:val="mk-MK"/>
        </w:rPr>
      </w:pPr>
      <w:r w:rsidRPr="008662BF">
        <w:rPr>
          <w:lang w:val="mk-MK"/>
        </w:rPr>
        <w:t>меѓусебно поврзување на сите истражувачки, високообразовни и други образовни институции во нашата земја и интернационално поврзување со брз пристап до интернет,</w:t>
      </w:r>
    </w:p>
    <w:p w14:paraId="702A26E7" w14:textId="77777777" w:rsidR="00054303" w:rsidRPr="008662BF" w:rsidRDefault="00054303" w:rsidP="00054303">
      <w:pPr>
        <w:pStyle w:val="ListParagraph"/>
        <w:numPr>
          <w:ilvl w:val="0"/>
          <w:numId w:val="17"/>
        </w:numPr>
        <w:rPr>
          <w:lang w:val="mk-MK"/>
        </w:rPr>
      </w:pPr>
      <w:r w:rsidRPr="008662BF">
        <w:rPr>
          <w:lang w:val="mk-MK"/>
        </w:rPr>
        <w:t>воведување, евалуација и анализа на нови сервиси и најнови мрежни технологии и нивно спроведување,</w:t>
      </w:r>
    </w:p>
    <w:p w14:paraId="1C23678D" w14:textId="77777777" w:rsidR="00054303" w:rsidRPr="008662BF" w:rsidRDefault="00054303" w:rsidP="00054303">
      <w:pPr>
        <w:pStyle w:val="ListParagraph"/>
        <w:numPr>
          <w:ilvl w:val="0"/>
          <w:numId w:val="17"/>
        </w:numPr>
        <w:rPr>
          <w:lang w:val="mk-MK"/>
        </w:rPr>
      </w:pPr>
      <w:r w:rsidRPr="008662BF">
        <w:rPr>
          <w:lang w:val="mk-MK"/>
        </w:rPr>
        <w:t>учество во релевантни меѓународни организации и проекти,</w:t>
      </w:r>
    </w:p>
    <w:p w14:paraId="15485AFA" w14:textId="77777777" w:rsidR="00054303" w:rsidRPr="008662BF" w:rsidRDefault="00054303" w:rsidP="00054303">
      <w:pPr>
        <w:pStyle w:val="ListParagraph"/>
        <w:numPr>
          <w:ilvl w:val="0"/>
          <w:numId w:val="17"/>
        </w:numPr>
        <w:rPr>
          <w:lang w:val="mk-MK"/>
        </w:rPr>
      </w:pPr>
      <w:r w:rsidRPr="008662BF">
        <w:rPr>
          <w:lang w:val="mk-MK"/>
        </w:rPr>
        <w:t>генерирање и трансфер на знаење,</w:t>
      </w:r>
    </w:p>
    <w:p w14:paraId="13D6D8A1" w14:textId="77777777" w:rsidR="00054303" w:rsidRPr="008662BF" w:rsidRDefault="00054303" w:rsidP="00054303">
      <w:pPr>
        <w:pStyle w:val="ListParagraph"/>
        <w:numPr>
          <w:ilvl w:val="0"/>
          <w:numId w:val="17"/>
        </w:numPr>
        <w:rPr>
          <w:lang w:val="mk-MK"/>
        </w:rPr>
      </w:pPr>
      <w:r w:rsidRPr="008662BF">
        <w:rPr>
          <w:lang w:val="mk-MK"/>
        </w:rPr>
        <w:t>учество и партнерство во подготовка на стратегии за развој на информатичкото општество на една земја.</w:t>
      </w:r>
    </w:p>
    <w:p w14:paraId="3441479F" w14:textId="77777777" w:rsidR="00054303" w:rsidRDefault="00054303" w:rsidP="007947BF">
      <w:pPr>
        <w:jc w:val="both"/>
        <w:rPr>
          <w:lang w:val="mk-MK"/>
        </w:rPr>
      </w:pPr>
      <w:r w:rsidRPr="008662BF">
        <w:rPr>
          <w:lang w:val="mk-MK"/>
        </w:rPr>
        <w:t xml:space="preserve">Главните предизвици со кои се соочува МАРНЕТ </w:t>
      </w:r>
      <w:r w:rsidR="008C1A7A">
        <w:rPr>
          <w:lang w:val="mk-MK"/>
        </w:rPr>
        <w:t>с</w:t>
      </w:r>
      <w:r w:rsidRPr="008662BF">
        <w:rPr>
          <w:lang w:val="mk-MK"/>
        </w:rPr>
        <w:t xml:space="preserve">е недостатокот на </w:t>
      </w:r>
      <w:r w:rsidR="008C1A7A">
        <w:rPr>
          <w:lang w:val="mk-MK"/>
        </w:rPr>
        <w:t xml:space="preserve">информатички </w:t>
      </w:r>
      <w:r w:rsidRPr="008662BF">
        <w:rPr>
          <w:lang w:val="mk-MK"/>
        </w:rPr>
        <w:t>кадар и големиот обрт на вработени</w:t>
      </w:r>
      <w:r w:rsidR="008C1A7A">
        <w:rPr>
          <w:lang w:val="mk-MK"/>
        </w:rPr>
        <w:t xml:space="preserve">те. </w:t>
      </w:r>
      <w:r w:rsidRPr="008662BF">
        <w:rPr>
          <w:lang w:val="mk-MK"/>
        </w:rPr>
        <w:t>Според тоа, клучната техничка и експертска поддршка на МАРНЕТ ја обезбедува Факултет</w:t>
      </w:r>
      <w:r w:rsidR="002323BA">
        <w:rPr>
          <w:lang w:val="mk-MK"/>
        </w:rPr>
        <w:t>от</w:t>
      </w:r>
      <w:r w:rsidRPr="008662BF">
        <w:rPr>
          <w:lang w:val="mk-MK"/>
        </w:rPr>
        <w:t xml:space="preserve"> за информатички науки и компјутерско инженерство</w:t>
      </w:r>
      <w:r w:rsidR="002323BA">
        <w:rPr>
          <w:lang w:val="mk-MK"/>
        </w:rPr>
        <w:t xml:space="preserve"> при </w:t>
      </w:r>
      <w:r w:rsidRPr="008662BF">
        <w:rPr>
          <w:lang w:val="mk-MK"/>
        </w:rPr>
        <w:t>УКИМ.</w:t>
      </w:r>
    </w:p>
    <w:p w14:paraId="47655BE7" w14:textId="77777777" w:rsidR="009F3B36" w:rsidRPr="008662BF" w:rsidRDefault="009F3B36" w:rsidP="007947BF">
      <w:pPr>
        <w:jc w:val="both"/>
        <w:rPr>
          <w:lang w:val="mk-MK"/>
        </w:rPr>
      </w:pPr>
    </w:p>
    <w:p w14:paraId="16838F27" w14:textId="77777777" w:rsidR="007947BF" w:rsidRPr="008662BF" w:rsidRDefault="00054303" w:rsidP="00054303">
      <w:pPr>
        <w:pStyle w:val="Heading3"/>
        <w:numPr>
          <w:ilvl w:val="2"/>
          <w:numId w:val="16"/>
        </w:numPr>
        <w:spacing w:after="240"/>
        <w:rPr>
          <w:rFonts w:asciiTheme="minorHAnsi" w:hAnsiTheme="minorHAnsi"/>
          <w:lang w:val="mk-MK"/>
        </w:rPr>
      </w:pPr>
      <w:bookmarkStart w:id="31" w:name="_Toc86916065"/>
      <w:r w:rsidRPr="008662BF">
        <w:rPr>
          <w:rFonts w:asciiTheme="minorHAnsi" w:hAnsiTheme="minorHAnsi"/>
          <w:lang w:val="mk-MK"/>
        </w:rPr>
        <w:lastRenderedPageBreak/>
        <w:t xml:space="preserve">Мрежа </w:t>
      </w:r>
      <w:r w:rsidR="007947BF" w:rsidRPr="008662BF">
        <w:rPr>
          <w:rFonts w:asciiTheme="minorHAnsi" w:hAnsiTheme="minorHAnsi"/>
          <w:lang w:val="mk-MK"/>
        </w:rPr>
        <w:t>COBISS.MK</w:t>
      </w:r>
      <w:bookmarkEnd w:id="31"/>
    </w:p>
    <w:p w14:paraId="501783AA" w14:textId="600EB155" w:rsidR="00352027" w:rsidRPr="008662BF" w:rsidRDefault="00352027" w:rsidP="00352027">
      <w:pPr>
        <w:jc w:val="both"/>
        <w:rPr>
          <w:lang w:val="mk-MK"/>
        </w:rPr>
      </w:pPr>
      <w:r w:rsidRPr="008662BF">
        <w:rPr>
          <w:lang w:val="mk-MK"/>
        </w:rPr>
        <w:t>Договорот за воспост</w:t>
      </w:r>
      <w:r w:rsidR="00096784">
        <w:rPr>
          <w:lang w:val="mk-MK"/>
        </w:rPr>
        <w:t>авување на мрежата COBISS.net (К</w:t>
      </w:r>
      <w:r w:rsidRPr="008662BF">
        <w:rPr>
          <w:lang w:val="mk-MK"/>
        </w:rPr>
        <w:t xml:space="preserve">ооперативен </w:t>
      </w:r>
      <w:r w:rsidR="00096784">
        <w:rPr>
          <w:lang w:val="mk-MK"/>
        </w:rPr>
        <w:t>„</w:t>
      </w:r>
      <w:r w:rsidRPr="008662BF">
        <w:rPr>
          <w:lang w:val="mk-MK"/>
        </w:rPr>
        <w:t>онлајн</w:t>
      </w:r>
      <w:r w:rsidR="00FA2E32">
        <w:rPr>
          <w:lang w:val="mk-MK"/>
        </w:rPr>
        <w:t>“</w:t>
      </w:r>
      <w:r w:rsidRPr="008662BF">
        <w:rPr>
          <w:lang w:val="mk-MK"/>
        </w:rPr>
        <w:t xml:space="preserve"> библиографски систем и сервиси) и за слободен проток на библиографските записи што се создаваат во автономните библиотечно-информациски системи на Босна и Херцеговина, Црна Гора, </w:t>
      </w:r>
      <w:r w:rsidR="00417197">
        <w:rPr>
          <w:lang w:val="mk-MK"/>
        </w:rPr>
        <w:t>Република Северна Македонија</w:t>
      </w:r>
      <w:r w:rsidRPr="008662BF">
        <w:rPr>
          <w:lang w:val="mk-MK"/>
        </w:rPr>
        <w:t xml:space="preserve">, Словенија и Србија беше потпишан во 2003 година. Во 2006 година, споменатиот договор во име на бугарските библиотеки го потпиша и Бугарската национална библиотека. Со потпишување </w:t>
      </w:r>
      <w:r w:rsidR="00096784">
        <w:rPr>
          <w:lang w:val="mk-MK"/>
        </w:rPr>
        <w:t xml:space="preserve">на </w:t>
      </w:r>
      <w:r w:rsidRPr="008662BF">
        <w:rPr>
          <w:lang w:val="mk-MK"/>
        </w:rPr>
        <w:t>посебни изјави во 2013 година, одредбите од Договорот индиректно беа прифатени и од група библиотеки од Албанија.</w:t>
      </w:r>
    </w:p>
    <w:p w14:paraId="3122E8F3" w14:textId="1C228427" w:rsidR="00352027" w:rsidRPr="008662BF" w:rsidRDefault="00352027" w:rsidP="00352027">
      <w:pPr>
        <w:jc w:val="both"/>
        <w:rPr>
          <w:lang w:val="mk-MK"/>
        </w:rPr>
      </w:pPr>
      <w:r w:rsidRPr="008662BF">
        <w:rPr>
          <w:lang w:val="mk-MK"/>
        </w:rPr>
        <w:t xml:space="preserve">Веб-апликацијата E-CRIS (Тековни истражувачки информациски системи) ја разви Институтот за информациски науки во Марибор (ИЗУМ) и бесплатно ја понуди на </w:t>
      </w:r>
      <w:r w:rsidR="00417197">
        <w:rPr>
          <w:lang w:val="mk-MK"/>
        </w:rPr>
        <w:t>Република Северна Македонија</w:t>
      </w:r>
      <w:r w:rsidRPr="008662BF">
        <w:rPr>
          <w:lang w:val="mk-MK"/>
        </w:rPr>
        <w:t xml:space="preserve"> и </w:t>
      </w:r>
      <w:r w:rsidR="00443715">
        <w:rPr>
          <w:lang w:val="mk-MK"/>
        </w:rPr>
        <w:t xml:space="preserve">на </w:t>
      </w:r>
      <w:r w:rsidRPr="008662BF">
        <w:rPr>
          <w:lang w:val="mk-MK"/>
        </w:rPr>
        <w:t>другите корисници на апликациите COBIS</w:t>
      </w:r>
      <w:r w:rsidR="00096784">
        <w:rPr>
          <w:lang w:val="mk-MK"/>
        </w:rPr>
        <w:t>S во рамките на мрежата COBISS.</w:t>
      </w:r>
      <w:r w:rsidR="00096784">
        <w:t>n</w:t>
      </w:r>
      <w:r w:rsidRPr="008662BF">
        <w:rPr>
          <w:lang w:val="mk-MK"/>
        </w:rPr>
        <w:t xml:space="preserve">et. Крајната цел на развивањето на апликацијата </w:t>
      </w:r>
      <w:r w:rsidR="00096784" w:rsidRPr="008662BF">
        <w:rPr>
          <w:lang w:val="mk-MK"/>
        </w:rPr>
        <w:t xml:space="preserve">E-CRIS </w:t>
      </w:r>
      <w:r w:rsidRPr="008662BF">
        <w:rPr>
          <w:lang w:val="mk-MK"/>
        </w:rPr>
        <w:t xml:space="preserve">во земјите членки е да се воспостави регистар на носителите на истражувањето и развојот. Овој регистар е неопходен за следење и евалуација на резултатите од истражувањата. E-CRIS системот на </w:t>
      </w:r>
      <w:r w:rsidR="00417197">
        <w:rPr>
          <w:lang w:val="mk-MK"/>
        </w:rPr>
        <w:t>Република Северна Македонија</w:t>
      </w:r>
      <w:r w:rsidRPr="008662BF">
        <w:rPr>
          <w:lang w:val="mk-MK"/>
        </w:rPr>
        <w:t xml:space="preserve"> е поврзан со националниот библиотечно-информациски систем COBISS, и овозможува непосреден увид во биографските и библиографските податоци на истражувачите и истражувачките организации. Националниот E-CRIS систем вклучува база на податоци за истражувачи, истражувачки организации и истражувачки проекти. </w:t>
      </w:r>
    </w:p>
    <w:p w14:paraId="234F841A" w14:textId="3FDB1112" w:rsidR="00352027" w:rsidRPr="008662BF" w:rsidRDefault="00352027" w:rsidP="007947BF">
      <w:pPr>
        <w:jc w:val="both"/>
        <w:rPr>
          <w:lang w:val="mk-MK"/>
        </w:rPr>
      </w:pPr>
      <w:r w:rsidRPr="008662BF">
        <w:rPr>
          <w:lang w:val="mk-MK"/>
        </w:rPr>
        <w:t>Информацискиот систем за истражувачка дејност во Македонија го управ</w:t>
      </w:r>
      <w:r w:rsidR="00096784">
        <w:rPr>
          <w:lang w:val="mk-MK"/>
        </w:rPr>
        <w:t xml:space="preserve">ува Националната библиотека „Св. </w:t>
      </w:r>
      <w:r w:rsidRPr="008662BF">
        <w:rPr>
          <w:lang w:val="mk-MK"/>
        </w:rPr>
        <w:t xml:space="preserve">Климент Охридски“, која врши и функција на национален E-CRIS центар. Во рамките на информацискиот систем E-CRIS на </w:t>
      </w:r>
      <w:r w:rsidR="00417197">
        <w:rPr>
          <w:lang w:val="mk-MK"/>
        </w:rPr>
        <w:t>Република Северна Македонија</w:t>
      </w:r>
      <w:r w:rsidRPr="008662BF">
        <w:rPr>
          <w:lang w:val="mk-MK"/>
        </w:rPr>
        <w:t xml:space="preserve"> моментално има 3658 истражувачи и 192 истражувачки организации.</w:t>
      </w:r>
    </w:p>
    <w:p w14:paraId="3C8B9A69" w14:textId="77777777" w:rsidR="007947BF" w:rsidRPr="008662BF" w:rsidRDefault="007947BF" w:rsidP="007947BF">
      <w:pPr>
        <w:rPr>
          <w:rFonts w:eastAsiaTheme="majorEastAsia" w:cstheme="majorBidi"/>
          <w:b/>
          <w:bCs/>
          <w:color w:val="4F81BD" w:themeColor="accent1"/>
          <w:sz w:val="26"/>
          <w:szCs w:val="26"/>
          <w:lang w:val="mk-MK"/>
        </w:rPr>
      </w:pPr>
      <w:bookmarkStart w:id="32" w:name="_Toc61096332"/>
      <w:r w:rsidRPr="008662BF">
        <w:rPr>
          <w:lang w:val="mk-MK"/>
        </w:rPr>
        <w:br w:type="page"/>
      </w:r>
    </w:p>
    <w:p w14:paraId="52AF7420" w14:textId="4C448DD7" w:rsidR="00C9545B" w:rsidRPr="008662BF" w:rsidRDefault="00C9545B" w:rsidP="00C9545B">
      <w:pPr>
        <w:pStyle w:val="Heading2"/>
        <w:numPr>
          <w:ilvl w:val="1"/>
          <w:numId w:val="16"/>
        </w:numPr>
        <w:spacing w:after="240"/>
        <w:rPr>
          <w:rFonts w:asciiTheme="minorHAnsi" w:hAnsiTheme="minorHAnsi"/>
          <w:lang w:val="mk-MK"/>
        </w:rPr>
      </w:pPr>
      <w:bookmarkStart w:id="33" w:name="_Toc86916066"/>
      <w:r w:rsidRPr="008662BF">
        <w:rPr>
          <w:rFonts w:asciiTheme="minorHAnsi" w:hAnsiTheme="minorHAnsi"/>
          <w:lang w:val="mk-MK"/>
        </w:rPr>
        <w:lastRenderedPageBreak/>
        <w:t xml:space="preserve">Учество на институциите од </w:t>
      </w:r>
      <w:r w:rsidR="00417197">
        <w:rPr>
          <w:rFonts w:asciiTheme="minorHAnsi" w:hAnsiTheme="minorHAnsi"/>
          <w:lang w:val="mk-MK"/>
        </w:rPr>
        <w:t>Република Северна Македонија</w:t>
      </w:r>
      <w:r w:rsidRPr="008662BF">
        <w:rPr>
          <w:rFonts w:asciiTheme="minorHAnsi" w:hAnsiTheme="minorHAnsi"/>
          <w:lang w:val="mk-MK"/>
        </w:rPr>
        <w:t xml:space="preserve"> во проекти за ИИ</w:t>
      </w:r>
      <w:bookmarkEnd w:id="33"/>
    </w:p>
    <w:bookmarkEnd w:id="32"/>
    <w:p w14:paraId="3006E27E" w14:textId="67FFB7E8" w:rsidR="00F86DC4" w:rsidRPr="008662BF" w:rsidRDefault="00F86DC4" w:rsidP="007947BF">
      <w:pPr>
        <w:spacing w:after="0"/>
        <w:jc w:val="both"/>
        <w:rPr>
          <w:lang w:val="mk-MK"/>
        </w:rPr>
      </w:pPr>
      <w:r w:rsidRPr="008662BF">
        <w:rPr>
          <w:lang w:val="mk-MK"/>
        </w:rPr>
        <w:t xml:space="preserve">Институциите од </w:t>
      </w:r>
      <w:r w:rsidR="00417197">
        <w:rPr>
          <w:lang w:val="mk-MK"/>
        </w:rPr>
        <w:t>Република Северна Македонија</w:t>
      </w:r>
      <w:r w:rsidRPr="008662BF">
        <w:rPr>
          <w:lang w:val="mk-MK"/>
        </w:rPr>
        <w:t xml:space="preserve"> учествуваа во 18 меѓународни проекти (11 проекти во рамките на H2020 и 7 проекти во рамките на FP7)</w:t>
      </w:r>
      <w:r w:rsidR="00443715">
        <w:rPr>
          <w:lang w:val="mk-MK"/>
        </w:rPr>
        <w:t xml:space="preserve"> што се</w:t>
      </w:r>
      <w:r w:rsidRPr="008662BF">
        <w:rPr>
          <w:lang w:val="mk-MK"/>
        </w:rPr>
        <w:t xml:space="preserve"> поврзани со развој</w:t>
      </w:r>
      <w:r w:rsidR="00443715">
        <w:rPr>
          <w:lang w:val="mk-MK"/>
        </w:rPr>
        <w:t>от</w:t>
      </w:r>
      <w:r w:rsidRPr="008662BF">
        <w:rPr>
          <w:lang w:val="mk-MK"/>
        </w:rPr>
        <w:t xml:space="preserve"> на истражувачки инфраструктури. Реализирани се 13 проекти, а 4 се во тек. Националните институции </w:t>
      </w:r>
      <w:r w:rsidR="00443715">
        <w:rPr>
          <w:lang w:val="mk-MK"/>
        </w:rPr>
        <w:t>што</w:t>
      </w:r>
      <w:r w:rsidRPr="008662BF">
        <w:rPr>
          <w:lang w:val="mk-MK"/>
        </w:rPr>
        <w:t xml:space="preserve"> учествуваа во овие проекти и со тоа придонесоа за развојот на меѓународни</w:t>
      </w:r>
      <w:r w:rsidR="00096784">
        <w:rPr>
          <w:lang w:val="mk-MK"/>
        </w:rPr>
        <w:t>те</w:t>
      </w:r>
      <w:r w:rsidRPr="008662BF">
        <w:rPr>
          <w:lang w:val="mk-MK"/>
        </w:rPr>
        <w:t xml:space="preserve"> и </w:t>
      </w:r>
      <w:r w:rsidR="00443715">
        <w:rPr>
          <w:lang w:val="mk-MK"/>
        </w:rPr>
        <w:t xml:space="preserve">на </w:t>
      </w:r>
      <w:r w:rsidRPr="008662BF">
        <w:rPr>
          <w:lang w:val="mk-MK"/>
        </w:rPr>
        <w:t>домашни</w:t>
      </w:r>
      <w:r w:rsidR="00096784">
        <w:rPr>
          <w:lang w:val="mk-MK"/>
        </w:rPr>
        <w:t>те</w:t>
      </w:r>
      <w:r w:rsidRPr="008662BF">
        <w:rPr>
          <w:lang w:val="mk-MK"/>
        </w:rPr>
        <w:t xml:space="preserve"> истражувачки инфраструктури се: </w:t>
      </w:r>
    </w:p>
    <w:p w14:paraId="132BC0B6" w14:textId="7426EA9D" w:rsidR="00F86DC4" w:rsidRPr="008662BF" w:rsidRDefault="00F86DC4" w:rsidP="00F86DC4">
      <w:pPr>
        <w:pStyle w:val="ListParagraph"/>
        <w:numPr>
          <w:ilvl w:val="0"/>
          <w:numId w:val="18"/>
        </w:numPr>
        <w:jc w:val="both"/>
        <w:rPr>
          <w:lang w:val="mk-MK"/>
        </w:rPr>
      </w:pPr>
      <w:r w:rsidRPr="008662BF">
        <w:rPr>
          <w:lang w:val="mk-MK"/>
        </w:rPr>
        <w:t>Македонска академска истражувачка мрежа</w:t>
      </w:r>
    </w:p>
    <w:p w14:paraId="108CBDCB" w14:textId="77777777" w:rsidR="00F86DC4" w:rsidRPr="008662BF" w:rsidRDefault="00F86DC4" w:rsidP="00F86DC4">
      <w:pPr>
        <w:pStyle w:val="ListParagraph"/>
        <w:numPr>
          <w:ilvl w:val="0"/>
          <w:numId w:val="18"/>
        </w:numPr>
        <w:jc w:val="both"/>
        <w:rPr>
          <w:lang w:val="mk-MK"/>
        </w:rPr>
      </w:pPr>
      <w:r w:rsidRPr="008662BF">
        <w:rPr>
          <w:lang w:val="mk-MK"/>
        </w:rPr>
        <w:t xml:space="preserve">Универзитет „Св. Кирил и Методиј“ </w:t>
      </w:r>
      <w:r w:rsidR="00426DE8" w:rsidRPr="008662BF">
        <w:rPr>
          <w:lang w:val="mk-MK"/>
        </w:rPr>
        <w:t xml:space="preserve">- </w:t>
      </w:r>
      <w:r w:rsidRPr="008662BF">
        <w:rPr>
          <w:lang w:val="mk-MK"/>
        </w:rPr>
        <w:t>Скопје, Факултет за информатички науки и компјутерско инженерство</w:t>
      </w:r>
    </w:p>
    <w:p w14:paraId="0259C6A7" w14:textId="14036FEA" w:rsidR="00F86DC4" w:rsidRPr="008662BF" w:rsidRDefault="00F86DC4" w:rsidP="00F86DC4">
      <w:pPr>
        <w:pStyle w:val="ListParagraph"/>
        <w:numPr>
          <w:ilvl w:val="0"/>
          <w:numId w:val="18"/>
        </w:numPr>
        <w:jc w:val="both"/>
        <w:rPr>
          <w:lang w:val="mk-MK"/>
        </w:rPr>
      </w:pPr>
      <w:r w:rsidRPr="008662BF">
        <w:rPr>
          <w:lang w:val="mk-MK"/>
        </w:rPr>
        <w:t xml:space="preserve">Универзитет „Св. Кирил и Методиј“ </w:t>
      </w:r>
      <w:r w:rsidR="00426DE8" w:rsidRPr="008662BF">
        <w:rPr>
          <w:lang w:val="mk-MK"/>
        </w:rPr>
        <w:t xml:space="preserve">- </w:t>
      </w:r>
      <w:r w:rsidRPr="008662BF">
        <w:rPr>
          <w:lang w:val="mk-MK"/>
        </w:rPr>
        <w:t>Скопје, Институт за земјотресно инженерство и инженерска сеизмологија</w:t>
      </w:r>
    </w:p>
    <w:p w14:paraId="4926A718" w14:textId="0C22F8DA" w:rsidR="00F86DC4" w:rsidRPr="008662BF" w:rsidRDefault="00F86DC4" w:rsidP="00F86DC4">
      <w:pPr>
        <w:pStyle w:val="ListParagraph"/>
        <w:numPr>
          <w:ilvl w:val="0"/>
          <w:numId w:val="18"/>
        </w:numPr>
        <w:jc w:val="both"/>
        <w:rPr>
          <w:lang w:val="mk-MK"/>
        </w:rPr>
      </w:pPr>
      <w:r w:rsidRPr="008662BF">
        <w:rPr>
          <w:lang w:val="mk-MK"/>
        </w:rPr>
        <w:t>Институт за јавно здравје н</w:t>
      </w:r>
      <w:r w:rsidR="00096784">
        <w:rPr>
          <w:lang w:val="mk-MK"/>
        </w:rPr>
        <w:t xml:space="preserve">а Република </w:t>
      </w:r>
      <w:r w:rsidR="00417197">
        <w:rPr>
          <w:lang w:val="mk-MK"/>
        </w:rPr>
        <w:t>Република Северна Македонија</w:t>
      </w:r>
      <w:r w:rsidR="00096784">
        <w:rPr>
          <w:lang w:val="mk-MK"/>
        </w:rPr>
        <w:t xml:space="preserve"> - </w:t>
      </w:r>
      <w:r w:rsidRPr="008662BF">
        <w:rPr>
          <w:lang w:val="mk-MK"/>
        </w:rPr>
        <w:t>Скопје</w:t>
      </w:r>
    </w:p>
    <w:p w14:paraId="6AE526ED" w14:textId="77777777" w:rsidR="00F86DC4" w:rsidRPr="008662BF" w:rsidRDefault="00F86DC4" w:rsidP="00F86DC4">
      <w:pPr>
        <w:pStyle w:val="ListParagraph"/>
        <w:numPr>
          <w:ilvl w:val="0"/>
          <w:numId w:val="18"/>
        </w:numPr>
        <w:jc w:val="both"/>
        <w:rPr>
          <w:lang w:val="mk-MK"/>
        </w:rPr>
      </w:pPr>
      <w:r w:rsidRPr="008662BF">
        <w:rPr>
          <w:lang w:val="mk-MK"/>
        </w:rPr>
        <w:t>Министерство за информатичко општество</w:t>
      </w:r>
    </w:p>
    <w:p w14:paraId="74132F75" w14:textId="1A55B14D" w:rsidR="00F86DC4" w:rsidRPr="008662BF" w:rsidRDefault="00F86DC4" w:rsidP="00F86DC4">
      <w:pPr>
        <w:jc w:val="both"/>
        <w:rPr>
          <w:lang w:val="mk-MK"/>
        </w:rPr>
      </w:pPr>
      <w:r w:rsidRPr="008662BF">
        <w:rPr>
          <w:lang w:val="mk-MK"/>
        </w:rPr>
        <w:t xml:space="preserve">Вкупниот буџет на институциите во </w:t>
      </w:r>
      <w:r w:rsidR="00417197">
        <w:rPr>
          <w:lang w:val="mk-MK"/>
        </w:rPr>
        <w:t>Република Северна Македонија</w:t>
      </w:r>
      <w:r w:rsidRPr="008662BF">
        <w:rPr>
          <w:lang w:val="mk-MK"/>
        </w:rPr>
        <w:t xml:space="preserve"> за реализација на проекти во рамките на H2020 надминува 2,4 милиони евра (</w:t>
      </w:r>
      <w:r w:rsidR="00096784">
        <w:rPr>
          <w:lang w:val="mk-MK"/>
        </w:rPr>
        <w:t xml:space="preserve">средства од </w:t>
      </w:r>
      <w:r w:rsidRPr="008662BF">
        <w:rPr>
          <w:lang w:val="mk-MK"/>
        </w:rPr>
        <w:t xml:space="preserve">ЕК). </w:t>
      </w:r>
      <w:r w:rsidR="00443715">
        <w:rPr>
          <w:lang w:val="mk-MK"/>
        </w:rPr>
        <w:t>Девет</w:t>
      </w:r>
      <w:r w:rsidRPr="008662BF">
        <w:rPr>
          <w:lang w:val="mk-MK"/>
        </w:rPr>
        <w:t xml:space="preserve"> од 11 </w:t>
      </w:r>
      <w:r w:rsidR="00096784">
        <w:rPr>
          <w:lang w:val="mk-MK"/>
        </w:rPr>
        <w:t>проекти во рамки</w:t>
      </w:r>
      <w:r w:rsidR="00443715">
        <w:rPr>
          <w:lang w:val="mk-MK"/>
        </w:rPr>
        <w:t>те</w:t>
      </w:r>
      <w:r w:rsidR="00096784">
        <w:rPr>
          <w:lang w:val="mk-MK"/>
        </w:rPr>
        <w:t xml:space="preserve"> на </w:t>
      </w:r>
      <w:r w:rsidRPr="008662BF">
        <w:rPr>
          <w:lang w:val="mk-MK"/>
        </w:rPr>
        <w:t xml:space="preserve">H2020 и 6 од 7 проекти </w:t>
      </w:r>
      <w:r w:rsidR="00096784">
        <w:rPr>
          <w:lang w:val="mk-MK"/>
        </w:rPr>
        <w:t>во рамки</w:t>
      </w:r>
      <w:r w:rsidR="00443715">
        <w:rPr>
          <w:lang w:val="mk-MK"/>
        </w:rPr>
        <w:t>те</w:t>
      </w:r>
      <w:r w:rsidR="00096784">
        <w:rPr>
          <w:lang w:val="mk-MK"/>
        </w:rPr>
        <w:t xml:space="preserve"> на </w:t>
      </w:r>
      <w:r w:rsidR="00096784" w:rsidRPr="008662BF">
        <w:rPr>
          <w:lang w:val="mk-MK"/>
        </w:rPr>
        <w:t xml:space="preserve">FP7 </w:t>
      </w:r>
      <w:r w:rsidRPr="008662BF">
        <w:rPr>
          <w:lang w:val="mk-MK"/>
        </w:rPr>
        <w:t>се поврзани со развојот на е-инфраструктури.</w:t>
      </w:r>
    </w:p>
    <w:p w14:paraId="1F1081EF" w14:textId="77777777" w:rsidR="00F86DC4" w:rsidRPr="008662BF" w:rsidRDefault="00F86DC4" w:rsidP="00F86DC4">
      <w:pPr>
        <w:jc w:val="both"/>
        <w:rPr>
          <w:lang w:val="mk-MK"/>
        </w:rPr>
      </w:pPr>
      <w:r w:rsidRPr="008662BF">
        <w:rPr>
          <w:lang w:val="mk-MK"/>
        </w:rPr>
        <w:t>Во точките подолу се пре</w:t>
      </w:r>
      <w:r w:rsidR="00096784">
        <w:rPr>
          <w:lang w:val="mk-MK"/>
        </w:rPr>
        <w:t xml:space="preserve">тставени </w:t>
      </w:r>
      <w:r w:rsidRPr="008662BF">
        <w:rPr>
          <w:lang w:val="mk-MK"/>
        </w:rPr>
        <w:t xml:space="preserve">главните информации за проектите за </w:t>
      </w:r>
      <w:r w:rsidR="00096784">
        <w:rPr>
          <w:lang w:val="mk-MK"/>
        </w:rPr>
        <w:t>истражувачки инфраструктури</w:t>
      </w:r>
      <w:r w:rsidRPr="008662BF">
        <w:rPr>
          <w:lang w:val="mk-MK"/>
        </w:rPr>
        <w:t>.</w:t>
      </w:r>
    </w:p>
    <w:p w14:paraId="57556CFD" w14:textId="77777777" w:rsidR="00F86DC4" w:rsidRPr="008662BF" w:rsidRDefault="00F86DC4" w:rsidP="00F86DC4">
      <w:pPr>
        <w:pStyle w:val="Heading4"/>
        <w:numPr>
          <w:ilvl w:val="0"/>
          <w:numId w:val="55"/>
        </w:numPr>
        <w:rPr>
          <w:rFonts w:asciiTheme="minorHAnsi" w:hAnsiTheme="minorHAnsi"/>
          <w:lang w:val="mk-MK"/>
        </w:rPr>
      </w:pPr>
      <w:r w:rsidRPr="008662BF">
        <w:rPr>
          <w:rFonts w:asciiTheme="minorHAnsi" w:hAnsiTheme="minorHAnsi"/>
          <w:lang w:val="mk-MK"/>
        </w:rPr>
        <w:t>GN4-1: Мрежа за истражување и образование – GÉANT</w:t>
      </w:r>
    </w:p>
    <w:p w14:paraId="03430479" w14:textId="77777777" w:rsidR="00446454" w:rsidRPr="008662BF" w:rsidRDefault="00446454" w:rsidP="00446454">
      <w:pPr>
        <w:pStyle w:val="ListParagraph"/>
        <w:numPr>
          <w:ilvl w:val="0"/>
          <w:numId w:val="2"/>
        </w:numPr>
        <w:rPr>
          <w:lang w:val="mk-MK"/>
        </w:rPr>
      </w:pPr>
      <w:r w:rsidRPr="008662BF">
        <w:rPr>
          <w:b/>
          <w:lang w:val="mk-MK"/>
        </w:rPr>
        <w:t>Програми за финансирање</w:t>
      </w:r>
      <w:r w:rsidRPr="008662BF">
        <w:rPr>
          <w:lang w:val="mk-MK"/>
        </w:rPr>
        <w:t>: H2020</w:t>
      </w:r>
    </w:p>
    <w:p w14:paraId="3D0F5246" w14:textId="0E1436C0" w:rsidR="00446454" w:rsidRPr="008662BF" w:rsidRDefault="00446454" w:rsidP="00446454">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Pr="008662BF">
        <w:rPr>
          <w:lang w:val="mk-MK"/>
        </w:rPr>
        <w:t>: Македонск</w:t>
      </w:r>
      <w:r w:rsidR="00096784">
        <w:rPr>
          <w:lang w:val="mk-MK"/>
        </w:rPr>
        <w:t xml:space="preserve">а академска истражувачка мрежа - Скопје, поддржана од ФИНКИ - </w:t>
      </w:r>
      <w:r w:rsidRPr="008662BF">
        <w:rPr>
          <w:lang w:val="mk-MK"/>
        </w:rPr>
        <w:t>УКИМ (43.005 евра)</w:t>
      </w:r>
    </w:p>
    <w:p w14:paraId="0FD429BE" w14:textId="257B6799" w:rsidR="00446454" w:rsidRPr="008662BF" w:rsidRDefault="00446454" w:rsidP="00446454">
      <w:pPr>
        <w:pStyle w:val="ListParagraph"/>
        <w:numPr>
          <w:ilvl w:val="0"/>
          <w:numId w:val="2"/>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Pr="008662BF">
        <w:rPr>
          <w:lang w:val="mk-MK"/>
        </w:rPr>
        <w:t>: 40</w:t>
      </w:r>
    </w:p>
    <w:p w14:paraId="59520E20" w14:textId="77777777" w:rsidR="00446454" w:rsidRPr="008662BF" w:rsidRDefault="00446454" w:rsidP="00446454">
      <w:pPr>
        <w:pStyle w:val="ListParagraph"/>
        <w:numPr>
          <w:ilvl w:val="0"/>
          <w:numId w:val="2"/>
        </w:numPr>
        <w:rPr>
          <w:lang w:val="mk-MK"/>
        </w:rPr>
      </w:pPr>
      <w:r w:rsidRPr="008662BF">
        <w:rPr>
          <w:b/>
          <w:lang w:val="mk-MK"/>
        </w:rPr>
        <w:t xml:space="preserve">Период на </w:t>
      </w:r>
      <w:r w:rsidR="00A72769" w:rsidRPr="008662BF">
        <w:rPr>
          <w:b/>
          <w:lang w:val="mk-MK"/>
        </w:rPr>
        <w:t xml:space="preserve">спроведување </w:t>
      </w:r>
      <w:r w:rsidRPr="008662BF">
        <w:rPr>
          <w:b/>
          <w:lang w:val="mk-MK"/>
        </w:rPr>
        <w:t>на проектот</w:t>
      </w:r>
      <w:r w:rsidRPr="008662BF">
        <w:rPr>
          <w:lang w:val="mk-MK"/>
        </w:rPr>
        <w:t>: 05.01.2015 – 31.08.2016</w:t>
      </w:r>
    </w:p>
    <w:p w14:paraId="3BF4D2FE" w14:textId="77777777" w:rsidR="00446454" w:rsidRPr="008662BF" w:rsidRDefault="002F6BCF" w:rsidP="00446454">
      <w:pPr>
        <w:pStyle w:val="ListParagraph"/>
        <w:numPr>
          <w:ilvl w:val="0"/>
          <w:numId w:val="2"/>
        </w:numPr>
        <w:rPr>
          <w:lang w:val="mk-MK"/>
        </w:rPr>
      </w:pPr>
      <w:r w:rsidRPr="008662BF">
        <w:rPr>
          <w:b/>
          <w:lang w:val="mk-MK"/>
        </w:rPr>
        <w:t>Научна област</w:t>
      </w:r>
      <w:r w:rsidR="00446454" w:rsidRPr="008662BF">
        <w:rPr>
          <w:lang w:val="mk-MK"/>
        </w:rPr>
        <w:t>: е-инфраструктури</w:t>
      </w:r>
    </w:p>
    <w:p w14:paraId="3A4F2D4B" w14:textId="317D4F78" w:rsidR="00A72769" w:rsidRPr="008662BF" w:rsidRDefault="00A72769" w:rsidP="00A72769">
      <w:pPr>
        <w:jc w:val="both"/>
        <w:rPr>
          <w:lang w:val="mk-MK"/>
        </w:rPr>
      </w:pPr>
      <w:r w:rsidRPr="009D131E">
        <w:rPr>
          <w:lang w:val="mk-MK"/>
        </w:rPr>
        <w:t xml:space="preserve">Општата цел на проектот беше да се обезбеди стабилна средина за имплементација на GÉANT како европски заеднички комуникациски ресурси </w:t>
      </w:r>
      <w:r w:rsidR="009D131E" w:rsidRPr="009D131E">
        <w:rPr>
          <w:lang w:val="mk-MK"/>
        </w:rPr>
        <w:t>(</w:t>
      </w:r>
      <w:r w:rsidR="009D131E" w:rsidRPr="009D131E">
        <w:rPr>
          <w:lang w:val="en-GB"/>
        </w:rPr>
        <w:t>Communications Commons</w:t>
      </w:r>
      <w:r w:rsidR="009D131E" w:rsidRPr="009D131E">
        <w:rPr>
          <w:lang w:val="mk-MK"/>
        </w:rPr>
        <w:t>)</w:t>
      </w:r>
      <w:r w:rsidR="00443715">
        <w:rPr>
          <w:lang w:val="mk-MK"/>
        </w:rPr>
        <w:t xml:space="preserve"> </w:t>
      </w:r>
      <w:r w:rsidRPr="009D131E">
        <w:rPr>
          <w:lang w:val="mk-MK"/>
        </w:rPr>
        <w:t xml:space="preserve">за Европската истражувачка област, </w:t>
      </w:r>
      <w:r w:rsidR="00443715">
        <w:rPr>
          <w:lang w:val="mk-MK"/>
        </w:rPr>
        <w:t>што</w:t>
      </w:r>
      <w:r w:rsidRPr="009D131E">
        <w:rPr>
          <w:lang w:val="mk-MK"/>
        </w:rPr>
        <w:t xml:space="preserve"> ќе обезбедат најдобра можна дигитална инфраструктура за</w:t>
      </w:r>
      <w:r w:rsidR="00443715">
        <w:rPr>
          <w:lang w:val="mk-MK"/>
        </w:rPr>
        <w:t xml:space="preserve">ради </w:t>
      </w:r>
      <w:r w:rsidRPr="009D131E">
        <w:rPr>
          <w:lang w:val="mk-MK"/>
        </w:rPr>
        <w:t>сигур</w:t>
      </w:r>
      <w:r w:rsidR="00443715">
        <w:rPr>
          <w:lang w:val="mk-MK"/>
        </w:rPr>
        <w:t>ност</w:t>
      </w:r>
      <w:r w:rsidRPr="009D131E">
        <w:rPr>
          <w:lang w:val="mk-MK"/>
        </w:rPr>
        <w:t xml:space="preserve"> дека Европа ќе остане предводник во областа на истражувањето. Обемните и долгогодишни контакти на GÉANT со дисциплини</w:t>
      </w:r>
      <w:r w:rsidR="00443715">
        <w:rPr>
          <w:lang w:val="mk-MK"/>
        </w:rPr>
        <w:t>те</w:t>
      </w:r>
      <w:r w:rsidRPr="009D131E">
        <w:rPr>
          <w:lang w:val="mk-MK"/>
        </w:rPr>
        <w:t xml:space="preserve"> со обемни податоци како што се биологијата, радиоастрономијата и физиката на висока енергија помагаат во обликувањето на еволуцијата на потребните мрежни капацитети. Ова </w:t>
      </w:r>
      <w:r w:rsidR="00DD73C3" w:rsidRPr="009D131E">
        <w:rPr>
          <w:lang w:val="mk-MK"/>
        </w:rPr>
        <w:t xml:space="preserve">се надополнува </w:t>
      </w:r>
      <w:r w:rsidRPr="009D131E">
        <w:rPr>
          <w:lang w:val="mk-MK"/>
        </w:rPr>
        <w:t xml:space="preserve">со партнерски контакти со истражувачки </w:t>
      </w:r>
      <w:r w:rsidR="00DD73C3" w:rsidRPr="009D131E">
        <w:rPr>
          <w:lang w:val="mk-MK"/>
        </w:rPr>
        <w:t xml:space="preserve">области </w:t>
      </w:r>
      <w:r w:rsidRPr="009D131E">
        <w:rPr>
          <w:lang w:val="mk-MK"/>
        </w:rPr>
        <w:t>кои се нови корисници на мрежи и услуги со високи перформанси, како што се: дигитално</w:t>
      </w:r>
      <w:r w:rsidR="00DD73C3" w:rsidRPr="009D131E">
        <w:rPr>
          <w:lang w:val="mk-MK"/>
        </w:rPr>
        <w:t xml:space="preserve">то складирање на податоци, </w:t>
      </w:r>
      <w:r w:rsidRPr="009D131E">
        <w:rPr>
          <w:lang w:val="mk-MK"/>
        </w:rPr>
        <w:t>уметност</w:t>
      </w:r>
      <w:r w:rsidR="00DD73C3" w:rsidRPr="009D131E">
        <w:rPr>
          <w:lang w:val="mk-MK"/>
        </w:rPr>
        <w:t>а</w:t>
      </w:r>
      <w:r w:rsidRPr="009D131E">
        <w:rPr>
          <w:lang w:val="mk-MK"/>
        </w:rPr>
        <w:t xml:space="preserve"> во реално време и хуманистички</w:t>
      </w:r>
      <w:r w:rsidR="00DD73C3" w:rsidRPr="009D131E">
        <w:rPr>
          <w:lang w:val="mk-MK"/>
        </w:rPr>
        <w:t>те</w:t>
      </w:r>
      <w:r w:rsidRPr="009D131E">
        <w:rPr>
          <w:lang w:val="mk-MK"/>
        </w:rPr>
        <w:t xml:space="preserve"> науки.</w:t>
      </w:r>
    </w:p>
    <w:p w14:paraId="0A8979FB" w14:textId="2F5E8DE7" w:rsidR="00A72769" w:rsidRPr="008662BF" w:rsidRDefault="00A72769" w:rsidP="00A72769">
      <w:pPr>
        <w:jc w:val="both"/>
        <w:rPr>
          <w:lang w:val="mk-MK"/>
        </w:rPr>
      </w:pPr>
      <w:r w:rsidRPr="008662BF">
        <w:rPr>
          <w:lang w:val="mk-MK"/>
        </w:rPr>
        <w:t xml:space="preserve">Визијата беше партнерството на GÉANT оптимално да се позиционира и истовремено да се обезбеди континуитет и подобрување на услугите </w:t>
      </w:r>
      <w:r w:rsidR="00443715">
        <w:rPr>
          <w:lang w:val="mk-MK"/>
        </w:rPr>
        <w:t>што</w:t>
      </w:r>
      <w:r w:rsidRPr="008662BF">
        <w:rPr>
          <w:lang w:val="mk-MK"/>
        </w:rPr>
        <w:t xml:space="preserve"> успешно се нудат во рамките на проектот GN3plus FP7.</w:t>
      </w:r>
    </w:p>
    <w:p w14:paraId="57193C98" w14:textId="77777777" w:rsidR="007947BF" w:rsidRPr="008662BF" w:rsidRDefault="007947BF" w:rsidP="007947BF">
      <w:pPr>
        <w:keepNext/>
        <w:keepLines/>
        <w:spacing w:before="200" w:after="0"/>
        <w:ind w:firstLine="357"/>
        <w:outlineLvl w:val="3"/>
        <w:rPr>
          <w:szCs w:val="24"/>
          <w:lang w:val="mk-MK"/>
        </w:rPr>
      </w:pPr>
      <w:r w:rsidRPr="008662BF">
        <w:rPr>
          <w:rFonts w:eastAsiaTheme="majorEastAsia" w:cstheme="majorBidi"/>
          <w:b/>
          <w:bCs/>
          <w:i/>
          <w:iCs/>
          <w:color w:val="4F81BD" w:themeColor="accent1"/>
          <w:lang w:val="mk-MK"/>
        </w:rPr>
        <w:lastRenderedPageBreak/>
        <w:t xml:space="preserve">2. GN4-2: </w:t>
      </w:r>
      <w:r w:rsidR="00A72769" w:rsidRPr="008662BF">
        <w:rPr>
          <w:rFonts w:eastAsiaTheme="majorEastAsia" w:cstheme="majorBidi"/>
          <w:b/>
          <w:bCs/>
          <w:i/>
          <w:iCs/>
          <w:color w:val="4F81BD" w:themeColor="accent1"/>
          <w:lang w:val="mk-MK"/>
        </w:rPr>
        <w:t>Мрежа за истражување и образование</w:t>
      </w:r>
      <w:r w:rsidRPr="008662BF">
        <w:rPr>
          <w:rFonts w:eastAsiaTheme="majorEastAsia" w:cstheme="majorBidi"/>
          <w:b/>
          <w:bCs/>
          <w:i/>
          <w:iCs/>
          <w:color w:val="4F81BD" w:themeColor="accent1"/>
          <w:lang w:val="mk-MK"/>
        </w:rPr>
        <w:t xml:space="preserve"> - GÉANT</w:t>
      </w:r>
    </w:p>
    <w:p w14:paraId="7E3665B6" w14:textId="77777777" w:rsidR="007947BF" w:rsidRPr="008662BF" w:rsidRDefault="00A72769" w:rsidP="007947BF">
      <w:pPr>
        <w:pStyle w:val="ListParagraph"/>
        <w:numPr>
          <w:ilvl w:val="0"/>
          <w:numId w:val="2"/>
        </w:numPr>
        <w:rPr>
          <w:lang w:val="mk-MK"/>
        </w:rPr>
      </w:pPr>
      <w:r w:rsidRPr="008662BF">
        <w:rPr>
          <w:b/>
          <w:lang w:val="mk-MK"/>
        </w:rPr>
        <w:t>Програми за финансирање</w:t>
      </w:r>
      <w:r w:rsidRPr="008662BF">
        <w:rPr>
          <w:lang w:val="mk-MK"/>
        </w:rPr>
        <w:t xml:space="preserve">: </w:t>
      </w:r>
      <w:r w:rsidR="007947BF" w:rsidRPr="008662BF">
        <w:rPr>
          <w:lang w:val="mk-MK"/>
        </w:rPr>
        <w:t>H2020</w:t>
      </w:r>
    </w:p>
    <w:p w14:paraId="07E8F6CC" w14:textId="678D9E93" w:rsidR="007947BF" w:rsidRPr="008662BF" w:rsidRDefault="00A72769" w:rsidP="007947BF">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Pr="008662BF">
        <w:rPr>
          <w:lang w:val="mk-MK"/>
        </w:rPr>
        <w:t>: Македонска академска истражувачка мрежа</w:t>
      </w:r>
      <w:r w:rsidR="00DD73C3">
        <w:rPr>
          <w:lang w:val="mk-MK"/>
        </w:rPr>
        <w:t xml:space="preserve"> - </w:t>
      </w:r>
      <w:r w:rsidRPr="008662BF">
        <w:rPr>
          <w:lang w:val="mk-MK"/>
        </w:rPr>
        <w:t>Скопје, трета страна ФИНКИ</w:t>
      </w:r>
      <w:r w:rsidR="00DD73C3">
        <w:rPr>
          <w:lang w:val="mk-MK"/>
        </w:rPr>
        <w:t xml:space="preserve"> - </w:t>
      </w:r>
      <w:r w:rsidRPr="008662BF">
        <w:rPr>
          <w:lang w:val="mk-MK"/>
        </w:rPr>
        <w:t xml:space="preserve">УКИМ </w:t>
      </w:r>
      <w:r w:rsidR="007947BF" w:rsidRPr="008662BF">
        <w:rPr>
          <w:lang w:val="mk-MK"/>
        </w:rPr>
        <w:t>(264</w:t>
      </w:r>
      <w:r w:rsidRPr="008662BF">
        <w:rPr>
          <w:lang w:val="mk-MK"/>
        </w:rPr>
        <w:t>.</w:t>
      </w:r>
      <w:r w:rsidR="007947BF" w:rsidRPr="008662BF">
        <w:rPr>
          <w:lang w:val="mk-MK"/>
        </w:rPr>
        <w:t>792</w:t>
      </w:r>
      <w:r w:rsidRPr="008662BF">
        <w:rPr>
          <w:lang w:val="mk-MK"/>
        </w:rPr>
        <w:t xml:space="preserve"> евра</w:t>
      </w:r>
      <w:r w:rsidR="007947BF" w:rsidRPr="008662BF">
        <w:rPr>
          <w:lang w:val="mk-MK"/>
        </w:rPr>
        <w:t>)</w:t>
      </w:r>
    </w:p>
    <w:p w14:paraId="0F50B75F" w14:textId="5976B28E" w:rsidR="007947BF" w:rsidRPr="008662BF" w:rsidRDefault="00A72769" w:rsidP="007947BF">
      <w:pPr>
        <w:pStyle w:val="ListParagraph"/>
        <w:numPr>
          <w:ilvl w:val="0"/>
          <w:numId w:val="2"/>
        </w:numPr>
        <w:rPr>
          <w:lang w:val="mk-MK"/>
        </w:rPr>
      </w:pPr>
      <w:r w:rsidRPr="008662BF">
        <w:rPr>
          <w:b/>
          <w:lang w:val="mk-MK"/>
        </w:rPr>
        <w:t>Вкупен број партнерски организации</w:t>
      </w:r>
      <w:r w:rsidRPr="008662BF">
        <w:rPr>
          <w:lang w:val="mk-MK"/>
        </w:rPr>
        <w:t xml:space="preserve">: </w:t>
      </w:r>
      <w:r w:rsidR="007947BF" w:rsidRPr="008662BF">
        <w:rPr>
          <w:lang w:val="mk-MK"/>
        </w:rPr>
        <w:t>39</w:t>
      </w:r>
    </w:p>
    <w:p w14:paraId="26976106" w14:textId="77777777" w:rsidR="007947BF" w:rsidRPr="008662BF" w:rsidRDefault="00A72769" w:rsidP="007947BF">
      <w:pPr>
        <w:pStyle w:val="ListParagraph"/>
        <w:numPr>
          <w:ilvl w:val="0"/>
          <w:numId w:val="2"/>
        </w:numPr>
        <w:rPr>
          <w:lang w:val="mk-MK"/>
        </w:rPr>
      </w:pPr>
      <w:r w:rsidRPr="008662BF">
        <w:rPr>
          <w:b/>
          <w:lang w:val="mk-MK"/>
        </w:rPr>
        <w:t>Период на спроведување на проектот</w:t>
      </w:r>
      <w:r w:rsidRPr="008662BF">
        <w:rPr>
          <w:lang w:val="mk-MK"/>
        </w:rPr>
        <w:t xml:space="preserve">: </w:t>
      </w:r>
      <w:r w:rsidR="007947BF" w:rsidRPr="008662BF">
        <w:rPr>
          <w:lang w:val="mk-MK"/>
        </w:rPr>
        <w:t>01</w:t>
      </w:r>
      <w:r w:rsidRPr="008662BF">
        <w:rPr>
          <w:lang w:val="mk-MK"/>
        </w:rPr>
        <w:t>.</w:t>
      </w:r>
      <w:r w:rsidR="007947BF" w:rsidRPr="008662BF">
        <w:rPr>
          <w:lang w:val="mk-MK"/>
        </w:rPr>
        <w:t>05</w:t>
      </w:r>
      <w:r w:rsidRPr="008662BF">
        <w:rPr>
          <w:lang w:val="mk-MK"/>
        </w:rPr>
        <w:t>.</w:t>
      </w:r>
      <w:r w:rsidR="007947BF" w:rsidRPr="008662BF">
        <w:rPr>
          <w:lang w:val="mk-MK"/>
        </w:rPr>
        <w:t>2016 – 31</w:t>
      </w:r>
      <w:r w:rsidRPr="008662BF">
        <w:rPr>
          <w:lang w:val="mk-MK"/>
        </w:rPr>
        <w:t>.</w:t>
      </w:r>
      <w:r w:rsidR="007947BF" w:rsidRPr="008662BF">
        <w:rPr>
          <w:lang w:val="mk-MK"/>
        </w:rPr>
        <w:t>01</w:t>
      </w:r>
      <w:r w:rsidRPr="008662BF">
        <w:rPr>
          <w:lang w:val="mk-MK"/>
        </w:rPr>
        <w:t>.</w:t>
      </w:r>
      <w:r w:rsidR="007947BF" w:rsidRPr="008662BF">
        <w:rPr>
          <w:lang w:val="mk-MK"/>
        </w:rPr>
        <w:t>2020</w:t>
      </w:r>
    </w:p>
    <w:p w14:paraId="1871EEC9" w14:textId="77777777" w:rsidR="00A72769" w:rsidRPr="008662BF" w:rsidRDefault="002F6BCF" w:rsidP="00A72769">
      <w:pPr>
        <w:pStyle w:val="ListParagraph"/>
        <w:numPr>
          <w:ilvl w:val="0"/>
          <w:numId w:val="2"/>
        </w:numPr>
        <w:rPr>
          <w:lang w:val="mk-MK"/>
        </w:rPr>
      </w:pPr>
      <w:r w:rsidRPr="008662BF">
        <w:rPr>
          <w:b/>
          <w:lang w:val="mk-MK"/>
        </w:rPr>
        <w:t>Научна област</w:t>
      </w:r>
      <w:r w:rsidR="00A72769" w:rsidRPr="008662BF">
        <w:rPr>
          <w:lang w:val="mk-MK"/>
        </w:rPr>
        <w:t>: е-инфраструктури</w:t>
      </w:r>
    </w:p>
    <w:p w14:paraId="65E2530F" w14:textId="33ACDBF0" w:rsidR="00A72769" w:rsidRPr="008662BF" w:rsidRDefault="00D606C0" w:rsidP="007947BF">
      <w:pPr>
        <w:jc w:val="both"/>
        <w:rPr>
          <w:lang w:val="mk-MK"/>
        </w:rPr>
      </w:pPr>
      <w:r>
        <w:rPr>
          <w:lang w:val="mk-MK"/>
        </w:rPr>
        <w:t>П</w:t>
      </w:r>
      <w:r w:rsidRPr="008662BF">
        <w:rPr>
          <w:lang w:val="mk-MK"/>
        </w:rPr>
        <w:t>роект</w:t>
      </w:r>
      <w:r>
        <w:rPr>
          <w:lang w:val="mk-MK"/>
        </w:rPr>
        <w:t>от</w:t>
      </w:r>
      <w:r w:rsidRPr="008662BF">
        <w:rPr>
          <w:lang w:val="mk-MK"/>
        </w:rPr>
        <w:t xml:space="preserve"> </w:t>
      </w:r>
      <w:r w:rsidR="00A72769" w:rsidRPr="008662BF">
        <w:rPr>
          <w:lang w:val="mk-MK"/>
        </w:rPr>
        <w:t xml:space="preserve">GN4-2 беше предложен </w:t>
      </w:r>
      <w:r w:rsidRPr="008662BF">
        <w:rPr>
          <w:lang w:val="mk-MK"/>
        </w:rPr>
        <w:t xml:space="preserve">во април 2015 година </w:t>
      </w:r>
      <w:r w:rsidR="00A72769" w:rsidRPr="008662BF">
        <w:rPr>
          <w:lang w:val="mk-MK"/>
        </w:rPr>
        <w:t xml:space="preserve">за вториот договор за специфичен грант </w:t>
      </w:r>
      <w:r>
        <w:rPr>
          <w:lang w:val="mk-MK"/>
        </w:rPr>
        <w:t xml:space="preserve">во </w:t>
      </w:r>
      <w:r w:rsidR="00A72769" w:rsidRPr="008662BF">
        <w:rPr>
          <w:lang w:val="mk-MK"/>
        </w:rPr>
        <w:t>с</w:t>
      </w:r>
      <w:r w:rsidR="00DD73C3">
        <w:rPr>
          <w:lang w:val="mk-MK"/>
        </w:rPr>
        <w:t>огласно</w:t>
      </w:r>
      <w:r>
        <w:rPr>
          <w:lang w:val="mk-MK"/>
        </w:rPr>
        <w:t>ст со</w:t>
      </w:r>
      <w:r w:rsidR="00DD73C3">
        <w:rPr>
          <w:lang w:val="mk-MK"/>
        </w:rPr>
        <w:t xml:space="preserve"> </w:t>
      </w:r>
      <w:r w:rsidR="00A72769" w:rsidRPr="008662BF">
        <w:rPr>
          <w:lang w:val="mk-MK"/>
        </w:rPr>
        <w:t xml:space="preserve">68-месечниот Рамковен договор за партнерство (ФПА) воспоставен помеѓу </w:t>
      </w:r>
      <w:r w:rsidR="00DD73C3">
        <w:rPr>
          <w:lang w:val="mk-MK"/>
        </w:rPr>
        <w:t>К</w:t>
      </w:r>
      <w:r w:rsidR="00A72769" w:rsidRPr="008662BF">
        <w:rPr>
          <w:lang w:val="mk-MK"/>
        </w:rPr>
        <w:t xml:space="preserve">онзорциумот </w:t>
      </w:r>
      <w:r w:rsidR="00DD73C3" w:rsidRPr="008662BF">
        <w:rPr>
          <w:lang w:val="mk-MK"/>
        </w:rPr>
        <w:t xml:space="preserve">GÉANT </w:t>
      </w:r>
      <w:r w:rsidR="00A72769" w:rsidRPr="008662BF">
        <w:rPr>
          <w:lang w:val="mk-MK"/>
        </w:rPr>
        <w:t>и Европската комисија. Во оваа втор</w:t>
      </w:r>
      <w:r w:rsidR="00DD73C3">
        <w:rPr>
          <w:lang w:val="mk-MK"/>
        </w:rPr>
        <w:t xml:space="preserve">а фаза од спроведувањето на ФПА </w:t>
      </w:r>
      <w:r w:rsidR="00A72769" w:rsidRPr="008662BF">
        <w:rPr>
          <w:lang w:val="mk-MK"/>
        </w:rPr>
        <w:t>целта беше да се подигне европското истражување на следното ниво преку промовирање на научна извонредност, пристап и</w:t>
      </w:r>
      <w:r>
        <w:rPr>
          <w:lang w:val="mk-MK"/>
        </w:rPr>
        <w:t xml:space="preserve"> на</w:t>
      </w:r>
      <w:r w:rsidR="00A72769" w:rsidRPr="008662BF">
        <w:rPr>
          <w:lang w:val="mk-MK"/>
        </w:rPr>
        <w:t xml:space="preserve"> повторна употреба на податоците од истражувањата. Ова доведе до економичност на научната инфраструктура ширум Европа преку промовирање на интероперабилност со други е-инфраструктури во </w:t>
      </w:r>
      <w:r>
        <w:rPr>
          <w:lang w:val="mk-MK"/>
        </w:rPr>
        <w:t xml:space="preserve">многу поголем </w:t>
      </w:r>
      <w:r w:rsidRPr="008662BF">
        <w:rPr>
          <w:lang w:val="mk-MK"/>
        </w:rPr>
        <w:t>обем</w:t>
      </w:r>
      <w:r>
        <w:rPr>
          <w:lang w:val="mk-MK"/>
        </w:rPr>
        <w:t xml:space="preserve"> од</w:t>
      </w:r>
      <w:r w:rsidRPr="008662BF">
        <w:rPr>
          <w:lang w:val="mk-MK"/>
        </w:rPr>
        <w:t xml:space="preserve"> </w:t>
      </w:r>
      <w:r w:rsidR="00A72769" w:rsidRPr="008662BF">
        <w:rPr>
          <w:lang w:val="mk-MK"/>
        </w:rPr>
        <w:t>претходно.</w:t>
      </w:r>
    </w:p>
    <w:p w14:paraId="36994F93" w14:textId="4EC3EEE6" w:rsidR="00F64221" w:rsidRPr="008662BF" w:rsidRDefault="00F64221" w:rsidP="007947BF">
      <w:pPr>
        <w:jc w:val="both"/>
        <w:rPr>
          <w:lang w:val="mk-MK"/>
        </w:rPr>
      </w:pPr>
      <w:r w:rsidRPr="008662BF">
        <w:rPr>
          <w:lang w:val="mk-MK"/>
        </w:rPr>
        <w:t xml:space="preserve">Развојот на GN4-2 беше воден од визијата за иднината </w:t>
      </w:r>
      <w:r w:rsidR="00D606C0">
        <w:rPr>
          <w:lang w:val="mk-MK"/>
        </w:rPr>
        <w:t>во која</w:t>
      </w:r>
      <w:r w:rsidR="00D606C0" w:rsidRPr="008662BF">
        <w:rPr>
          <w:lang w:val="mk-MK"/>
        </w:rPr>
        <w:t xml:space="preserve"> </w:t>
      </w:r>
      <w:r w:rsidRPr="008662BF">
        <w:rPr>
          <w:lang w:val="mk-MK"/>
        </w:rPr>
        <w:t>збир</w:t>
      </w:r>
      <w:r w:rsidR="00D606C0">
        <w:rPr>
          <w:lang w:val="mk-MK"/>
        </w:rPr>
        <w:t>от</w:t>
      </w:r>
      <w:r w:rsidRPr="008662BF">
        <w:rPr>
          <w:lang w:val="mk-MK"/>
        </w:rPr>
        <w:t xml:space="preserve"> </w:t>
      </w:r>
      <w:r w:rsidR="00D606C0">
        <w:rPr>
          <w:lang w:val="mk-MK"/>
        </w:rPr>
        <w:t>од</w:t>
      </w:r>
      <w:r w:rsidRPr="008662BF">
        <w:rPr>
          <w:lang w:val="mk-MK"/>
        </w:rPr>
        <w:t xml:space="preserve"> кохерентни и интегрирани европски услуги за е-инфраструктура </w:t>
      </w:r>
      <w:r w:rsidR="00D606C0">
        <w:rPr>
          <w:lang w:val="mk-MK"/>
        </w:rPr>
        <w:t xml:space="preserve">ќе </w:t>
      </w:r>
      <w:r w:rsidRPr="008662BF">
        <w:rPr>
          <w:lang w:val="mk-MK"/>
        </w:rPr>
        <w:t xml:space="preserve">нудат </w:t>
      </w:r>
      <w:r w:rsidR="00DD73C3">
        <w:rPr>
          <w:lang w:val="mk-MK"/>
        </w:rPr>
        <w:t xml:space="preserve">лесен, непрекинат </w:t>
      </w:r>
      <w:r w:rsidRPr="008662BF">
        <w:rPr>
          <w:lang w:val="mk-MK"/>
        </w:rPr>
        <w:t xml:space="preserve">пристап за крајните корисници преку заеднички каталог на услуги и </w:t>
      </w:r>
      <w:r w:rsidR="00D606C0">
        <w:rPr>
          <w:lang w:val="mk-MK"/>
        </w:rPr>
        <w:t xml:space="preserve">со </w:t>
      </w:r>
      <w:r w:rsidRPr="008662BF">
        <w:rPr>
          <w:lang w:val="mk-MK"/>
        </w:rPr>
        <w:t xml:space="preserve">олеснување на усвојувањето на услугите што ги нудат новите постигнувања </w:t>
      </w:r>
      <w:r w:rsidR="00DD73C3">
        <w:rPr>
          <w:lang w:val="mk-MK"/>
        </w:rPr>
        <w:t>в</w:t>
      </w:r>
      <w:r w:rsidRPr="008662BF">
        <w:rPr>
          <w:lang w:val="mk-MK"/>
        </w:rPr>
        <w:t>о е-инфраструктурата, како што е Европскиот облак за отворена наука.</w:t>
      </w:r>
    </w:p>
    <w:p w14:paraId="328E8E2C"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3. GN4-3: H2020-SGA-INFRA-GEANT-2018 </w:t>
      </w:r>
      <w:r w:rsidR="001D0D19" w:rsidRPr="008662BF">
        <w:rPr>
          <w:rFonts w:asciiTheme="minorHAnsi" w:hAnsiTheme="minorHAnsi"/>
          <w:lang w:val="mk-MK"/>
        </w:rPr>
        <w:t>(</w:t>
      </w:r>
      <w:r w:rsidR="00F64221" w:rsidRPr="008662BF">
        <w:rPr>
          <w:rFonts w:asciiTheme="minorHAnsi" w:hAnsiTheme="minorHAnsi"/>
          <w:lang w:val="mk-MK"/>
        </w:rPr>
        <w:t>Тема [а] Вмрежување за истражување и образование</w:t>
      </w:r>
      <w:r w:rsidRPr="008662BF">
        <w:rPr>
          <w:rFonts w:asciiTheme="minorHAnsi" w:hAnsiTheme="minorHAnsi"/>
          <w:lang w:val="mk-MK"/>
        </w:rPr>
        <w:t>)</w:t>
      </w:r>
    </w:p>
    <w:p w14:paraId="21F10AAC" w14:textId="77777777" w:rsidR="001D0D19" w:rsidRPr="008662BF" w:rsidRDefault="001D0D19" w:rsidP="001D0D19">
      <w:pPr>
        <w:pStyle w:val="ListParagraph"/>
        <w:numPr>
          <w:ilvl w:val="0"/>
          <w:numId w:val="6"/>
        </w:numPr>
        <w:rPr>
          <w:lang w:val="mk-MK"/>
        </w:rPr>
      </w:pPr>
      <w:r w:rsidRPr="008662BF">
        <w:rPr>
          <w:b/>
          <w:lang w:val="mk-MK"/>
        </w:rPr>
        <w:t>Програми за финансирање</w:t>
      </w:r>
      <w:r w:rsidRPr="008662BF">
        <w:rPr>
          <w:lang w:val="mk-MK"/>
        </w:rPr>
        <w:t>: H2020</w:t>
      </w:r>
    </w:p>
    <w:p w14:paraId="37333669" w14:textId="62918099" w:rsidR="007947BF" w:rsidRPr="008662BF" w:rsidRDefault="001D0D19" w:rsidP="00CD59BD">
      <w:pPr>
        <w:pStyle w:val="ListParagraph"/>
        <w:numPr>
          <w:ilvl w:val="0"/>
          <w:numId w:val="6"/>
        </w:numPr>
        <w:rPr>
          <w:lang w:val="mk-MK"/>
        </w:rPr>
      </w:pPr>
      <w:r w:rsidRPr="008662BF">
        <w:rPr>
          <w:b/>
          <w:lang w:val="mk-MK"/>
        </w:rPr>
        <w:t xml:space="preserve">Проектни партнери од </w:t>
      </w:r>
      <w:r w:rsidR="00417197">
        <w:rPr>
          <w:b/>
          <w:lang w:val="mk-MK"/>
        </w:rPr>
        <w:t>Република Северна Македонија</w:t>
      </w:r>
      <w:r w:rsidRPr="008662BF">
        <w:rPr>
          <w:lang w:val="mk-MK"/>
        </w:rPr>
        <w:t>: Македонска академска истражувачка мрежа</w:t>
      </w:r>
      <w:r w:rsidR="00DD73C3">
        <w:rPr>
          <w:lang w:val="mk-MK"/>
        </w:rPr>
        <w:t xml:space="preserve"> - </w:t>
      </w:r>
      <w:r w:rsidRPr="008662BF">
        <w:rPr>
          <w:lang w:val="mk-MK"/>
        </w:rPr>
        <w:t xml:space="preserve">Скопје, трета страна </w:t>
      </w:r>
      <w:r w:rsidR="00DD73C3">
        <w:rPr>
          <w:lang w:val="mk-MK"/>
        </w:rPr>
        <w:t xml:space="preserve">ФИНКИ - </w:t>
      </w:r>
      <w:r w:rsidRPr="008662BF">
        <w:rPr>
          <w:lang w:val="mk-MK"/>
        </w:rPr>
        <w:t xml:space="preserve">УКИМ </w:t>
      </w:r>
      <w:r w:rsidR="007947BF" w:rsidRPr="008662BF">
        <w:rPr>
          <w:lang w:val="mk-MK"/>
        </w:rPr>
        <w:t>(511</w:t>
      </w:r>
      <w:r w:rsidRPr="008662BF">
        <w:rPr>
          <w:lang w:val="mk-MK"/>
        </w:rPr>
        <w:t>.</w:t>
      </w:r>
      <w:r w:rsidR="007947BF" w:rsidRPr="008662BF">
        <w:rPr>
          <w:lang w:val="mk-MK"/>
        </w:rPr>
        <w:t>300</w:t>
      </w:r>
      <w:r w:rsidRPr="008662BF">
        <w:rPr>
          <w:lang w:val="mk-MK"/>
        </w:rPr>
        <w:t xml:space="preserve"> евра</w:t>
      </w:r>
      <w:r w:rsidR="007947BF" w:rsidRPr="008662BF">
        <w:rPr>
          <w:lang w:val="mk-MK"/>
        </w:rPr>
        <w:t>)</w:t>
      </w:r>
    </w:p>
    <w:p w14:paraId="42BB3063" w14:textId="4DB0C179" w:rsidR="001D0D19" w:rsidRPr="008662BF" w:rsidRDefault="001D0D19" w:rsidP="001D0D19">
      <w:pPr>
        <w:pStyle w:val="ListParagraph"/>
        <w:numPr>
          <w:ilvl w:val="0"/>
          <w:numId w:val="6"/>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Pr="008662BF">
        <w:rPr>
          <w:lang w:val="mk-MK"/>
        </w:rPr>
        <w:t>: 39</w:t>
      </w:r>
    </w:p>
    <w:p w14:paraId="223C226E" w14:textId="77777777" w:rsidR="007947BF" w:rsidRPr="008662BF" w:rsidRDefault="001D0D19" w:rsidP="007947BF">
      <w:pPr>
        <w:pStyle w:val="ListParagraph"/>
        <w:numPr>
          <w:ilvl w:val="0"/>
          <w:numId w:val="6"/>
        </w:numPr>
        <w:rPr>
          <w:lang w:val="mk-MK"/>
        </w:rPr>
      </w:pPr>
      <w:r w:rsidRPr="008662BF">
        <w:rPr>
          <w:b/>
          <w:lang w:val="mk-MK"/>
        </w:rPr>
        <w:t>Период на спроведување на проектот</w:t>
      </w:r>
      <w:r w:rsidR="007947BF" w:rsidRPr="008662BF">
        <w:rPr>
          <w:lang w:val="mk-MK"/>
        </w:rPr>
        <w:t>: 01</w:t>
      </w:r>
      <w:r w:rsidRPr="008662BF">
        <w:rPr>
          <w:lang w:val="mk-MK"/>
        </w:rPr>
        <w:t>.</w:t>
      </w:r>
      <w:r w:rsidR="007947BF" w:rsidRPr="008662BF">
        <w:rPr>
          <w:lang w:val="mk-MK"/>
        </w:rPr>
        <w:t>01</w:t>
      </w:r>
      <w:r w:rsidRPr="008662BF">
        <w:rPr>
          <w:lang w:val="mk-MK"/>
        </w:rPr>
        <w:t>.</w:t>
      </w:r>
      <w:r w:rsidR="007947BF" w:rsidRPr="008662BF">
        <w:rPr>
          <w:lang w:val="mk-MK"/>
        </w:rPr>
        <w:t xml:space="preserve">2019 </w:t>
      </w:r>
      <w:r w:rsidRPr="008662BF">
        <w:rPr>
          <w:lang w:val="mk-MK"/>
        </w:rPr>
        <w:t>–</w:t>
      </w:r>
      <w:r w:rsidR="007947BF" w:rsidRPr="008662BF">
        <w:rPr>
          <w:lang w:val="mk-MK"/>
        </w:rPr>
        <w:t xml:space="preserve"> 31</w:t>
      </w:r>
      <w:r w:rsidRPr="008662BF">
        <w:rPr>
          <w:lang w:val="mk-MK"/>
        </w:rPr>
        <w:t>.</w:t>
      </w:r>
      <w:r w:rsidR="007947BF" w:rsidRPr="008662BF">
        <w:rPr>
          <w:lang w:val="mk-MK"/>
        </w:rPr>
        <w:t>12</w:t>
      </w:r>
      <w:r w:rsidRPr="008662BF">
        <w:rPr>
          <w:lang w:val="mk-MK"/>
        </w:rPr>
        <w:t>.</w:t>
      </w:r>
      <w:r w:rsidR="007947BF" w:rsidRPr="008662BF">
        <w:rPr>
          <w:lang w:val="mk-MK"/>
        </w:rPr>
        <w:t>2022</w:t>
      </w:r>
    </w:p>
    <w:p w14:paraId="78018EFA" w14:textId="77777777" w:rsidR="001D0D19" w:rsidRPr="008662BF" w:rsidRDefault="002F6BCF" w:rsidP="001D0D19">
      <w:pPr>
        <w:pStyle w:val="ListParagraph"/>
        <w:numPr>
          <w:ilvl w:val="0"/>
          <w:numId w:val="6"/>
        </w:numPr>
        <w:rPr>
          <w:lang w:val="mk-MK"/>
        </w:rPr>
      </w:pPr>
      <w:r w:rsidRPr="008662BF">
        <w:rPr>
          <w:b/>
          <w:lang w:val="mk-MK"/>
        </w:rPr>
        <w:t>Научна област</w:t>
      </w:r>
      <w:r w:rsidR="001D0D19" w:rsidRPr="008662BF">
        <w:rPr>
          <w:lang w:val="mk-MK"/>
        </w:rPr>
        <w:t>: е-инфраструктури</w:t>
      </w:r>
    </w:p>
    <w:p w14:paraId="6ED715C9" w14:textId="395E4501" w:rsidR="00A676B5" w:rsidRPr="008662BF" w:rsidRDefault="001D0D19" w:rsidP="007947BF">
      <w:pPr>
        <w:jc w:val="both"/>
        <w:rPr>
          <w:lang w:val="mk-MK"/>
        </w:rPr>
      </w:pPr>
      <w:r w:rsidRPr="008662BF">
        <w:rPr>
          <w:lang w:val="mk-MK"/>
        </w:rPr>
        <w:t>GN4-3 е проект</w:t>
      </w:r>
      <w:r w:rsidR="003C54FB">
        <w:rPr>
          <w:lang w:val="mk-MK"/>
        </w:rPr>
        <w:t xml:space="preserve"> којшто е</w:t>
      </w:r>
      <w:r w:rsidRPr="008662BF">
        <w:rPr>
          <w:lang w:val="mk-MK"/>
        </w:rPr>
        <w:t xml:space="preserve"> предложен за третиот договор за специфичен грант </w:t>
      </w:r>
      <w:r w:rsidR="003C54FB">
        <w:rPr>
          <w:lang w:val="mk-MK"/>
        </w:rPr>
        <w:t xml:space="preserve">во </w:t>
      </w:r>
      <w:r w:rsidRPr="008662BF">
        <w:rPr>
          <w:lang w:val="mk-MK"/>
        </w:rPr>
        <w:t>с</w:t>
      </w:r>
      <w:r w:rsidR="00DD73C3">
        <w:rPr>
          <w:lang w:val="mk-MK"/>
        </w:rPr>
        <w:t>огласно</w:t>
      </w:r>
      <w:r w:rsidR="003C54FB">
        <w:rPr>
          <w:lang w:val="mk-MK"/>
        </w:rPr>
        <w:t>ст со</w:t>
      </w:r>
      <w:r w:rsidR="00DD73C3">
        <w:rPr>
          <w:lang w:val="mk-MK"/>
        </w:rPr>
        <w:t xml:space="preserve"> </w:t>
      </w:r>
      <w:r w:rsidRPr="008662BF">
        <w:rPr>
          <w:lang w:val="mk-MK"/>
        </w:rPr>
        <w:t xml:space="preserve">68-месечниот Рамковен договор за партнерство (ФПА) воспоставен помеѓу </w:t>
      </w:r>
      <w:r w:rsidR="00DD73C3">
        <w:rPr>
          <w:lang w:val="mk-MK"/>
        </w:rPr>
        <w:t>К</w:t>
      </w:r>
      <w:r w:rsidRPr="008662BF">
        <w:rPr>
          <w:lang w:val="mk-MK"/>
        </w:rPr>
        <w:t xml:space="preserve">онзорциумот </w:t>
      </w:r>
      <w:r w:rsidR="00DD73C3" w:rsidRPr="008662BF">
        <w:rPr>
          <w:lang w:val="mk-MK"/>
        </w:rPr>
        <w:t xml:space="preserve">GÉANT </w:t>
      </w:r>
      <w:r w:rsidRPr="008662BF">
        <w:rPr>
          <w:lang w:val="mk-MK"/>
        </w:rPr>
        <w:t xml:space="preserve">и Европската комисија во април 2015 година. </w:t>
      </w:r>
      <w:r w:rsidR="003C54FB">
        <w:rPr>
          <w:lang w:val="mk-MK"/>
        </w:rPr>
        <w:t>Се предвидува</w:t>
      </w:r>
      <w:r w:rsidR="003C54FB" w:rsidRPr="008662BF">
        <w:rPr>
          <w:lang w:val="mk-MK"/>
        </w:rPr>
        <w:t xml:space="preserve"> </w:t>
      </w:r>
      <w:r w:rsidR="003C54FB">
        <w:rPr>
          <w:lang w:val="mk-MK"/>
        </w:rPr>
        <w:t>о</w:t>
      </w:r>
      <w:r w:rsidRPr="008662BF">
        <w:rPr>
          <w:lang w:val="mk-MK"/>
        </w:rPr>
        <w:t>ваа трета фаза од спроведувањето на ФПА да трае 48 месеци и претставува природно продолжение на работата на GN4-2, со надградување на резултатите и</w:t>
      </w:r>
      <w:r w:rsidR="003C54FB">
        <w:rPr>
          <w:lang w:val="mk-MK"/>
        </w:rPr>
        <w:t xml:space="preserve"> со</w:t>
      </w:r>
      <w:r w:rsidRPr="008662BF">
        <w:rPr>
          <w:lang w:val="mk-MK"/>
        </w:rPr>
        <w:t xml:space="preserve"> следење на севкупната цел</w:t>
      </w:r>
      <w:r w:rsidR="003C54FB">
        <w:rPr>
          <w:lang w:val="mk-MK"/>
        </w:rPr>
        <w:t>,</w:t>
      </w:r>
      <w:r w:rsidRPr="008662BF">
        <w:rPr>
          <w:lang w:val="mk-MK"/>
        </w:rPr>
        <w:t xml:space="preserve"> европското истражување </w:t>
      </w:r>
      <w:r w:rsidR="00DD73C3" w:rsidRPr="008662BF">
        <w:rPr>
          <w:lang w:val="mk-MK"/>
        </w:rPr>
        <w:t xml:space="preserve">да се подигне </w:t>
      </w:r>
      <w:r w:rsidRPr="008662BF">
        <w:rPr>
          <w:lang w:val="mk-MK"/>
        </w:rPr>
        <w:t xml:space="preserve">на следното ниво, </w:t>
      </w:r>
      <w:r w:rsidR="00DD73C3">
        <w:rPr>
          <w:lang w:val="mk-MK"/>
        </w:rPr>
        <w:t xml:space="preserve">преку </w:t>
      </w:r>
      <w:r w:rsidRPr="008662BF">
        <w:rPr>
          <w:lang w:val="mk-MK"/>
        </w:rPr>
        <w:t>промовирање на научна</w:t>
      </w:r>
      <w:r w:rsidR="003C54FB">
        <w:rPr>
          <w:lang w:val="mk-MK"/>
        </w:rPr>
        <w:t>та</w:t>
      </w:r>
      <w:r w:rsidRPr="008662BF">
        <w:rPr>
          <w:lang w:val="mk-MK"/>
        </w:rPr>
        <w:t xml:space="preserve"> извонредност, пристап</w:t>
      </w:r>
      <w:r w:rsidR="003C54FB">
        <w:rPr>
          <w:lang w:val="mk-MK"/>
        </w:rPr>
        <w:t>от</w:t>
      </w:r>
      <w:r w:rsidRPr="008662BF">
        <w:rPr>
          <w:lang w:val="mk-MK"/>
        </w:rPr>
        <w:t xml:space="preserve"> и</w:t>
      </w:r>
      <w:r w:rsidR="003C54FB">
        <w:rPr>
          <w:lang w:val="mk-MK"/>
        </w:rPr>
        <w:t xml:space="preserve"> на</w:t>
      </w:r>
      <w:r w:rsidRPr="008662BF">
        <w:rPr>
          <w:lang w:val="mk-MK"/>
        </w:rPr>
        <w:t xml:space="preserve"> повторна</w:t>
      </w:r>
      <w:r w:rsidR="003C54FB">
        <w:rPr>
          <w:lang w:val="mk-MK"/>
        </w:rPr>
        <w:t>та</w:t>
      </w:r>
      <w:r w:rsidRPr="008662BF">
        <w:rPr>
          <w:lang w:val="mk-MK"/>
        </w:rPr>
        <w:t xml:space="preserve"> употреба на податоци</w:t>
      </w:r>
      <w:r w:rsidR="00362DB3">
        <w:rPr>
          <w:lang w:val="mk-MK"/>
        </w:rPr>
        <w:t>те од истражувањата</w:t>
      </w:r>
      <w:r w:rsidRPr="008662BF">
        <w:rPr>
          <w:lang w:val="mk-MK"/>
        </w:rPr>
        <w:t>.</w:t>
      </w:r>
    </w:p>
    <w:p w14:paraId="4C6BC1B8" w14:textId="708A13E6" w:rsidR="00A676B5" w:rsidRPr="008662BF" w:rsidRDefault="00A676B5" w:rsidP="00A676B5">
      <w:pPr>
        <w:jc w:val="both"/>
        <w:rPr>
          <w:lang w:val="mk-MK"/>
        </w:rPr>
      </w:pPr>
      <w:r w:rsidRPr="008662BF">
        <w:rPr>
          <w:lang w:val="mk-MK"/>
        </w:rPr>
        <w:t xml:space="preserve">Во структурата на овој сегашен предлог се нагласува ажурирањето на постојните услуги во согласност со барањата на заедницата на корисници. Со ова се надополнува предложениот придружен проект GN4-3N, амбициозна програма со која се зголемува покриеноста на </w:t>
      </w:r>
      <w:r w:rsidR="003C54FB">
        <w:rPr>
          <w:rFonts w:cstheme="minorHAnsi"/>
          <w:lang w:val="mk-MK"/>
        </w:rPr>
        <w:t>’</w:t>
      </w:r>
      <w:r w:rsidR="00362DB3">
        <w:rPr>
          <w:lang w:val="mk-MK"/>
        </w:rPr>
        <w:t xml:space="preserve">рбетната </w:t>
      </w:r>
      <w:r w:rsidRPr="008662BF">
        <w:rPr>
          <w:lang w:val="mk-MK"/>
        </w:rPr>
        <w:t>мрежа и истовремено се подобрува</w:t>
      </w:r>
      <w:r w:rsidR="003C54FB">
        <w:rPr>
          <w:lang w:val="mk-MK"/>
        </w:rPr>
        <w:t>ат</w:t>
      </w:r>
      <w:r w:rsidRPr="008662BF">
        <w:rPr>
          <w:lang w:val="mk-MK"/>
        </w:rPr>
        <w:t xml:space="preserve"> нејзиниот капацитет, отпорност</w:t>
      </w:r>
      <w:r w:rsidR="003C54FB">
        <w:rPr>
          <w:lang w:val="mk-MK"/>
        </w:rPr>
        <w:t>а</w:t>
      </w:r>
      <w:r w:rsidRPr="008662BF">
        <w:rPr>
          <w:lang w:val="mk-MK"/>
        </w:rPr>
        <w:t xml:space="preserve"> и флексибилност</w:t>
      </w:r>
      <w:r w:rsidR="003C54FB">
        <w:rPr>
          <w:lang w:val="mk-MK"/>
        </w:rPr>
        <w:t>а</w:t>
      </w:r>
      <w:r w:rsidRPr="008662BF">
        <w:rPr>
          <w:lang w:val="mk-MK"/>
        </w:rPr>
        <w:t xml:space="preserve"> </w:t>
      </w:r>
      <w:r w:rsidR="003C54FB">
        <w:rPr>
          <w:lang w:val="mk-MK"/>
        </w:rPr>
        <w:t>за</w:t>
      </w:r>
      <w:r w:rsidRPr="008662BF">
        <w:rPr>
          <w:lang w:val="mk-MK"/>
        </w:rPr>
        <w:t xml:space="preserve"> да се понуди мрежен пристап од 100 Gbps на многу повеќе партнери на GÉANT и значително да се намали дигиталн</w:t>
      </w:r>
      <w:r w:rsidR="00362DB3">
        <w:rPr>
          <w:lang w:val="mk-MK"/>
        </w:rPr>
        <w:t>иот јаз</w:t>
      </w:r>
      <w:r w:rsidRPr="008662BF">
        <w:rPr>
          <w:lang w:val="mk-MK"/>
        </w:rPr>
        <w:t>.</w:t>
      </w:r>
    </w:p>
    <w:p w14:paraId="5CF399DE"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lastRenderedPageBreak/>
        <w:t xml:space="preserve">4. GN4-3N: H2020-SGA-INFRA-GEANT-2018 </w:t>
      </w:r>
      <w:r w:rsidR="00A676B5" w:rsidRPr="008662BF">
        <w:rPr>
          <w:rFonts w:asciiTheme="minorHAnsi" w:hAnsiTheme="minorHAnsi"/>
          <w:lang w:val="mk-MK"/>
        </w:rPr>
        <w:t>Тема [б</w:t>
      </w:r>
      <w:r w:rsidRPr="008662BF">
        <w:rPr>
          <w:rFonts w:asciiTheme="minorHAnsi" w:hAnsiTheme="minorHAnsi"/>
          <w:lang w:val="mk-MK"/>
        </w:rPr>
        <w:t xml:space="preserve">] </w:t>
      </w:r>
      <w:r w:rsidR="00A676B5" w:rsidRPr="008662BF">
        <w:rPr>
          <w:rFonts w:asciiTheme="minorHAnsi" w:hAnsiTheme="minorHAnsi"/>
          <w:lang w:val="mk-MK"/>
        </w:rPr>
        <w:t>Зголемување на долгорочниот</w:t>
      </w:r>
      <w:r w:rsidR="00362DB3">
        <w:rPr>
          <w:rFonts w:asciiTheme="minorHAnsi" w:hAnsiTheme="minorHAnsi"/>
          <w:lang w:val="mk-MK"/>
        </w:rPr>
        <w:t xml:space="preserve"> капацитет на </w:t>
      </w:r>
      <w:r w:rsidR="003C54FB">
        <w:rPr>
          <w:rFonts w:asciiTheme="minorHAnsi" w:hAnsiTheme="minorHAnsi" w:cstheme="minorHAnsi"/>
          <w:lang w:val="mk-MK"/>
        </w:rPr>
        <w:t>’</w:t>
      </w:r>
      <w:r w:rsidR="00362DB3">
        <w:rPr>
          <w:rFonts w:asciiTheme="minorHAnsi" w:hAnsiTheme="minorHAnsi"/>
          <w:lang w:val="mk-MK"/>
        </w:rPr>
        <w:t>рбетната мрежа</w:t>
      </w:r>
    </w:p>
    <w:p w14:paraId="0862B451" w14:textId="77777777" w:rsidR="0077584F" w:rsidRPr="008662BF" w:rsidRDefault="0077584F" w:rsidP="0077584F">
      <w:pPr>
        <w:pStyle w:val="ListParagraph"/>
        <w:numPr>
          <w:ilvl w:val="0"/>
          <w:numId w:val="6"/>
        </w:numPr>
        <w:rPr>
          <w:lang w:val="mk-MK"/>
        </w:rPr>
      </w:pPr>
      <w:r w:rsidRPr="008662BF">
        <w:rPr>
          <w:b/>
          <w:lang w:val="mk-MK"/>
        </w:rPr>
        <w:t>Програми за финансирање</w:t>
      </w:r>
      <w:r w:rsidRPr="008662BF">
        <w:rPr>
          <w:lang w:val="mk-MK"/>
        </w:rPr>
        <w:t>: H2020</w:t>
      </w:r>
    </w:p>
    <w:p w14:paraId="4DAC32A9" w14:textId="19520A28" w:rsidR="007947BF" w:rsidRPr="008662BF" w:rsidRDefault="0077584F" w:rsidP="007947BF">
      <w:pPr>
        <w:pStyle w:val="ListParagraph"/>
        <w:numPr>
          <w:ilvl w:val="0"/>
          <w:numId w:val="6"/>
        </w:numPr>
        <w:rPr>
          <w:lang w:val="mk-MK"/>
        </w:rPr>
      </w:pPr>
      <w:r w:rsidRPr="008662BF">
        <w:rPr>
          <w:b/>
          <w:lang w:val="mk-MK"/>
        </w:rPr>
        <w:t xml:space="preserve">Проектни партнери од </w:t>
      </w:r>
      <w:r w:rsidR="00417197">
        <w:rPr>
          <w:b/>
          <w:lang w:val="mk-MK"/>
        </w:rPr>
        <w:t>Република Северна Македонија</w:t>
      </w:r>
      <w:r w:rsidRPr="008662BF">
        <w:rPr>
          <w:lang w:val="mk-MK"/>
        </w:rPr>
        <w:t>: Македонск</w:t>
      </w:r>
      <w:r w:rsidR="00362DB3">
        <w:rPr>
          <w:lang w:val="mk-MK"/>
        </w:rPr>
        <w:t xml:space="preserve">а академска истражувачка мрежа - </w:t>
      </w:r>
      <w:r w:rsidRPr="008662BF">
        <w:rPr>
          <w:lang w:val="mk-MK"/>
        </w:rPr>
        <w:t>Скопје</w:t>
      </w:r>
      <w:r w:rsidR="007947BF" w:rsidRPr="008662BF">
        <w:rPr>
          <w:lang w:val="mk-MK"/>
        </w:rPr>
        <w:t xml:space="preserve"> </w:t>
      </w:r>
      <w:r w:rsidR="007947BF" w:rsidRPr="001910A9">
        <w:rPr>
          <w:lang w:val="mk-MK"/>
        </w:rPr>
        <w:t>(€ 0)</w:t>
      </w:r>
    </w:p>
    <w:p w14:paraId="62204FD0" w14:textId="7C2A44E7" w:rsidR="007947BF" w:rsidRPr="008662BF" w:rsidRDefault="0077584F" w:rsidP="007947BF">
      <w:pPr>
        <w:pStyle w:val="ListParagraph"/>
        <w:numPr>
          <w:ilvl w:val="0"/>
          <w:numId w:val="6"/>
        </w:numPr>
        <w:rPr>
          <w:lang w:val="mk-MK"/>
        </w:rPr>
      </w:pPr>
      <w:r w:rsidRPr="008662BF">
        <w:rPr>
          <w:b/>
          <w:lang w:val="mk-MK"/>
        </w:rPr>
        <w:t>Вкупен број партнерски организации</w:t>
      </w:r>
      <w:r w:rsidR="007947BF" w:rsidRPr="008662BF">
        <w:rPr>
          <w:lang w:val="mk-MK"/>
        </w:rPr>
        <w:t>: 39</w:t>
      </w:r>
    </w:p>
    <w:p w14:paraId="0CA2D747" w14:textId="77777777" w:rsidR="007947BF" w:rsidRPr="008662BF" w:rsidRDefault="0077584F" w:rsidP="007947BF">
      <w:pPr>
        <w:pStyle w:val="ListParagraph"/>
        <w:numPr>
          <w:ilvl w:val="0"/>
          <w:numId w:val="6"/>
        </w:numPr>
        <w:rPr>
          <w:lang w:val="mk-MK"/>
        </w:rPr>
      </w:pPr>
      <w:r w:rsidRPr="008662BF">
        <w:rPr>
          <w:b/>
          <w:lang w:val="mk-MK"/>
        </w:rPr>
        <w:t>Период на спроведување на проектот</w:t>
      </w:r>
      <w:r w:rsidR="007947BF" w:rsidRPr="008662BF">
        <w:rPr>
          <w:lang w:val="mk-MK"/>
        </w:rPr>
        <w:t>: 01</w:t>
      </w:r>
      <w:r w:rsidR="00B66096" w:rsidRPr="008662BF">
        <w:rPr>
          <w:lang w:val="mk-MK"/>
        </w:rPr>
        <w:t>.</w:t>
      </w:r>
      <w:r w:rsidR="007947BF" w:rsidRPr="008662BF">
        <w:rPr>
          <w:lang w:val="mk-MK"/>
        </w:rPr>
        <w:t>01</w:t>
      </w:r>
      <w:r w:rsidR="00B66096" w:rsidRPr="008662BF">
        <w:rPr>
          <w:lang w:val="mk-MK"/>
        </w:rPr>
        <w:t>.</w:t>
      </w:r>
      <w:r w:rsidR="007947BF" w:rsidRPr="008662BF">
        <w:rPr>
          <w:lang w:val="mk-MK"/>
        </w:rPr>
        <w:t xml:space="preserve">2019 </w:t>
      </w:r>
      <w:r w:rsidR="00B66096" w:rsidRPr="008662BF">
        <w:rPr>
          <w:lang w:val="mk-MK"/>
        </w:rPr>
        <w:t>–</w:t>
      </w:r>
      <w:r w:rsidR="007947BF" w:rsidRPr="008662BF">
        <w:rPr>
          <w:lang w:val="mk-MK"/>
        </w:rPr>
        <w:t xml:space="preserve"> 31</w:t>
      </w:r>
      <w:r w:rsidR="00B66096" w:rsidRPr="008662BF">
        <w:rPr>
          <w:lang w:val="mk-MK"/>
        </w:rPr>
        <w:t>.</w:t>
      </w:r>
      <w:r w:rsidR="007947BF" w:rsidRPr="008662BF">
        <w:rPr>
          <w:lang w:val="mk-MK"/>
        </w:rPr>
        <w:t>12</w:t>
      </w:r>
      <w:r w:rsidR="00B66096" w:rsidRPr="008662BF">
        <w:rPr>
          <w:lang w:val="mk-MK"/>
        </w:rPr>
        <w:t>.</w:t>
      </w:r>
      <w:r w:rsidR="007947BF" w:rsidRPr="008662BF">
        <w:rPr>
          <w:lang w:val="mk-MK"/>
        </w:rPr>
        <w:t>2022</w:t>
      </w:r>
    </w:p>
    <w:p w14:paraId="5E2963CE" w14:textId="77777777" w:rsidR="007947BF" w:rsidRPr="008662BF" w:rsidRDefault="002F6BCF" w:rsidP="007947BF">
      <w:pPr>
        <w:pStyle w:val="ListParagraph"/>
        <w:numPr>
          <w:ilvl w:val="0"/>
          <w:numId w:val="6"/>
        </w:numPr>
        <w:rPr>
          <w:lang w:val="mk-MK"/>
        </w:rPr>
      </w:pPr>
      <w:r w:rsidRPr="008662BF">
        <w:rPr>
          <w:b/>
          <w:lang w:val="mk-MK"/>
        </w:rPr>
        <w:t>Научна област</w:t>
      </w:r>
      <w:r w:rsidR="0077584F" w:rsidRPr="008662BF">
        <w:rPr>
          <w:lang w:val="mk-MK"/>
        </w:rPr>
        <w:t>: е-инфраструктури</w:t>
      </w:r>
    </w:p>
    <w:p w14:paraId="74E6CBB2" w14:textId="79A64329" w:rsidR="00B66096" w:rsidRPr="008662BF" w:rsidRDefault="00B66096" w:rsidP="00B66096">
      <w:pPr>
        <w:jc w:val="both"/>
        <w:rPr>
          <w:lang w:val="mk-MK"/>
        </w:rPr>
      </w:pPr>
      <w:r w:rsidRPr="008662BF">
        <w:rPr>
          <w:lang w:val="mk-MK"/>
        </w:rPr>
        <w:t xml:space="preserve">Предлогот за мрежата од фаза 3 на GN4 (GN4-3N) за дел </w:t>
      </w:r>
      <w:r w:rsidR="00362DB3">
        <w:rPr>
          <w:lang w:val="mk-MK"/>
        </w:rPr>
        <w:t>(</w:t>
      </w:r>
      <w:r w:rsidRPr="008662BF">
        <w:rPr>
          <w:lang w:val="mk-MK"/>
        </w:rPr>
        <w:t>б</w:t>
      </w:r>
      <w:r w:rsidR="00362DB3">
        <w:rPr>
          <w:lang w:val="mk-MK"/>
        </w:rPr>
        <w:t>)</w:t>
      </w:r>
      <w:r w:rsidRPr="008662BF">
        <w:rPr>
          <w:lang w:val="mk-MK"/>
        </w:rPr>
        <w:t xml:space="preserve"> од третиот договор за специфичен грант (SGA3)(б) е подготвен </w:t>
      </w:r>
      <w:r w:rsidR="00362DB3">
        <w:rPr>
          <w:lang w:val="mk-MK"/>
        </w:rPr>
        <w:t xml:space="preserve">како </w:t>
      </w:r>
      <w:r w:rsidRPr="008662BF">
        <w:rPr>
          <w:lang w:val="mk-MK"/>
        </w:rPr>
        <w:t>одговор на повикот H2020-SGA-INFRA-GEANT-2018 (Тема [б] Мрежа за истражување и образование) примен на 17 октомври 2018 година,</w:t>
      </w:r>
      <w:r w:rsidR="003C54FB">
        <w:rPr>
          <w:lang w:val="mk-MK"/>
        </w:rPr>
        <w:t xml:space="preserve"> во</w:t>
      </w:r>
      <w:r w:rsidRPr="008662BF">
        <w:rPr>
          <w:lang w:val="mk-MK"/>
        </w:rPr>
        <w:t xml:space="preserve"> с</w:t>
      </w:r>
      <w:r w:rsidR="00362DB3">
        <w:rPr>
          <w:lang w:val="mk-MK"/>
        </w:rPr>
        <w:t>огласно</w:t>
      </w:r>
      <w:r w:rsidR="003C54FB">
        <w:rPr>
          <w:lang w:val="mk-MK"/>
        </w:rPr>
        <w:t>ст со</w:t>
      </w:r>
      <w:r w:rsidR="00362DB3">
        <w:rPr>
          <w:lang w:val="mk-MK"/>
        </w:rPr>
        <w:t xml:space="preserve"> </w:t>
      </w:r>
      <w:r w:rsidRPr="008662BF">
        <w:rPr>
          <w:lang w:val="mk-MK"/>
        </w:rPr>
        <w:t>68-месечниот Рамковен договор за партне</w:t>
      </w:r>
      <w:r w:rsidR="00362DB3">
        <w:rPr>
          <w:lang w:val="mk-MK"/>
        </w:rPr>
        <w:t>рство (ФПА) воспоставен помеѓу К</w:t>
      </w:r>
      <w:r w:rsidRPr="008662BF">
        <w:rPr>
          <w:lang w:val="mk-MK"/>
        </w:rPr>
        <w:t xml:space="preserve">онзорциумот GÉANT и Европската комисија во април 2015 година. </w:t>
      </w:r>
      <w:r w:rsidR="003C54FB">
        <w:rPr>
          <w:lang w:val="mk-MK"/>
        </w:rPr>
        <w:t>З</w:t>
      </w:r>
      <w:r w:rsidR="003C54FB" w:rsidRPr="008662BF">
        <w:rPr>
          <w:lang w:val="mk-MK"/>
        </w:rPr>
        <w:t>а да се спроведе,</w:t>
      </w:r>
      <w:r w:rsidR="003C54FB">
        <w:rPr>
          <w:lang w:val="mk-MK"/>
        </w:rPr>
        <w:t xml:space="preserve"> с</w:t>
      </w:r>
      <w:r w:rsidRPr="008662BF">
        <w:rPr>
          <w:lang w:val="mk-MK"/>
        </w:rPr>
        <w:t>е предлага да трае 48 месеци</w:t>
      </w:r>
      <w:r w:rsidR="000F3E95">
        <w:rPr>
          <w:lang w:val="mk-MK"/>
        </w:rPr>
        <w:t>,</w:t>
      </w:r>
      <w:r w:rsidRPr="008662BF">
        <w:rPr>
          <w:lang w:val="mk-MK"/>
        </w:rPr>
        <w:t xml:space="preserve"> како што се бара во повикот, многу амбициозно реструктуирање на </w:t>
      </w:r>
      <w:r w:rsidR="003C54FB">
        <w:rPr>
          <w:rFonts w:cstheme="minorHAnsi"/>
          <w:lang w:val="mk-MK"/>
        </w:rPr>
        <w:t>’</w:t>
      </w:r>
      <w:r w:rsidR="00362DB3">
        <w:rPr>
          <w:lang w:val="mk-MK"/>
        </w:rPr>
        <w:t xml:space="preserve">рбетната </w:t>
      </w:r>
      <w:r w:rsidRPr="008662BF">
        <w:rPr>
          <w:lang w:val="mk-MK"/>
        </w:rPr>
        <w:t xml:space="preserve">мрежа која ја управува GÉANT </w:t>
      </w:r>
      <w:r w:rsidR="000F3E95">
        <w:rPr>
          <w:lang w:val="mk-MK"/>
        </w:rPr>
        <w:t>за</w:t>
      </w:r>
      <w:r w:rsidRPr="008662BF">
        <w:rPr>
          <w:lang w:val="mk-MK"/>
        </w:rPr>
        <w:t xml:space="preserve"> да се обезбеди еднаков пристап до облаците и </w:t>
      </w:r>
      <w:r w:rsidR="000F3E95">
        <w:rPr>
          <w:lang w:val="mk-MK"/>
        </w:rPr>
        <w:t xml:space="preserve">до </w:t>
      </w:r>
      <w:r w:rsidRPr="008662BF">
        <w:rPr>
          <w:lang w:val="mk-MK"/>
        </w:rPr>
        <w:t xml:space="preserve">другите услуги за е-инфраструктура во Европската истражувачка област и пошироко. На овој начин значително ќе се подобри севкупната отпорност и сигурност на мрежата </w:t>
      </w:r>
      <w:r w:rsidR="00362DB3">
        <w:rPr>
          <w:lang w:val="mk-MK"/>
        </w:rPr>
        <w:t xml:space="preserve">на </w:t>
      </w:r>
      <w:r w:rsidRPr="008662BF">
        <w:rPr>
          <w:lang w:val="mk-MK"/>
        </w:rPr>
        <w:t xml:space="preserve">GÉANT и ќе се понуди основа за идни подобрувања во пристапот, брзината на пренос и </w:t>
      </w:r>
      <w:r w:rsidR="000F3E95">
        <w:rPr>
          <w:lang w:val="mk-MK"/>
        </w:rPr>
        <w:t xml:space="preserve">во </w:t>
      </w:r>
      <w:r w:rsidRPr="008662BF">
        <w:rPr>
          <w:lang w:val="mk-MK"/>
        </w:rPr>
        <w:t>капацитетот секаде каде што е потребно.</w:t>
      </w:r>
    </w:p>
    <w:p w14:paraId="55216127" w14:textId="77777777" w:rsidR="00B66096" w:rsidRPr="008662BF" w:rsidRDefault="00B66096" w:rsidP="00B66096">
      <w:pPr>
        <w:jc w:val="both"/>
        <w:rPr>
          <w:lang w:val="mk-MK"/>
        </w:rPr>
      </w:pPr>
      <w:r w:rsidRPr="008662BF">
        <w:rPr>
          <w:lang w:val="mk-MK"/>
        </w:rPr>
        <w:t>Исходот од проектот GN4-3N ќе понуди еднаков пристап до мрежата и избор на услуги за многу повеќе партнери, со што ќе се отстрани „дигиталниот јаз“ секаде каде што тоа е технички и економски изводливо.</w:t>
      </w:r>
    </w:p>
    <w:p w14:paraId="7C98E7CF" w14:textId="1E4DFB66" w:rsidR="00B66096" w:rsidRPr="008662BF" w:rsidRDefault="00B66096" w:rsidP="00B66096">
      <w:pPr>
        <w:jc w:val="both"/>
        <w:rPr>
          <w:lang w:val="mk-MK"/>
        </w:rPr>
      </w:pPr>
      <w:r w:rsidRPr="008662BF">
        <w:rPr>
          <w:lang w:val="mk-MK"/>
        </w:rPr>
        <w:t xml:space="preserve">Овој предлог-проект се заснова на техничките и економските студии </w:t>
      </w:r>
      <w:r w:rsidR="000F3E95">
        <w:rPr>
          <w:lang w:val="mk-MK"/>
        </w:rPr>
        <w:t>што</w:t>
      </w:r>
      <w:r w:rsidRPr="008662BF">
        <w:rPr>
          <w:lang w:val="mk-MK"/>
        </w:rPr>
        <w:t xml:space="preserve"> беа спроведени во текот на 2017</w:t>
      </w:r>
      <w:r w:rsidR="000F3E95">
        <w:rPr>
          <w:lang w:val="mk-MK"/>
        </w:rPr>
        <w:t>/</w:t>
      </w:r>
      <w:r w:rsidRPr="008662BF">
        <w:rPr>
          <w:lang w:val="mk-MK"/>
        </w:rPr>
        <w:t>2018 година во рамки</w:t>
      </w:r>
      <w:r w:rsidR="000F3E95">
        <w:rPr>
          <w:lang w:val="mk-MK"/>
        </w:rPr>
        <w:t>те</w:t>
      </w:r>
      <w:r w:rsidRPr="008662BF">
        <w:rPr>
          <w:lang w:val="mk-MK"/>
        </w:rPr>
        <w:t xml:space="preserve"> на проектот GN4-2</w:t>
      </w:r>
      <w:r w:rsidR="000F3E95">
        <w:rPr>
          <w:lang w:val="mk-MK"/>
        </w:rPr>
        <w:t>,</w:t>
      </w:r>
      <w:r w:rsidRPr="008662BF">
        <w:rPr>
          <w:lang w:val="mk-MK"/>
        </w:rPr>
        <w:t xml:space="preserve"> кои</w:t>
      </w:r>
      <w:r w:rsidR="000F3E95">
        <w:rPr>
          <w:lang w:val="mk-MK"/>
        </w:rPr>
        <w:t>што</w:t>
      </w:r>
      <w:r w:rsidRPr="008662BF">
        <w:rPr>
          <w:lang w:val="mk-MK"/>
        </w:rPr>
        <w:t xml:space="preserve"> на Конзорциумот му овозможија јасна слика за финансиски</w:t>
      </w:r>
      <w:r w:rsidR="00362DB3">
        <w:rPr>
          <w:lang w:val="mk-MK"/>
        </w:rPr>
        <w:t>те</w:t>
      </w:r>
      <w:r w:rsidRPr="008662BF">
        <w:rPr>
          <w:lang w:val="mk-MK"/>
        </w:rPr>
        <w:t xml:space="preserve"> и </w:t>
      </w:r>
      <w:r w:rsidR="000F3E95">
        <w:rPr>
          <w:lang w:val="mk-MK"/>
        </w:rPr>
        <w:t xml:space="preserve">за </w:t>
      </w:r>
      <w:r w:rsidR="00362DB3">
        <w:rPr>
          <w:lang w:val="mk-MK"/>
        </w:rPr>
        <w:t xml:space="preserve">човечките ресурси </w:t>
      </w:r>
      <w:r w:rsidR="000F3E95">
        <w:rPr>
          <w:lang w:val="mk-MK"/>
        </w:rPr>
        <w:t>што</w:t>
      </w:r>
      <w:r w:rsidRPr="008662BF">
        <w:rPr>
          <w:lang w:val="mk-MK"/>
        </w:rPr>
        <w:t xml:space="preserve"> се потребни за реализација на огромната амбиција на овој потфат. Исклучиво г</w:t>
      </w:r>
      <w:r w:rsidR="000F3E95">
        <w:rPr>
          <w:lang w:val="mk-MK"/>
        </w:rPr>
        <w:t>и</w:t>
      </w:r>
      <w:r w:rsidRPr="008662BF">
        <w:rPr>
          <w:lang w:val="mk-MK"/>
        </w:rPr>
        <w:t xml:space="preserve"> покрива инженерството, набавката, стекнувањето и инсталирањето на новата </w:t>
      </w:r>
      <w:r w:rsidR="000F3E95">
        <w:rPr>
          <w:rFonts w:cstheme="minorHAnsi"/>
          <w:lang w:val="mk-MK"/>
        </w:rPr>
        <w:t>’</w:t>
      </w:r>
      <w:r w:rsidR="00362DB3">
        <w:rPr>
          <w:lang w:val="mk-MK"/>
        </w:rPr>
        <w:t xml:space="preserve">рбетна </w:t>
      </w:r>
      <w:r w:rsidRPr="008662BF">
        <w:rPr>
          <w:lang w:val="mk-MK"/>
        </w:rPr>
        <w:t>мрежа. Секојдневните операции на мрежата, како што нејзините елементите се пуштаат во употреба, се одговорност на тимовите кои се опишани во придружниот проект GN4-3.</w:t>
      </w:r>
    </w:p>
    <w:p w14:paraId="1101FDD1" w14:textId="30B24A8D" w:rsidR="00B66096" w:rsidRPr="008662BF" w:rsidRDefault="00B66096" w:rsidP="00B66096">
      <w:pPr>
        <w:jc w:val="both"/>
        <w:rPr>
          <w:lang w:val="mk-MK"/>
        </w:rPr>
      </w:pPr>
      <w:r w:rsidRPr="008662BF">
        <w:rPr>
          <w:lang w:val="mk-MK"/>
        </w:rPr>
        <w:t>Предлозите за GN4-3 и GN4-3N се тесно поврзани преку заедничките тимови и</w:t>
      </w:r>
      <w:r w:rsidR="000F3E95">
        <w:rPr>
          <w:lang w:val="mk-MK"/>
        </w:rPr>
        <w:t xml:space="preserve"> преку</w:t>
      </w:r>
      <w:r w:rsidRPr="008662BF">
        <w:rPr>
          <w:lang w:val="mk-MK"/>
        </w:rPr>
        <w:t xml:space="preserve"> техничката, управувачката експертиза и експертизата во областа на набавките </w:t>
      </w:r>
      <w:r w:rsidR="000F3E95">
        <w:rPr>
          <w:lang w:val="mk-MK"/>
        </w:rPr>
        <w:t>што</w:t>
      </w:r>
      <w:r w:rsidRPr="008662BF">
        <w:rPr>
          <w:lang w:val="mk-MK"/>
        </w:rPr>
        <w:t xml:space="preserve"> се развиени во текот на претходните GN проекти. Токму поради ова овој амбициозен предлог е реал</w:t>
      </w:r>
      <w:r w:rsidR="00362DB3">
        <w:rPr>
          <w:lang w:val="mk-MK"/>
        </w:rPr>
        <w:t>но изводлив</w:t>
      </w:r>
      <w:r w:rsidRPr="008662BF">
        <w:rPr>
          <w:lang w:val="mk-MK"/>
        </w:rPr>
        <w:t>. GN4-3N и GN4-3 мораа да се предложат како различни проекти, поради различниот модел на финансирање (без амортизација) што ќе се користи во проектот GN4-3N.</w:t>
      </w:r>
    </w:p>
    <w:p w14:paraId="1472FA18"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5. EUROCC - </w:t>
      </w:r>
      <w:r w:rsidR="00B66096" w:rsidRPr="008662BF">
        <w:rPr>
          <w:rFonts w:asciiTheme="minorHAnsi" w:hAnsiTheme="minorHAnsi"/>
          <w:lang w:val="mk-MK"/>
        </w:rPr>
        <w:t>Национални центри за компете</w:t>
      </w:r>
      <w:r w:rsidR="00EB7AE2" w:rsidRPr="008662BF">
        <w:rPr>
          <w:rFonts w:asciiTheme="minorHAnsi" w:hAnsiTheme="minorHAnsi"/>
          <w:lang w:val="mk-MK"/>
        </w:rPr>
        <w:t xml:space="preserve">нтност </w:t>
      </w:r>
      <w:r w:rsidR="00B66096" w:rsidRPr="008662BF">
        <w:rPr>
          <w:rFonts w:asciiTheme="minorHAnsi" w:hAnsiTheme="minorHAnsi"/>
          <w:lang w:val="mk-MK"/>
        </w:rPr>
        <w:t xml:space="preserve">во рамките на EuroHPC </w:t>
      </w:r>
    </w:p>
    <w:p w14:paraId="19F122EB" w14:textId="77777777" w:rsidR="007947BF" w:rsidRPr="008662BF" w:rsidRDefault="002F6BCF" w:rsidP="007947BF">
      <w:pPr>
        <w:pStyle w:val="ListParagraph"/>
        <w:numPr>
          <w:ilvl w:val="0"/>
          <w:numId w:val="7"/>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52D54DB0" w14:textId="1FC7DCA3" w:rsidR="007947BF" w:rsidRPr="008662BF" w:rsidRDefault="002F6BCF" w:rsidP="007278B6">
      <w:pPr>
        <w:pStyle w:val="ListParagraph"/>
        <w:numPr>
          <w:ilvl w:val="0"/>
          <w:numId w:val="7"/>
        </w:numPr>
        <w:rPr>
          <w:lang w:val="mk-MK"/>
        </w:rPr>
      </w:pPr>
      <w:r w:rsidRPr="008662BF">
        <w:rPr>
          <w:b/>
          <w:lang w:val="mk-MK"/>
        </w:rPr>
        <w:t xml:space="preserve">Проектни партнери од </w:t>
      </w:r>
      <w:r w:rsidR="00417197">
        <w:rPr>
          <w:b/>
          <w:lang w:val="mk-MK"/>
        </w:rPr>
        <w:t>Република Северна Македонија</w:t>
      </w:r>
      <w:r w:rsidR="007278B6" w:rsidRPr="008662BF">
        <w:rPr>
          <w:lang w:val="mk-MK"/>
        </w:rPr>
        <w:t>: Универзитет „Св. Кирил и Методиј“</w:t>
      </w:r>
      <w:r w:rsidR="00362DB3">
        <w:rPr>
          <w:lang w:val="mk-MK"/>
        </w:rPr>
        <w:t xml:space="preserve"> - </w:t>
      </w:r>
      <w:r w:rsidR="007278B6" w:rsidRPr="008662BF">
        <w:rPr>
          <w:lang w:val="mk-MK"/>
        </w:rPr>
        <w:t xml:space="preserve">Скопје, ФИНКИ </w:t>
      </w:r>
      <w:r w:rsidR="007947BF" w:rsidRPr="008662BF">
        <w:rPr>
          <w:lang w:val="mk-MK"/>
        </w:rPr>
        <w:t>(912.935</w:t>
      </w:r>
      <w:r w:rsidR="007278B6" w:rsidRPr="008662BF">
        <w:rPr>
          <w:lang w:val="mk-MK"/>
        </w:rPr>
        <w:t xml:space="preserve"> евра</w:t>
      </w:r>
      <w:r w:rsidR="007947BF" w:rsidRPr="008662BF">
        <w:rPr>
          <w:lang w:val="mk-MK"/>
        </w:rPr>
        <w:t>)</w:t>
      </w:r>
    </w:p>
    <w:p w14:paraId="5C123B3E" w14:textId="42E2DC8A" w:rsidR="007947BF" w:rsidRPr="008662BF" w:rsidRDefault="002F6BCF" w:rsidP="007947BF">
      <w:pPr>
        <w:pStyle w:val="ListParagraph"/>
        <w:numPr>
          <w:ilvl w:val="0"/>
          <w:numId w:val="7"/>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007947BF" w:rsidRPr="008662BF">
        <w:rPr>
          <w:lang w:val="mk-MK"/>
        </w:rPr>
        <w:t>: 36</w:t>
      </w:r>
    </w:p>
    <w:p w14:paraId="42779F5A" w14:textId="77777777" w:rsidR="007947BF" w:rsidRPr="008662BF" w:rsidRDefault="002F6BCF" w:rsidP="007947BF">
      <w:pPr>
        <w:pStyle w:val="ListParagraph"/>
        <w:numPr>
          <w:ilvl w:val="0"/>
          <w:numId w:val="7"/>
        </w:numPr>
        <w:rPr>
          <w:lang w:val="mk-MK"/>
        </w:rPr>
      </w:pPr>
      <w:r w:rsidRPr="008662BF">
        <w:rPr>
          <w:b/>
          <w:lang w:val="mk-MK"/>
        </w:rPr>
        <w:t>Период на спроведување на проектот</w:t>
      </w:r>
      <w:r w:rsidR="007947BF" w:rsidRPr="008662BF">
        <w:rPr>
          <w:lang w:val="mk-MK"/>
        </w:rPr>
        <w:t>: 01</w:t>
      </w:r>
      <w:r w:rsidR="007278B6" w:rsidRPr="008662BF">
        <w:rPr>
          <w:lang w:val="mk-MK"/>
        </w:rPr>
        <w:t>.</w:t>
      </w:r>
      <w:r w:rsidR="007947BF" w:rsidRPr="008662BF">
        <w:rPr>
          <w:lang w:val="mk-MK"/>
        </w:rPr>
        <w:t>09</w:t>
      </w:r>
      <w:r w:rsidR="007278B6" w:rsidRPr="008662BF">
        <w:rPr>
          <w:lang w:val="mk-MK"/>
        </w:rPr>
        <w:t>.</w:t>
      </w:r>
      <w:r w:rsidR="007947BF" w:rsidRPr="008662BF">
        <w:rPr>
          <w:lang w:val="mk-MK"/>
        </w:rPr>
        <w:t xml:space="preserve">2020 </w:t>
      </w:r>
      <w:r w:rsidR="007278B6" w:rsidRPr="008662BF">
        <w:rPr>
          <w:lang w:val="mk-MK"/>
        </w:rPr>
        <w:t>–</w:t>
      </w:r>
      <w:r w:rsidR="007947BF" w:rsidRPr="008662BF">
        <w:rPr>
          <w:lang w:val="mk-MK"/>
        </w:rPr>
        <w:t xml:space="preserve"> 31</w:t>
      </w:r>
      <w:r w:rsidR="007278B6" w:rsidRPr="008662BF">
        <w:rPr>
          <w:lang w:val="mk-MK"/>
        </w:rPr>
        <w:t>.</w:t>
      </w:r>
      <w:r w:rsidR="007947BF" w:rsidRPr="008662BF">
        <w:rPr>
          <w:lang w:val="mk-MK"/>
        </w:rPr>
        <w:t>08</w:t>
      </w:r>
      <w:r w:rsidR="007278B6" w:rsidRPr="008662BF">
        <w:rPr>
          <w:lang w:val="mk-MK"/>
        </w:rPr>
        <w:t>.</w:t>
      </w:r>
      <w:r w:rsidR="007947BF" w:rsidRPr="008662BF">
        <w:rPr>
          <w:lang w:val="mk-MK"/>
        </w:rPr>
        <w:t>2022</w:t>
      </w:r>
    </w:p>
    <w:p w14:paraId="022913C5" w14:textId="77777777" w:rsidR="007947BF" w:rsidRPr="008662BF" w:rsidRDefault="002F6BCF" w:rsidP="007947BF">
      <w:pPr>
        <w:pStyle w:val="ListParagraph"/>
        <w:numPr>
          <w:ilvl w:val="0"/>
          <w:numId w:val="7"/>
        </w:numPr>
        <w:rPr>
          <w:lang w:val="mk-MK"/>
        </w:rPr>
      </w:pPr>
      <w:r w:rsidRPr="008662BF">
        <w:rPr>
          <w:b/>
          <w:lang w:val="mk-MK"/>
        </w:rPr>
        <w:t>Научна област</w:t>
      </w:r>
      <w:r w:rsidR="0077584F" w:rsidRPr="008662BF">
        <w:rPr>
          <w:lang w:val="mk-MK"/>
        </w:rPr>
        <w:t>: е-инфраструктури</w:t>
      </w:r>
    </w:p>
    <w:p w14:paraId="7CE81865" w14:textId="122C0934" w:rsidR="007278B6" w:rsidRPr="008662BF" w:rsidRDefault="007278B6" w:rsidP="007947BF">
      <w:pPr>
        <w:jc w:val="both"/>
        <w:rPr>
          <w:lang w:val="mk-MK"/>
        </w:rPr>
      </w:pPr>
      <w:r w:rsidRPr="008662BF">
        <w:rPr>
          <w:lang w:val="mk-MK"/>
        </w:rPr>
        <w:lastRenderedPageBreak/>
        <w:t>Проектот EuroCC ќе ја обедини потребната експертиза за воспоставување мрежа на Национални центри за компетен</w:t>
      </w:r>
      <w:r w:rsidR="00EB7AE2" w:rsidRPr="008662BF">
        <w:rPr>
          <w:lang w:val="mk-MK"/>
        </w:rPr>
        <w:t xml:space="preserve">тност </w:t>
      </w:r>
      <w:r w:rsidRPr="008662BF">
        <w:rPr>
          <w:lang w:val="mk-MK"/>
        </w:rPr>
        <w:t xml:space="preserve">за HPC (пресметување со високи перформанси) во 31 земја членка и земји кандидати во Европа, </w:t>
      </w:r>
      <w:r w:rsidR="000F3E95">
        <w:rPr>
          <w:lang w:val="mk-MK"/>
        </w:rPr>
        <w:t>за</w:t>
      </w:r>
      <w:r w:rsidRPr="008662BF">
        <w:rPr>
          <w:lang w:val="mk-MK"/>
        </w:rPr>
        <w:t xml:space="preserve"> да се обезбеди широко портфолио на услуги </w:t>
      </w:r>
      <w:r w:rsidR="000F3E95">
        <w:rPr>
          <w:lang w:val="mk-MK"/>
        </w:rPr>
        <w:t>приспособен</w:t>
      </w:r>
      <w:r w:rsidRPr="008662BF">
        <w:rPr>
          <w:lang w:val="mk-MK"/>
        </w:rPr>
        <w:t xml:space="preserve">о на соодветните национални потреби на индустријата, </w:t>
      </w:r>
      <w:r w:rsidR="000F3E95">
        <w:rPr>
          <w:lang w:val="mk-MK"/>
        </w:rPr>
        <w:t xml:space="preserve">на </w:t>
      </w:r>
      <w:r w:rsidRPr="008662BF">
        <w:rPr>
          <w:lang w:val="mk-MK"/>
        </w:rPr>
        <w:t xml:space="preserve">академската заедница и </w:t>
      </w:r>
      <w:r w:rsidR="000F3E95">
        <w:rPr>
          <w:lang w:val="mk-MK"/>
        </w:rPr>
        <w:t xml:space="preserve">на </w:t>
      </w:r>
      <w:r w:rsidRPr="008662BF">
        <w:rPr>
          <w:lang w:val="mk-MK"/>
        </w:rPr>
        <w:t>јавната администрација. Сето ова е во насока на поддршка</w:t>
      </w:r>
      <w:r w:rsidR="000F3E95">
        <w:rPr>
          <w:lang w:val="mk-MK"/>
        </w:rPr>
        <w:t>та</w:t>
      </w:r>
      <w:r w:rsidRPr="008662BF">
        <w:rPr>
          <w:lang w:val="mk-MK"/>
        </w:rPr>
        <w:t xml:space="preserve"> и зголемување</w:t>
      </w:r>
      <w:r w:rsidR="000F3E95">
        <w:rPr>
          <w:lang w:val="mk-MK"/>
        </w:rPr>
        <w:t>то</w:t>
      </w:r>
      <w:r w:rsidRPr="008662BF">
        <w:rPr>
          <w:lang w:val="mk-MK"/>
        </w:rPr>
        <w:t xml:space="preserve"> на националните предности за пресметување со високи</w:t>
      </w:r>
      <w:r w:rsidR="000F3E95">
        <w:rPr>
          <w:lang w:val="mk-MK"/>
        </w:rPr>
        <w:t>те</w:t>
      </w:r>
      <w:r w:rsidRPr="008662BF">
        <w:rPr>
          <w:lang w:val="mk-MK"/>
        </w:rPr>
        <w:t xml:space="preserve"> перформанси (HPC), на способностите за анализа на податоци</w:t>
      </w:r>
      <w:r w:rsidR="000F3E95">
        <w:rPr>
          <w:lang w:val="mk-MK"/>
        </w:rPr>
        <w:t>те</w:t>
      </w:r>
      <w:r w:rsidRPr="008662BF">
        <w:rPr>
          <w:lang w:val="mk-MK"/>
        </w:rPr>
        <w:t xml:space="preserve"> со високи перформанси (HPDA) и</w:t>
      </w:r>
      <w:r w:rsidR="000F3E95">
        <w:rPr>
          <w:lang w:val="mk-MK"/>
        </w:rPr>
        <w:t xml:space="preserve"> на</w:t>
      </w:r>
      <w:r w:rsidRPr="008662BF">
        <w:rPr>
          <w:lang w:val="mk-MK"/>
        </w:rPr>
        <w:t xml:space="preserve"> вештачка</w:t>
      </w:r>
      <w:r w:rsidR="000F3E95">
        <w:rPr>
          <w:lang w:val="mk-MK"/>
        </w:rPr>
        <w:t>та</w:t>
      </w:r>
      <w:r w:rsidRPr="008662BF">
        <w:rPr>
          <w:lang w:val="mk-MK"/>
        </w:rPr>
        <w:t xml:space="preserve"> интелигенција (AI), како и зголемување на употребата на овие технологии во различни о</w:t>
      </w:r>
      <w:r w:rsidR="00EB7AE2" w:rsidRPr="008662BF">
        <w:rPr>
          <w:lang w:val="mk-MK"/>
        </w:rPr>
        <w:t>бласти во одделните држави со шт</w:t>
      </w:r>
      <w:r w:rsidRPr="008662BF">
        <w:rPr>
          <w:lang w:val="mk-MK"/>
        </w:rPr>
        <w:t>о ќе се обезбеди основа за европска извонредност.</w:t>
      </w:r>
    </w:p>
    <w:p w14:paraId="6EFCE4DC" w14:textId="39CE8879" w:rsidR="00EB7AE2" w:rsidRPr="008662BF" w:rsidRDefault="00EB7AE2" w:rsidP="007947BF">
      <w:pPr>
        <w:jc w:val="both"/>
        <w:rPr>
          <w:lang w:val="mk-MK"/>
        </w:rPr>
      </w:pPr>
      <w:r w:rsidRPr="008662BF">
        <w:rPr>
          <w:lang w:val="mk-MK"/>
        </w:rPr>
        <w:t xml:space="preserve">Секој од 33-те национални центри за компетентност, </w:t>
      </w:r>
      <w:r w:rsidR="000F3E95">
        <w:rPr>
          <w:lang w:val="mk-MK"/>
        </w:rPr>
        <w:t>што</w:t>
      </w:r>
      <w:r w:rsidRPr="008662BF">
        <w:rPr>
          <w:lang w:val="mk-MK"/>
        </w:rPr>
        <w:t xml:space="preserve"> ќе бидат дел од мрежата на EuroCC, ќе работ</w:t>
      </w:r>
      <w:r w:rsidR="000F3E95">
        <w:rPr>
          <w:lang w:val="mk-MK"/>
        </w:rPr>
        <w:t>ат</w:t>
      </w:r>
      <w:r w:rsidRPr="008662BF">
        <w:rPr>
          <w:lang w:val="mk-MK"/>
        </w:rPr>
        <w:t xml:space="preserve"> </w:t>
      </w:r>
      <w:r w:rsidR="003906C9">
        <w:rPr>
          <w:lang w:val="mk-MK"/>
        </w:rPr>
        <w:t xml:space="preserve">на </w:t>
      </w:r>
      <w:r w:rsidRPr="008662BF">
        <w:rPr>
          <w:lang w:val="mk-MK"/>
        </w:rPr>
        <w:t xml:space="preserve">локално </w:t>
      </w:r>
      <w:r w:rsidR="003906C9">
        <w:rPr>
          <w:lang w:val="mk-MK"/>
        </w:rPr>
        <w:t xml:space="preserve">ниво </w:t>
      </w:r>
      <w:r w:rsidRPr="008662BF">
        <w:rPr>
          <w:lang w:val="mk-MK"/>
        </w:rPr>
        <w:t>на мапирање</w:t>
      </w:r>
      <w:r w:rsidR="000F3E95">
        <w:rPr>
          <w:lang w:val="mk-MK"/>
        </w:rPr>
        <w:t>то</w:t>
      </w:r>
      <w:r w:rsidRPr="008662BF">
        <w:rPr>
          <w:lang w:val="mk-MK"/>
        </w:rPr>
        <w:t xml:space="preserve"> на достапните компетенции за HPC и на </w:t>
      </w:r>
      <w:r w:rsidR="003906C9">
        <w:rPr>
          <w:lang w:val="mk-MK"/>
        </w:rPr>
        <w:t>утврдување</w:t>
      </w:r>
      <w:r w:rsidR="000F3E95">
        <w:rPr>
          <w:lang w:val="mk-MK"/>
        </w:rPr>
        <w:t>то</w:t>
      </w:r>
      <w:r w:rsidR="003906C9">
        <w:rPr>
          <w:lang w:val="mk-MK"/>
        </w:rPr>
        <w:t xml:space="preserve"> </w:t>
      </w:r>
      <w:r w:rsidRPr="008662BF">
        <w:rPr>
          <w:lang w:val="mk-MK"/>
        </w:rPr>
        <w:t>на постојните недостатоци во знаењето. Центрите за компетентност ќе ја координираат експертизата за HPC на национално ниво и ќе го олеснат пристапот до европските можности за HPC за корисниците од областа на истражувањето и науката,</w:t>
      </w:r>
      <w:r w:rsidR="000F3E95">
        <w:rPr>
          <w:lang w:val="mk-MK"/>
        </w:rPr>
        <w:t xml:space="preserve"> на</w:t>
      </w:r>
      <w:r w:rsidRPr="008662BF">
        <w:rPr>
          <w:lang w:val="mk-MK"/>
        </w:rPr>
        <w:t xml:space="preserve"> јавната администрација, но исто така и</w:t>
      </w:r>
      <w:r w:rsidR="000F3E95">
        <w:rPr>
          <w:lang w:val="mk-MK"/>
        </w:rPr>
        <w:t xml:space="preserve"> за корисниците</w:t>
      </w:r>
      <w:r w:rsidRPr="008662BF">
        <w:rPr>
          <w:lang w:val="mk-MK"/>
        </w:rPr>
        <w:t xml:space="preserve"> </w:t>
      </w:r>
      <w:r w:rsidR="003906C9">
        <w:rPr>
          <w:lang w:val="mk-MK"/>
        </w:rPr>
        <w:t xml:space="preserve">од </w:t>
      </w:r>
      <w:r w:rsidRPr="008662BF">
        <w:rPr>
          <w:lang w:val="mk-MK"/>
        </w:rPr>
        <w:t xml:space="preserve">различни индустриски сектори, со обезбедување на </w:t>
      </w:r>
      <w:r w:rsidR="000F3E95">
        <w:rPr>
          <w:lang w:val="mk-MK"/>
        </w:rPr>
        <w:t>приспособен</w:t>
      </w:r>
      <w:r w:rsidRPr="008662BF">
        <w:rPr>
          <w:lang w:val="mk-MK"/>
        </w:rPr>
        <w:t>и решенија за широк спектар на корисници.</w:t>
      </w:r>
    </w:p>
    <w:p w14:paraId="76E4BABD" w14:textId="223F9701" w:rsidR="008C6E9D" w:rsidRPr="008662BF" w:rsidRDefault="008C6E9D" w:rsidP="007947BF">
      <w:pPr>
        <w:jc w:val="both"/>
        <w:rPr>
          <w:lang w:val="mk-MK"/>
        </w:rPr>
      </w:pPr>
      <w:r w:rsidRPr="008662BF">
        <w:rPr>
          <w:lang w:val="mk-MK"/>
        </w:rPr>
        <w:t>Факултет</w:t>
      </w:r>
      <w:r w:rsidR="003906C9">
        <w:rPr>
          <w:lang w:val="mk-MK"/>
        </w:rPr>
        <w:t>от</w:t>
      </w:r>
      <w:r w:rsidRPr="008662BF">
        <w:rPr>
          <w:lang w:val="mk-MK"/>
        </w:rPr>
        <w:t xml:space="preserve"> за информатички науки и компјутерско инженерство е Национален центар за компетентност за HPC во </w:t>
      </w:r>
      <w:r w:rsidR="00417197">
        <w:rPr>
          <w:lang w:val="mk-MK"/>
        </w:rPr>
        <w:t>Република Северна Македонија</w:t>
      </w:r>
      <w:r w:rsidRPr="008662BF">
        <w:rPr>
          <w:lang w:val="mk-MK"/>
        </w:rPr>
        <w:t xml:space="preserve">, кој ја презема водечката улога во подготовката на патоказот, </w:t>
      </w:r>
      <w:r w:rsidR="000F3E95">
        <w:rPr>
          <w:lang w:val="mk-MK"/>
        </w:rPr>
        <w:t xml:space="preserve">на </w:t>
      </w:r>
      <w:r w:rsidRPr="008662BF">
        <w:rPr>
          <w:lang w:val="mk-MK"/>
        </w:rPr>
        <w:t xml:space="preserve">градењето капацитети, </w:t>
      </w:r>
      <w:r w:rsidR="000F3E95">
        <w:rPr>
          <w:lang w:val="mk-MK"/>
        </w:rPr>
        <w:t xml:space="preserve">на </w:t>
      </w:r>
      <w:r w:rsidRPr="008662BF">
        <w:rPr>
          <w:lang w:val="mk-MK"/>
        </w:rPr>
        <w:t>обуката, како и</w:t>
      </w:r>
      <w:r w:rsidR="000F3E95">
        <w:rPr>
          <w:lang w:val="mk-MK"/>
        </w:rPr>
        <w:t xml:space="preserve"> на</w:t>
      </w:r>
      <w:r w:rsidRPr="008662BF">
        <w:rPr>
          <w:lang w:val="mk-MK"/>
        </w:rPr>
        <w:t xml:space="preserve"> олеснувањето на пристапот до експертиза</w:t>
      </w:r>
      <w:r w:rsidR="000F3E95">
        <w:rPr>
          <w:lang w:val="mk-MK"/>
        </w:rPr>
        <w:t>та</w:t>
      </w:r>
      <w:r w:rsidRPr="008662BF">
        <w:rPr>
          <w:lang w:val="mk-MK"/>
        </w:rPr>
        <w:t xml:space="preserve">. </w:t>
      </w:r>
      <w:r w:rsidR="003906C9">
        <w:rPr>
          <w:lang w:val="mk-MK"/>
        </w:rPr>
        <w:t xml:space="preserve">Факултетот ќе </w:t>
      </w:r>
      <w:r w:rsidRPr="008662BF">
        <w:rPr>
          <w:lang w:val="mk-MK"/>
        </w:rPr>
        <w:t>се поврзе со партнерите од индустријата за да се зголеми примената на HPC на национално ниво.</w:t>
      </w:r>
    </w:p>
    <w:p w14:paraId="3FDCD760"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6</w:t>
      </w:r>
      <w:r w:rsidR="00C779B8" w:rsidRPr="008662BF">
        <w:rPr>
          <w:rFonts w:asciiTheme="minorHAnsi" w:hAnsiTheme="minorHAnsi"/>
          <w:lang w:val="mk-MK"/>
        </w:rPr>
        <w:t xml:space="preserve">. EGI-ACE: Напредно </w:t>
      </w:r>
      <w:r w:rsidR="00A9001D">
        <w:rPr>
          <w:rFonts w:asciiTheme="minorHAnsi" w:hAnsiTheme="minorHAnsi"/>
          <w:lang w:val="mk-MK"/>
        </w:rPr>
        <w:t xml:space="preserve">компјутерско </w:t>
      </w:r>
      <w:r w:rsidR="00D61E89">
        <w:rPr>
          <w:rFonts w:asciiTheme="minorHAnsi" w:hAnsiTheme="minorHAnsi"/>
          <w:lang w:val="mk-MK"/>
        </w:rPr>
        <w:t>пресметување за истражувања</w:t>
      </w:r>
    </w:p>
    <w:p w14:paraId="163F5B50" w14:textId="77777777" w:rsidR="007947BF" w:rsidRPr="008662BF" w:rsidRDefault="002F6BCF" w:rsidP="007947BF">
      <w:pPr>
        <w:pStyle w:val="ListParagraph"/>
        <w:numPr>
          <w:ilvl w:val="0"/>
          <w:numId w:val="2"/>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179ED2F3" w14:textId="5BC8F07A" w:rsidR="007947BF" w:rsidRPr="008662BF" w:rsidRDefault="00B66096" w:rsidP="007947BF">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C779B8" w:rsidRPr="008662BF">
        <w:rPr>
          <w:lang w:val="mk-MK"/>
        </w:rPr>
        <w:t xml:space="preserve">Универзитет „Св. Кирил и Методиј“ </w:t>
      </w:r>
      <w:r w:rsidR="003906C9">
        <w:rPr>
          <w:lang w:val="mk-MK"/>
        </w:rPr>
        <w:t xml:space="preserve">- </w:t>
      </w:r>
      <w:r w:rsidR="00C779B8" w:rsidRPr="008662BF">
        <w:rPr>
          <w:lang w:val="mk-MK"/>
        </w:rPr>
        <w:t xml:space="preserve">Скопје, ФИНКИ </w:t>
      </w:r>
      <w:r w:rsidR="007947BF" w:rsidRPr="008662BF">
        <w:rPr>
          <w:lang w:val="mk-MK"/>
        </w:rPr>
        <w:t>(23.750</w:t>
      </w:r>
      <w:r w:rsidR="00C779B8" w:rsidRPr="008662BF">
        <w:rPr>
          <w:lang w:val="mk-MK"/>
        </w:rPr>
        <w:t xml:space="preserve"> евра</w:t>
      </w:r>
      <w:r w:rsidR="007947BF" w:rsidRPr="008662BF">
        <w:rPr>
          <w:lang w:val="mk-MK"/>
        </w:rPr>
        <w:t>)</w:t>
      </w:r>
    </w:p>
    <w:p w14:paraId="430F614F" w14:textId="43565DCD" w:rsidR="007947BF" w:rsidRPr="008662BF" w:rsidRDefault="002F6BCF" w:rsidP="007947BF">
      <w:pPr>
        <w:pStyle w:val="ListParagraph"/>
        <w:numPr>
          <w:ilvl w:val="0"/>
          <w:numId w:val="2"/>
        </w:numPr>
        <w:rPr>
          <w:lang w:val="mk-MK"/>
        </w:rPr>
      </w:pPr>
      <w:r w:rsidRPr="008662BF">
        <w:rPr>
          <w:b/>
          <w:lang w:val="mk-MK"/>
        </w:rPr>
        <w:t>Вкупен број партнерски организации</w:t>
      </w:r>
      <w:r w:rsidR="007947BF" w:rsidRPr="008662BF">
        <w:rPr>
          <w:lang w:val="mk-MK"/>
        </w:rPr>
        <w:t>: 33</w:t>
      </w:r>
    </w:p>
    <w:p w14:paraId="4014F3E8" w14:textId="77777777" w:rsidR="007947BF" w:rsidRPr="008662BF" w:rsidRDefault="002F6BCF" w:rsidP="007947BF">
      <w:pPr>
        <w:pStyle w:val="ListParagraph"/>
        <w:numPr>
          <w:ilvl w:val="0"/>
          <w:numId w:val="2"/>
        </w:numPr>
        <w:rPr>
          <w:lang w:val="mk-MK"/>
        </w:rPr>
      </w:pPr>
      <w:r w:rsidRPr="008662BF">
        <w:rPr>
          <w:b/>
          <w:lang w:val="mk-MK"/>
        </w:rPr>
        <w:t>Период на спроведување на проектот</w:t>
      </w:r>
      <w:r w:rsidR="007947BF" w:rsidRPr="008662BF">
        <w:rPr>
          <w:lang w:val="mk-MK"/>
        </w:rPr>
        <w:t>: 01</w:t>
      </w:r>
      <w:r w:rsidR="00C779B8" w:rsidRPr="008662BF">
        <w:rPr>
          <w:lang w:val="mk-MK"/>
        </w:rPr>
        <w:t>.</w:t>
      </w:r>
      <w:r w:rsidR="007947BF" w:rsidRPr="008662BF">
        <w:rPr>
          <w:lang w:val="mk-MK"/>
        </w:rPr>
        <w:t>01</w:t>
      </w:r>
      <w:r w:rsidR="00C779B8" w:rsidRPr="008662BF">
        <w:rPr>
          <w:lang w:val="mk-MK"/>
        </w:rPr>
        <w:t>.</w:t>
      </w:r>
      <w:r w:rsidR="007947BF" w:rsidRPr="008662BF">
        <w:rPr>
          <w:lang w:val="mk-MK"/>
        </w:rPr>
        <w:t>2021 – 30</w:t>
      </w:r>
      <w:r w:rsidR="00C779B8" w:rsidRPr="008662BF">
        <w:rPr>
          <w:lang w:val="mk-MK"/>
        </w:rPr>
        <w:t>.</w:t>
      </w:r>
      <w:r w:rsidR="007947BF" w:rsidRPr="008662BF">
        <w:rPr>
          <w:lang w:val="mk-MK"/>
        </w:rPr>
        <w:t>06</w:t>
      </w:r>
      <w:r w:rsidR="00C779B8" w:rsidRPr="008662BF">
        <w:rPr>
          <w:lang w:val="mk-MK"/>
        </w:rPr>
        <w:t>.</w:t>
      </w:r>
      <w:r w:rsidR="007947BF" w:rsidRPr="008662BF">
        <w:rPr>
          <w:lang w:val="mk-MK"/>
        </w:rPr>
        <w:t>2023</w:t>
      </w:r>
    </w:p>
    <w:p w14:paraId="7EDDEDCF" w14:textId="77777777" w:rsidR="007947BF" w:rsidRPr="008662BF" w:rsidRDefault="002F6BCF" w:rsidP="00C779B8">
      <w:pPr>
        <w:pStyle w:val="ListParagraph"/>
        <w:numPr>
          <w:ilvl w:val="0"/>
          <w:numId w:val="2"/>
        </w:numPr>
        <w:rPr>
          <w:lang w:val="mk-MK"/>
        </w:rPr>
      </w:pPr>
      <w:r w:rsidRPr="008662BF">
        <w:rPr>
          <w:b/>
          <w:lang w:val="mk-MK"/>
        </w:rPr>
        <w:t>Научна област</w:t>
      </w:r>
      <w:r w:rsidR="007947BF" w:rsidRPr="008662BF">
        <w:rPr>
          <w:lang w:val="mk-MK"/>
        </w:rPr>
        <w:t xml:space="preserve">: </w:t>
      </w:r>
      <w:r w:rsidR="003906C9">
        <w:rPr>
          <w:lang w:val="mk-MK"/>
        </w:rPr>
        <w:t>е</w:t>
      </w:r>
      <w:r w:rsidR="00C779B8" w:rsidRPr="008662BF">
        <w:rPr>
          <w:lang w:val="mk-MK"/>
        </w:rPr>
        <w:t xml:space="preserve">-инфраструктури базирани на ИКТ </w:t>
      </w:r>
    </w:p>
    <w:p w14:paraId="22F918EF" w14:textId="77896CCA" w:rsidR="00723F80" w:rsidRPr="00E6229E" w:rsidRDefault="00723F80" w:rsidP="007947BF">
      <w:pPr>
        <w:jc w:val="both"/>
        <w:rPr>
          <w:lang w:val="mk-MK"/>
        </w:rPr>
      </w:pPr>
      <w:r w:rsidRPr="00E6229E">
        <w:rPr>
          <w:lang w:val="mk-MK"/>
        </w:rPr>
        <w:t>EGI-ACE им овозможува на истражувачите од сите дисциплини да соработуваат во податочн</w:t>
      </w:r>
      <w:r w:rsidR="003906C9" w:rsidRPr="00E6229E">
        <w:rPr>
          <w:lang w:val="mk-MK"/>
        </w:rPr>
        <w:t>о</w:t>
      </w:r>
      <w:r w:rsidRPr="00E6229E">
        <w:rPr>
          <w:lang w:val="mk-MK"/>
        </w:rPr>
        <w:t xml:space="preserve"> и компјутерски интензивни</w:t>
      </w:r>
      <w:r w:rsidR="000F3E95">
        <w:rPr>
          <w:lang w:val="mk-MK"/>
        </w:rPr>
        <w:t>те</w:t>
      </w:r>
      <w:r w:rsidRPr="00E6229E">
        <w:rPr>
          <w:lang w:val="mk-MK"/>
        </w:rPr>
        <w:t xml:space="preserve"> истражувања преку границ</w:t>
      </w:r>
      <w:r w:rsidR="00181F8F" w:rsidRPr="00E6229E">
        <w:rPr>
          <w:lang w:val="mk-MK"/>
        </w:rPr>
        <w:t xml:space="preserve">ите/ограничувањата </w:t>
      </w:r>
      <w:r w:rsidR="000F3E95">
        <w:rPr>
          <w:lang w:val="mk-MK"/>
        </w:rPr>
        <w:t>со</w:t>
      </w:r>
      <w:r w:rsidR="000F3E95" w:rsidRPr="00E6229E">
        <w:rPr>
          <w:lang w:val="mk-MK"/>
        </w:rPr>
        <w:t xml:space="preserve"> </w:t>
      </w:r>
      <w:r w:rsidRPr="00E6229E">
        <w:rPr>
          <w:lang w:val="mk-MK"/>
        </w:rPr>
        <w:t xml:space="preserve">бесплатни услуги на местото на користење. Надоврзувајќи се на дистрибуираната компјутерска интеграција во </w:t>
      </w:r>
      <w:r w:rsidR="00274DCD" w:rsidRPr="00E6229E">
        <w:rPr>
          <w:lang w:val="mk-MK"/>
        </w:rPr>
        <w:t>Центарот на EOSC (</w:t>
      </w:r>
      <w:r w:rsidRPr="00E6229E">
        <w:rPr>
          <w:lang w:val="mk-MK"/>
        </w:rPr>
        <w:t>EOSC-hub</w:t>
      </w:r>
      <w:r w:rsidR="00274DCD" w:rsidRPr="00E6229E">
        <w:rPr>
          <w:lang w:val="mk-MK"/>
        </w:rPr>
        <w:t>)</w:t>
      </w:r>
      <w:r w:rsidRPr="00E6229E">
        <w:rPr>
          <w:lang w:val="mk-MK"/>
        </w:rPr>
        <w:t>,</w:t>
      </w:r>
      <w:r w:rsidR="00CF0CE0" w:rsidRPr="00CF0CE0">
        <w:rPr>
          <w:lang w:val="mk-MK"/>
        </w:rPr>
        <w:t xml:space="preserve"> </w:t>
      </w:r>
      <w:r w:rsidR="00CF0CE0" w:rsidRPr="00E6229E">
        <w:rPr>
          <w:lang w:val="mk-MK"/>
        </w:rPr>
        <w:t>EGI-ACE</w:t>
      </w:r>
      <w:r w:rsidRPr="00E6229E">
        <w:rPr>
          <w:lang w:val="mk-MK"/>
        </w:rPr>
        <w:t xml:space="preserve"> ја обезбедува </w:t>
      </w:r>
      <w:r w:rsidR="0039087D" w:rsidRPr="00E6229E">
        <w:rPr>
          <w:lang w:val="mk-MK"/>
        </w:rPr>
        <w:t xml:space="preserve">компјутерската </w:t>
      </w:r>
      <w:r w:rsidRPr="00E6229E">
        <w:rPr>
          <w:lang w:val="mk-MK"/>
        </w:rPr>
        <w:t>платформа</w:t>
      </w:r>
      <w:r w:rsidR="0039087D" w:rsidRPr="00E6229E">
        <w:rPr>
          <w:lang w:val="mk-MK"/>
        </w:rPr>
        <w:t xml:space="preserve"> на </w:t>
      </w:r>
      <w:r w:rsidRPr="00E6229E">
        <w:rPr>
          <w:lang w:val="mk-MK"/>
        </w:rPr>
        <w:t xml:space="preserve">EOSC и придонесува </w:t>
      </w:r>
      <w:r w:rsidR="0039087D" w:rsidRPr="00E6229E">
        <w:rPr>
          <w:lang w:val="mk-MK"/>
        </w:rPr>
        <w:t xml:space="preserve">за заедничките ресурси </w:t>
      </w:r>
      <w:r w:rsidR="00E6229E" w:rsidRPr="00E6229E">
        <w:rPr>
          <w:lang w:val="mk-MK"/>
        </w:rPr>
        <w:t>(</w:t>
      </w:r>
      <w:r w:rsidRPr="00E6229E">
        <w:rPr>
          <w:lang w:val="mk-MK"/>
        </w:rPr>
        <w:t>Data Commons</w:t>
      </w:r>
      <w:r w:rsidR="00E6229E" w:rsidRPr="00E6229E">
        <w:rPr>
          <w:lang w:val="mk-MK"/>
        </w:rPr>
        <w:t>)</w:t>
      </w:r>
      <w:r w:rsidR="00CF0CE0">
        <w:rPr>
          <w:lang w:val="mk-MK"/>
        </w:rPr>
        <w:t xml:space="preserve"> </w:t>
      </w:r>
      <w:r w:rsidR="00E6229E" w:rsidRPr="00E6229E">
        <w:rPr>
          <w:lang w:val="mk-MK"/>
        </w:rPr>
        <w:t xml:space="preserve">на EOSC </w:t>
      </w:r>
      <w:r w:rsidRPr="00E6229E">
        <w:rPr>
          <w:lang w:val="mk-MK"/>
        </w:rPr>
        <w:t>преку федерација</w:t>
      </w:r>
      <w:r w:rsidR="00CF0CE0">
        <w:rPr>
          <w:lang w:val="mk-MK"/>
        </w:rPr>
        <w:t>та</w:t>
      </w:r>
      <w:r w:rsidRPr="00E6229E">
        <w:rPr>
          <w:lang w:val="mk-MK"/>
        </w:rPr>
        <w:t xml:space="preserve"> на капацитети</w:t>
      </w:r>
      <w:r w:rsidR="0039087D" w:rsidRPr="00E6229E">
        <w:rPr>
          <w:lang w:val="mk-MK"/>
        </w:rPr>
        <w:t>те</w:t>
      </w:r>
      <w:r w:rsidRPr="00E6229E">
        <w:rPr>
          <w:lang w:val="mk-MK"/>
        </w:rPr>
        <w:t xml:space="preserve"> за пресметување и складирање во облак, </w:t>
      </w:r>
      <w:r w:rsidR="00CF0CE0">
        <w:rPr>
          <w:lang w:val="mk-MK"/>
        </w:rPr>
        <w:t xml:space="preserve">преку </w:t>
      </w:r>
      <w:r w:rsidRPr="00E6229E">
        <w:rPr>
          <w:lang w:val="mk-MK"/>
        </w:rPr>
        <w:t>PaaS</w:t>
      </w:r>
      <w:r w:rsidR="00CF0CE0">
        <w:rPr>
          <w:lang w:val="mk-MK"/>
        </w:rPr>
        <w:t>-</w:t>
      </w:r>
      <w:r w:rsidRPr="00E6229E">
        <w:rPr>
          <w:lang w:val="mk-MK"/>
        </w:rPr>
        <w:t>услуги</w:t>
      </w:r>
      <w:r w:rsidR="00CF0CE0">
        <w:rPr>
          <w:lang w:val="mk-MK"/>
        </w:rPr>
        <w:t>те</w:t>
      </w:r>
      <w:r w:rsidRPr="00E6229E">
        <w:rPr>
          <w:lang w:val="mk-MK"/>
        </w:rPr>
        <w:t xml:space="preserve"> и </w:t>
      </w:r>
      <w:r w:rsidR="00CF0CE0">
        <w:rPr>
          <w:lang w:val="mk-MK"/>
        </w:rPr>
        <w:t xml:space="preserve">преку </w:t>
      </w:r>
      <w:r w:rsidRPr="00E6229E">
        <w:rPr>
          <w:lang w:val="mk-MK"/>
        </w:rPr>
        <w:t>простори</w:t>
      </w:r>
      <w:r w:rsidR="00CF0CE0">
        <w:rPr>
          <w:lang w:val="mk-MK"/>
        </w:rPr>
        <w:t>те</w:t>
      </w:r>
      <w:r w:rsidRPr="00E6229E">
        <w:rPr>
          <w:lang w:val="mk-MK"/>
        </w:rPr>
        <w:t xml:space="preserve"> за податоци со аналитички алатки и </w:t>
      </w:r>
      <w:r w:rsidR="0039087D" w:rsidRPr="00E6229E">
        <w:rPr>
          <w:lang w:val="mk-MK"/>
        </w:rPr>
        <w:t xml:space="preserve">федеративни </w:t>
      </w:r>
      <w:r w:rsidRPr="00E6229E">
        <w:rPr>
          <w:lang w:val="mk-MK"/>
        </w:rPr>
        <w:t>услуги за пристап.</w:t>
      </w:r>
    </w:p>
    <w:p w14:paraId="493E50AE" w14:textId="6E1F7E5C" w:rsidR="003F31C1" w:rsidRPr="008662BF" w:rsidRDefault="003F31C1" w:rsidP="007947BF">
      <w:pPr>
        <w:jc w:val="both"/>
        <w:rPr>
          <w:lang w:val="mk-MK"/>
        </w:rPr>
      </w:pPr>
      <w:r w:rsidRPr="00E6229E">
        <w:rPr>
          <w:lang w:val="mk-MK"/>
        </w:rPr>
        <w:t>Платформата е изградена на Федерацијата EGI, најголемата</w:t>
      </w:r>
      <w:r w:rsidRPr="008662BF">
        <w:rPr>
          <w:lang w:val="mk-MK"/>
        </w:rPr>
        <w:t xml:space="preserve"> дистрибуирана компјутерска инфраструктура за истражување. Платформата ги обединува капацитетите на некои од најголемите европски центри за податоци за истражувања, преку федеративно управување со услуги</w:t>
      </w:r>
      <w:r w:rsidR="00CF0CE0">
        <w:rPr>
          <w:lang w:val="mk-MK"/>
        </w:rPr>
        <w:t>те</w:t>
      </w:r>
      <w:r w:rsidRPr="008662BF">
        <w:rPr>
          <w:lang w:val="mk-MK"/>
        </w:rPr>
        <w:t xml:space="preserve"> во согласност со ISO. Во текот на 30 месеци, ќе</w:t>
      </w:r>
      <w:r w:rsidR="00CF0CE0">
        <w:rPr>
          <w:lang w:val="mk-MK"/>
        </w:rPr>
        <w:t xml:space="preserve"> се</w:t>
      </w:r>
      <w:r w:rsidRPr="008662BF">
        <w:rPr>
          <w:lang w:val="mk-MK"/>
        </w:rPr>
        <w:t xml:space="preserve"> обезбед</w:t>
      </w:r>
      <w:r w:rsidR="00CF0CE0">
        <w:rPr>
          <w:lang w:val="mk-MK"/>
        </w:rPr>
        <w:t>ат</w:t>
      </w:r>
      <w:r w:rsidRPr="008662BF">
        <w:rPr>
          <w:lang w:val="mk-MK"/>
        </w:rPr>
        <w:t xml:space="preserve"> повеќе од 82 M часови на процесорска единица и 250 K часови на графичка единица за обработка на податоци и аналитика, и 45 PB/месец за хостирање и искористување на податоците од истражувања. Нејзините услуги одговараат на потребите на главните истражувачки инфраструктури и </w:t>
      </w:r>
      <w:r w:rsidR="00CF0CE0">
        <w:rPr>
          <w:lang w:val="mk-MK"/>
        </w:rPr>
        <w:t xml:space="preserve">на </w:t>
      </w:r>
      <w:r w:rsidRPr="008662BF">
        <w:rPr>
          <w:lang w:val="mk-MK"/>
        </w:rPr>
        <w:lastRenderedPageBreak/>
        <w:t xml:space="preserve">заедниците за пракса </w:t>
      </w:r>
      <w:r w:rsidR="0039087D">
        <w:rPr>
          <w:lang w:val="mk-MK"/>
        </w:rPr>
        <w:t xml:space="preserve">кои се вклучени </w:t>
      </w:r>
      <w:r w:rsidRPr="008662BF">
        <w:rPr>
          <w:lang w:val="mk-MK"/>
        </w:rPr>
        <w:t xml:space="preserve">преку проектот </w:t>
      </w:r>
      <w:r w:rsidR="00274DCD">
        <w:rPr>
          <w:lang w:val="mk-MK"/>
        </w:rPr>
        <w:t xml:space="preserve">за Центарот на </w:t>
      </w:r>
      <w:r w:rsidR="00274DCD">
        <w:t>E</w:t>
      </w:r>
      <w:r w:rsidRPr="008662BF">
        <w:rPr>
          <w:lang w:val="mk-MK"/>
        </w:rPr>
        <w:t xml:space="preserve">OSC. Платформата </w:t>
      </w:r>
      <w:r w:rsidR="0039087D">
        <w:rPr>
          <w:lang w:val="mk-MK"/>
        </w:rPr>
        <w:t xml:space="preserve">ја надминува </w:t>
      </w:r>
      <w:r w:rsidRPr="008662BF">
        <w:rPr>
          <w:lang w:val="mk-MK"/>
        </w:rPr>
        <w:t xml:space="preserve">најсовремената технологија </w:t>
      </w:r>
      <w:r w:rsidR="0039087D">
        <w:rPr>
          <w:lang w:val="mk-MK"/>
        </w:rPr>
        <w:t xml:space="preserve">со </w:t>
      </w:r>
      <w:r w:rsidRPr="008662BF">
        <w:rPr>
          <w:lang w:val="mk-MK"/>
        </w:rPr>
        <w:t>пристап</w:t>
      </w:r>
      <w:r w:rsidR="00CF0CE0">
        <w:rPr>
          <w:lang w:val="mk-MK"/>
        </w:rPr>
        <w:t xml:space="preserve">от што е </w:t>
      </w:r>
      <w:r w:rsidRPr="008662BF">
        <w:rPr>
          <w:lang w:val="mk-MK"/>
        </w:rPr>
        <w:t xml:space="preserve"> фокусиран на податоци, каде што податоците, алатките и капацитетите за пресметување и складирање формираат целосно интегрирана средина која е достапна преку границите/</w:t>
      </w:r>
      <w:r w:rsidR="0039087D">
        <w:rPr>
          <w:lang w:val="mk-MK"/>
        </w:rPr>
        <w:t>ограничувањата благодарение на в</w:t>
      </w:r>
      <w:r w:rsidRPr="008662BF">
        <w:rPr>
          <w:lang w:val="mk-MK"/>
        </w:rPr>
        <w:t xml:space="preserve">иртуелниот пристап. </w:t>
      </w:r>
    </w:p>
    <w:p w14:paraId="76AA0477" w14:textId="77777777" w:rsidR="00AF772C" w:rsidRPr="008662BF" w:rsidRDefault="00AF772C" w:rsidP="00AF772C">
      <w:pPr>
        <w:jc w:val="both"/>
        <w:rPr>
          <w:lang w:val="mk-MK"/>
        </w:rPr>
      </w:pPr>
      <w:r w:rsidRPr="008662BF">
        <w:rPr>
          <w:lang w:val="mk-MK"/>
        </w:rPr>
        <w:t>Платформата нуди хетерогени системи за исполнување на различни потреби, вклучително и најсовремени GPGPU и акцелератори кои поддржуваат вештачка интелигенција и машинско учење, со што платформата претставува идеален простор за иновации за апликации за вештачка интелигенција. Простор</w:t>
      </w:r>
      <w:r w:rsidR="00274DCD">
        <w:rPr>
          <w:lang w:val="mk-MK"/>
        </w:rPr>
        <w:t xml:space="preserve">от </w:t>
      </w:r>
      <w:r w:rsidRPr="008662BF">
        <w:rPr>
          <w:lang w:val="mk-MK"/>
        </w:rPr>
        <w:t xml:space="preserve">за податоци и аналитичките алатки се обезбедува во соработка со десетици истражувачки инфраструктури и проекти, за поддршка на случаи на употреба </w:t>
      </w:r>
      <w:r w:rsidR="00274DCD">
        <w:rPr>
          <w:lang w:val="mk-MK"/>
        </w:rPr>
        <w:t xml:space="preserve">во областа на </w:t>
      </w:r>
      <w:r w:rsidRPr="008662BF">
        <w:rPr>
          <w:lang w:val="mk-MK"/>
        </w:rPr>
        <w:t>здравство</w:t>
      </w:r>
      <w:r w:rsidR="00274DCD">
        <w:rPr>
          <w:lang w:val="mk-MK"/>
        </w:rPr>
        <w:t>то</w:t>
      </w:r>
      <w:r w:rsidRPr="008662BF">
        <w:rPr>
          <w:lang w:val="mk-MK"/>
        </w:rPr>
        <w:t>,</w:t>
      </w:r>
      <w:r w:rsidR="00CF0CE0">
        <w:rPr>
          <w:lang w:val="mk-MK"/>
        </w:rPr>
        <w:t xml:space="preserve"> во</w:t>
      </w:r>
      <w:r w:rsidRPr="008662BF">
        <w:rPr>
          <w:lang w:val="mk-MK"/>
        </w:rPr>
        <w:t xml:space="preserve"> Зелениот договор и </w:t>
      </w:r>
      <w:r w:rsidR="00CF0CE0">
        <w:rPr>
          <w:lang w:val="mk-MK"/>
        </w:rPr>
        <w:t xml:space="preserve">во </w:t>
      </w:r>
      <w:r w:rsidRPr="008662BF">
        <w:rPr>
          <w:lang w:val="mk-MK"/>
        </w:rPr>
        <w:t>фундаменталните науки.</w:t>
      </w:r>
    </w:p>
    <w:p w14:paraId="737A4097" w14:textId="77777777" w:rsidR="00AF772C" w:rsidRPr="008662BF" w:rsidRDefault="00AF772C" w:rsidP="00AF772C">
      <w:pPr>
        <w:jc w:val="both"/>
        <w:rPr>
          <w:lang w:val="mk-MK"/>
        </w:rPr>
      </w:pPr>
      <w:r w:rsidRPr="008662BF">
        <w:rPr>
          <w:lang w:val="mk-MK"/>
        </w:rPr>
        <w:t>Конзорциумот се надоврзува на експертизата и средствата на член</w:t>
      </w:r>
      <w:r w:rsidR="00274DCD">
        <w:rPr>
          <w:lang w:val="mk-MK"/>
        </w:rPr>
        <w:t>овите на ф</w:t>
      </w:r>
      <w:r w:rsidRPr="008662BF">
        <w:rPr>
          <w:lang w:val="mk-MK"/>
        </w:rPr>
        <w:t xml:space="preserve">едерацијата </w:t>
      </w:r>
      <w:r w:rsidR="00274DCD">
        <w:t>EGI</w:t>
      </w:r>
      <w:r w:rsidRPr="008662BF">
        <w:rPr>
          <w:lang w:val="mk-MK"/>
        </w:rPr>
        <w:t xml:space="preserve">, </w:t>
      </w:r>
      <w:r w:rsidR="00CF0CE0">
        <w:rPr>
          <w:lang w:val="mk-MK"/>
        </w:rPr>
        <w:t xml:space="preserve">на </w:t>
      </w:r>
      <w:r w:rsidRPr="008662BF">
        <w:rPr>
          <w:lang w:val="mk-MK"/>
        </w:rPr>
        <w:t>клучните истражувачки заедници и</w:t>
      </w:r>
      <w:r w:rsidR="00CF0CE0">
        <w:rPr>
          <w:lang w:val="mk-MK"/>
        </w:rPr>
        <w:t xml:space="preserve"> на</w:t>
      </w:r>
      <w:r w:rsidRPr="008662BF">
        <w:rPr>
          <w:lang w:val="mk-MK"/>
        </w:rPr>
        <w:t xml:space="preserve"> даватели на податоци, како и на иницијативите за соработка. </w:t>
      </w:r>
    </w:p>
    <w:p w14:paraId="340CC855"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7. SERA: </w:t>
      </w:r>
      <w:r w:rsidR="00AF772C" w:rsidRPr="008662BF">
        <w:rPr>
          <w:rFonts w:asciiTheme="minorHAnsi" w:hAnsiTheme="minorHAnsi"/>
          <w:lang w:val="mk-MK"/>
        </w:rPr>
        <w:t xml:space="preserve">Алијанса за истражувачка инфраструктура за сеизмологија и земјотресно инженерство за Европа </w:t>
      </w:r>
    </w:p>
    <w:p w14:paraId="696E38DF" w14:textId="77777777" w:rsidR="007947BF" w:rsidRPr="008662BF" w:rsidRDefault="002F6BCF" w:rsidP="007947BF">
      <w:pPr>
        <w:pStyle w:val="ListParagraph"/>
        <w:numPr>
          <w:ilvl w:val="0"/>
          <w:numId w:val="2"/>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4488B49A" w14:textId="0ECA3BEA" w:rsidR="007947BF" w:rsidRPr="008662BF" w:rsidRDefault="00B66096" w:rsidP="00AF772C">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AF772C" w:rsidRPr="008662BF">
        <w:rPr>
          <w:lang w:val="mk-MK"/>
        </w:rPr>
        <w:t xml:space="preserve">Универзитет „Св. Кирил и Методиј“ </w:t>
      </w:r>
      <w:r w:rsidR="0092568E">
        <w:rPr>
          <w:lang w:val="mk-MK"/>
        </w:rPr>
        <w:t xml:space="preserve">- </w:t>
      </w:r>
      <w:r w:rsidR="00AF772C" w:rsidRPr="008662BF">
        <w:rPr>
          <w:lang w:val="mk-MK"/>
        </w:rPr>
        <w:t xml:space="preserve">Скопје, Институт за земјотресно инженерство и инженерска сеизмологија </w:t>
      </w:r>
      <w:r w:rsidR="007947BF" w:rsidRPr="008662BF">
        <w:rPr>
          <w:lang w:val="mk-MK"/>
        </w:rPr>
        <w:t>(200</w:t>
      </w:r>
      <w:r w:rsidR="0092568E">
        <w:rPr>
          <w:lang w:val="mk-MK"/>
        </w:rPr>
        <w:t>.</w:t>
      </w:r>
      <w:r w:rsidR="007947BF" w:rsidRPr="008662BF">
        <w:rPr>
          <w:lang w:val="mk-MK"/>
        </w:rPr>
        <w:t>000</w:t>
      </w:r>
      <w:r w:rsidR="00AF772C" w:rsidRPr="008662BF">
        <w:rPr>
          <w:lang w:val="mk-MK"/>
        </w:rPr>
        <w:t xml:space="preserve"> евра</w:t>
      </w:r>
      <w:r w:rsidR="007947BF" w:rsidRPr="008662BF">
        <w:rPr>
          <w:lang w:val="mk-MK"/>
        </w:rPr>
        <w:t>)</w:t>
      </w:r>
    </w:p>
    <w:p w14:paraId="4B855FDF" w14:textId="493F8EBA" w:rsidR="007947BF" w:rsidRPr="008662BF" w:rsidRDefault="002F6BCF" w:rsidP="007947BF">
      <w:pPr>
        <w:pStyle w:val="ListParagraph"/>
        <w:numPr>
          <w:ilvl w:val="0"/>
          <w:numId w:val="2"/>
        </w:numPr>
        <w:rPr>
          <w:lang w:val="mk-MK"/>
        </w:rPr>
      </w:pPr>
      <w:r w:rsidRPr="008662BF">
        <w:rPr>
          <w:b/>
          <w:lang w:val="mk-MK"/>
        </w:rPr>
        <w:t>Вкупен број партнерски организации</w:t>
      </w:r>
      <w:r w:rsidR="007947BF" w:rsidRPr="008662BF">
        <w:rPr>
          <w:lang w:val="mk-MK"/>
        </w:rPr>
        <w:t>: 31</w:t>
      </w:r>
    </w:p>
    <w:p w14:paraId="56BBC561" w14:textId="77777777" w:rsidR="007947BF" w:rsidRPr="008662BF" w:rsidRDefault="002F6BCF" w:rsidP="007947BF">
      <w:pPr>
        <w:pStyle w:val="ListParagraph"/>
        <w:numPr>
          <w:ilvl w:val="0"/>
          <w:numId w:val="2"/>
        </w:numPr>
        <w:rPr>
          <w:lang w:val="mk-MK"/>
        </w:rPr>
      </w:pPr>
      <w:r w:rsidRPr="008662BF">
        <w:rPr>
          <w:b/>
          <w:lang w:val="mk-MK"/>
        </w:rPr>
        <w:t>Период на спроведување на проектот</w:t>
      </w:r>
      <w:r w:rsidR="007947BF" w:rsidRPr="008662BF">
        <w:rPr>
          <w:lang w:val="mk-MK"/>
        </w:rPr>
        <w:t>: 01</w:t>
      </w:r>
      <w:r w:rsidR="00AF772C" w:rsidRPr="008662BF">
        <w:rPr>
          <w:lang w:val="mk-MK"/>
        </w:rPr>
        <w:t>.</w:t>
      </w:r>
      <w:r w:rsidR="007947BF" w:rsidRPr="008662BF">
        <w:rPr>
          <w:lang w:val="mk-MK"/>
        </w:rPr>
        <w:t>05</w:t>
      </w:r>
      <w:r w:rsidR="00AF772C" w:rsidRPr="008662BF">
        <w:rPr>
          <w:lang w:val="mk-MK"/>
        </w:rPr>
        <w:t>.</w:t>
      </w:r>
      <w:r w:rsidR="007947BF" w:rsidRPr="008662BF">
        <w:rPr>
          <w:lang w:val="mk-MK"/>
        </w:rPr>
        <w:t>2017 – 30</w:t>
      </w:r>
      <w:r w:rsidR="00AF772C" w:rsidRPr="008662BF">
        <w:rPr>
          <w:lang w:val="mk-MK"/>
        </w:rPr>
        <w:t>.</w:t>
      </w:r>
      <w:r w:rsidR="007947BF" w:rsidRPr="008662BF">
        <w:rPr>
          <w:lang w:val="mk-MK"/>
        </w:rPr>
        <w:t>04</w:t>
      </w:r>
      <w:r w:rsidR="00AF772C" w:rsidRPr="008662BF">
        <w:rPr>
          <w:lang w:val="mk-MK"/>
        </w:rPr>
        <w:t>.</w:t>
      </w:r>
      <w:r w:rsidR="007947BF" w:rsidRPr="008662BF">
        <w:rPr>
          <w:lang w:val="mk-MK"/>
        </w:rPr>
        <w:t>2020</w:t>
      </w:r>
    </w:p>
    <w:p w14:paraId="7C8FEC22" w14:textId="77777777" w:rsidR="00AF772C" w:rsidRDefault="002F6BCF" w:rsidP="007947BF">
      <w:pPr>
        <w:pStyle w:val="ListParagraph"/>
        <w:numPr>
          <w:ilvl w:val="0"/>
          <w:numId w:val="2"/>
        </w:numPr>
        <w:rPr>
          <w:lang w:val="mk-MK"/>
        </w:rPr>
      </w:pPr>
      <w:r w:rsidRPr="008662BF">
        <w:rPr>
          <w:b/>
          <w:lang w:val="mk-MK"/>
        </w:rPr>
        <w:t>Научна област</w:t>
      </w:r>
      <w:r w:rsidR="007947BF" w:rsidRPr="008662BF">
        <w:rPr>
          <w:lang w:val="mk-MK"/>
        </w:rPr>
        <w:t xml:space="preserve">: </w:t>
      </w:r>
      <w:r w:rsidR="00AF772C" w:rsidRPr="008662BF">
        <w:rPr>
          <w:lang w:val="mk-MK"/>
        </w:rPr>
        <w:t>Истражувачки инфраструктури</w:t>
      </w:r>
    </w:p>
    <w:p w14:paraId="3862C2A6" w14:textId="77777777" w:rsidR="00D606C0" w:rsidRDefault="00D606C0" w:rsidP="00417197">
      <w:pPr>
        <w:pStyle w:val="ListParagraph"/>
        <w:rPr>
          <w:lang w:val="mk-MK"/>
        </w:rPr>
      </w:pPr>
    </w:p>
    <w:p w14:paraId="3FD21C2B" w14:textId="77777777" w:rsidR="002A0BB4" w:rsidRPr="008662BF" w:rsidRDefault="002A0BB4" w:rsidP="002A0BB4">
      <w:pPr>
        <w:jc w:val="both"/>
        <w:rPr>
          <w:lang w:val="mk-MK"/>
        </w:rPr>
      </w:pPr>
      <w:r w:rsidRPr="008662BF">
        <w:rPr>
          <w:lang w:val="mk-MK"/>
        </w:rPr>
        <w:t>Алијансата за истражувачка инфраструктура за сеизмологија и земјотресно инженерство за Европа (SERA) претставуваше одговор на приоритетите</w:t>
      </w:r>
      <w:r w:rsidR="00CF0CE0">
        <w:rPr>
          <w:lang w:val="mk-MK"/>
        </w:rPr>
        <w:t xml:space="preserve"> што се</w:t>
      </w:r>
      <w:r w:rsidRPr="008662BF">
        <w:rPr>
          <w:lang w:val="mk-MK"/>
        </w:rPr>
        <w:t xml:space="preserve"> утврдени во повикот INFRAIA-01-2016-2017 </w:t>
      </w:r>
      <w:r w:rsidR="0092568E">
        <w:rPr>
          <w:lang w:val="mk-MK"/>
        </w:rPr>
        <w:t xml:space="preserve">- </w:t>
      </w:r>
      <w:r w:rsidRPr="008662BF">
        <w:rPr>
          <w:lang w:val="mk-MK"/>
        </w:rPr>
        <w:t>Истражувачка инфраструктура за опасност од земјотреси.</w:t>
      </w:r>
    </w:p>
    <w:p w14:paraId="7A8F6A7F" w14:textId="2653406D" w:rsidR="002A0BB4" w:rsidRPr="008662BF" w:rsidRDefault="002A0BB4" w:rsidP="002A0BB4">
      <w:pPr>
        <w:jc w:val="both"/>
        <w:rPr>
          <w:lang w:val="mk-MK"/>
        </w:rPr>
      </w:pPr>
      <w:r w:rsidRPr="008662BF">
        <w:rPr>
          <w:lang w:val="mk-MK"/>
        </w:rPr>
        <w:t>Главната цел на SERA беше да даде значаен придонес за подобрување на пристапот до податоци</w:t>
      </w:r>
      <w:r w:rsidR="00CF0CE0">
        <w:rPr>
          <w:lang w:val="mk-MK"/>
        </w:rPr>
        <w:t>те</w:t>
      </w:r>
      <w:r w:rsidRPr="008662BF">
        <w:rPr>
          <w:lang w:val="mk-MK"/>
        </w:rPr>
        <w:t>, услуги</w:t>
      </w:r>
      <w:r w:rsidR="00CF0CE0">
        <w:rPr>
          <w:lang w:val="mk-MK"/>
        </w:rPr>
        <w:t>те</w:t>
      </w:r>
      <w:r w:rsidRPr="008662BF">
        <w:rPr>
          <w:lang w:val="mk-MK"/>
        </w:rPr>
        <w:t xml:space="preserve"> и истражувачки</w:t>
      </w:r>
      <w:r w:rsidR="00CF0CE0">
        <w:rPr>
          <w:lang w:val="mk-MK"/>
        </w:rPr>
        <w:t>те</w:t>
      </w:r>
      <w:r w:rsidRPr="008662BF">
        <w:rPr>
          <w:lang w:val="mk-MK"/>
        </w:rPr>
        <w:t xml:space="preserve"> инфраструктури и да обезбеди решенија засновани на иновативно истражување и </w:t>
      </w:r>
      <w:r w:rsidR="00CF0CE0">
        <w:rPr>
          <w:lang w:val="mk-MK"/>
        </w:rPr>
        <w:t xml:space="preserve">на </w:t>
      </w:r>
      <w:r w:rsidRPr="008662BF">
        <w:rPr>
          <w:lang w:val="mk-MK"/>
        </w:rPr>
        <w:t>развој</w:t>
      </w:r>
      <w:r w:rsidR="00CF0CE0">
        <w:rPr>
          <w:lang w:val="mk-MK"/>
        </w:rPr>
        <w:t>от</w:t>
      </w:r>
      <w:r w:rsidRPr="008662BF">
        <w:rPr>
          <w:lang w:val="mk-MK"/>
        </w:rPr>
        <w:t xml:space="preserve"> во областа на сеизмологијата и земјотресното инженерство, </w:t>
      </w:r>
      <w:r w:rsidR="00CF0CE0">
        <w:rPr>
          <w:lang w:val="mk-MK"/>
        </w:rPr>
        <w:t>за</w:t>
      </w:r>
      <w:r w:rsidRPr="008662BF">
        <w:rPr>
          <w:lang w:val="mk-MK"/>
        </w:rPr>
        <w:t xml:space="preserve"> да се намали изложеноста на општеството на ризикот од природни и антропогени земјотреси.</w:t>
      </w:r>
    </w:p>
    <w:p w14:paraId="6AF571E9" w14:textId="62DB5AAE" w:rsidR="009771DE" w:rsidRPr="008662BF" w:rsidRDefault="009771DE" w:rsidP="007947BF">
      <w:pPr>
        <w:jc w:val="both"/>
        <w:rPr>
          <w:lang w:val="mk-MK"/>
        </w:rPr>
      </w:pPr>
      <w:r w:rsidRPr="008662BF">
        <w:rPr>
          <w:lang w:val="mk-MK"/>
        </w:rPr>
        <w:t>Главните активности на SERA беа следните: вклучување на заедниците од претходните успешни проекти вклуч</w:t>
      </w:r>
      <w:r w:rsidR="0092568E">
        <w:rPr>
          <w:lang w:val="mk-MK"/>
        </w:rPr>
        <w:t xml:space="preserve">ително и </w:t>
      </w:r>
      <w:r w:rsidRPr="008662BF">
        <w:rPr>
          <w:lang w:val="mk-MK"/>
        </w:rPr>
        <w:t>NERA и SERIES; обезбедување транснационален пристап до најголемата колекција на експериментални објекти од висока класа во земјотресното инженерство; обезбедување виртуелен пристап до главните податоци и про</w:t>
      </w:r>
      <w:r w:rsidR="0092568E">
        <w:rPr>
          <w:lang w:val="mk-MK"/>
        </w:rPr>
        <w:t xml:space="preserve">дукти </w:t>
      </w:r>
      <w:r w:rsidRPr="008662BF">
        <w:rPr>
          <w:lang w:val="mk-MK"/>
        </w:rPr>
        <w:t>во сеизмологијата и антропогената сеизмичност; промовирање на мултидисциплинарна</w:t>
      </w:r>
      <w:r w:rsidR="00CF0CE0">
        <w:rPr>
          <w:lang w:val="mk-MK"/>
        </w:rPr>
        <w:t>та</w:t>
      </w:r>
      <w:r w:rsidRPr="008662BF">
        <w:rPr>
          <w:lang w:val="mk-MK"/>
        </w:rPr>
        <w:t xml:space="preserve"> наука во областа на сеизмологијата, </w:t>
      </w:r>
      <w:r w:rsidR="00CF0CE0">
        <w:rPr>
          <w:lang w:val="mk-MK"/>
        </w:rPr>
        <w:t xml:space="preserve">на </w:t>
      </w:r>
      <w:r w:rsidRPr="008662BF">
        <w:rPr>
          <w:lang w:val="mk-MK"/>
        </w:rPr>
        <w:t>антропогената сеизмичност,</w:t>
      </w:r>
      <w:r w:rsidR="00CF0CE0">
        <w:rPr>
          <w:lang w:val="mk-MK"/>
        </w:rPr>
        <w:t xml:space="preserve"> на</w:t>
      </w:r>
      <w:r w:rsidRPr="008662BF">
        <w:rPr>
          <w:lang w:val="mk-MK"/>
        </w:rPr>
        <w:t xml:space="preserve"> </w:t>
      </w:r>
      <w:r w:rsidR="00113742">
        <w:rPr>
          <w:lang w:val="mk-MK"/>
        </w:rPr>
        <w:t xml:space="preserve">опсерваториите покрај раседи </w:t>
      </w:r>
      <w:r w:rsidRPr="008662BF">
        <w:rPr>
          <w:lang w:val="mk-MK"/>
        </w:rPr>
        <w:t>и</w:t>
      </w:r>
      <w:r w:rsidR="00CF0CE0">
        <w:rPr>
          <w:lang w:val="mk-MK"/>
        </w:rPr>
        <w:t xml:space="preserve"> на</w:t>
      </w:r>
      <w:r w:rsidRPr="008662BF">
        <w:rPr>
          <w:lang w:val="mk-MK"/>
        </w:rPr>
        <w:t xml:space="preserve"> длабоки</w:t>
      </w:r>
      <w:r w:rsidR="00113742">
        <w:rPr>
          <w:lang w:val="mk-MK"/>
        </w:rPr>
        <w:t>те</w:t>
      </w:r>
      <w:r w:rsidRPr="008662BF">
        <w:rPr>
          <w:lang w:val="mk-MK"/>
        </w:rPr>
        <w:t xml:space="preserve"> подземни лаборатории, за </w:t>
      </w:r>
      <w:r w:rsidR="000905FC">
        <w:rPr>
          <w:lang w:val="mk-MK"/>
        </w:rPr>
        <w:t xml:space="preserve">да се добијат </w:t>
      </w:r>
      <w:r w:rsidRPr="008662BF">
        <w:rPr>
          <w:lang w:val="mk-MK"/>
        </w:rPr>
        <w:t>подобр</w:t>
      </w:r>
      <w:r w:rsidR="000905FC">
        <w:rPr>
          <w:lang w:val="mk-MK"/>
        </w:rPr>
        <w:t xml:space="preserve">и сознанија за </w:t>
      </w:r>
      <w:r w:rsidRPr="008662BF">
        <w:rPr>
          <w:lang w:val="mk-MK"/>
        </w:rPr>
        <w:t>појавата на земјотреси</w:t>
      </w:r>
      <w:r w:rsidR="00CF0CE0">
        <w:rPr>
          <w:lang w:val="mk-MK"/>
        </w:rPr>
        <w:t>те</w:t>
      </w:r>
      <w:r w:rsidRPr="008662BF">
        <w:rPr>
          <w:lang w:val="mk-MK"/>
        </w:rPr>
        <w:t xml:space="preserve">; ревидирање на европскиот референтен модел за сеизмичка опасност што треба да се земе предвид при тековната ревизија на Еврокод 8; развој на првата сеопфатна рамка за моделирање </w:t>
      </w:r>
      <w:r w:rsidRPr="008662BF">
        <w:rPr>
          <w:lang w:val="mk-MK"/>
        </w:rPr>
        <w:lastRenderedPageBreak/>
        <w:t>на сеизмички ризик на европско ниво; развој на нови стандарди за идни</w:t>
      </w:r>
      <w:r w:rsidR="00CF0CE0">
        <w:rPr>
          <w:lang w:val="mk-MK"/>
        </w:rPr>
        <w:t>те</w:t>
      </w:r>
      <w:r w:rsidRPr="008662BF">
        <w:rPr>
          <w:lang w:val="mk-MK"/>
        </w:rPr>
        <w:t xml:space="preserve"> експериментални набљудувања во земјотресното инженерство и за дизајнирање на идни</w:t>
      </w:r>
      <w:r w:rsidR="00CF0CE0">
        <w:rPr>
          <w:lang w:val="mk-MK"/>
        </w:rPr>
        <w:t>те</w:t>
      </w:r>
      <w:r w:rsidRPr="008662BF">
        <w:rPr>
          <w:lang w:val="mk-MK"/>
        </w:rPr>
        <w:t xml:space="preserve"> инструменти и мрежи за набљудувачка сеизмологија; развој на сигурни методологии за процена на тресење и оштетување во реално време; проширување на пристапот до сеизмолошки набљудувања; мрежни инфраструктури и заедници во областите на длабоко сеизмичко сондирање, експериментално инженерство за земјотреси и карактеризација на локацијата; важен придонес во изградбата и валидацијата на EPOS; обезбедување ефективна комуникација и </w:t>
      </w:r>
      <w:r w:rsidR="000905FC">
        <w:rPr>
          <w:lang w:val="mk-MK"/>
        </w:rPr>
        <w:t xml:space="preserve">опфат на </w:t>
      </w:r>
      <w:r w:rsidRPr="008662BF">
        <w:rPr>
          <w:lang w:val="mk-MK"/>
        </w:rPr>
        <w:t>сите засегнати страни.</w:t>
      </w:r>
    </w:p>
    <w:p w14:paraId="651FE783"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8. BELLA-S1: </w:t>
      </w:r>
      <w:r w:rsidR="00420427">
        <w:rPr>
          <w:rFonts w:asciiTheme="minorHAnsi" w:hAnsiTheme="minorHAnsi"/>
          <w:lang w:val="mk-MK"/>
        </w:rPr>
        <w:t xml:space="preserve">Поврзување на </w:t>
      </w:r>
      <w:r w:rsidR="009771DE" w:rsidRPr="008662BF">
        <w:rPr>
          <w:rFonts w:asciiTheme="minorHAnsi" w:hAnsiTheme="minorHAnsi"/>
          <w:lang w:val="mk-MK"/>
        </w:rPr>
        <w:t xml:space="preserve">Европа со Латинска Америка </w:t>
      </w:r>
    </w:p>
    <w:p w14:paraId="14016DC6" w14:textId="77777777" w:rsidR="007947BF" w:rsidRPr="008662BF" w:rsidRDefault="002F6BCF" w:rsidP="007947BF">
      <w:pPr>
        <w:pStyle w:val="ListParagraph"/>
        <w:numPr>
          <w:ilvl w:val="0"/>
          <w:numId w:val="2"/>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15DD0EF6" w14:textId="029B25B4" w:rsidR="007947BF" w:rsidRPr="008662BF" w:rsidRDefault="00B66096" w:rsidP="009771DE">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009771DE" w:rsidRPr="008662BF">
        <w:rPr>
          <w:lang w:val="mk-MK"/>
        </w:rPr>
        <w:t>: Македонск</w:t>
      </w:r>
      <w:r w:rsidR="00420427">
        <w:rPr>
          <w:lang w:val="mk-MK"/>
        </w:rPr>
        <w:t xml:space="preserve">а академска истражувачка мрежа - </w:t>
      </w:r>
      <w:r w:rsidR="009771DE" w:rsidRPr="008662BF">
        <w:rPr>
          <w:lang w:val="mk-MK"/>
        </w:rPr>
        <w:t xml:space="preserve">Скопје </w:t>
      </w:r>
      <w:r w:rsidR="007947BF" w:rsidRPr="008662BF">
        <w:rPr>
          <w:lang w:val="mk-MK"/>
        </w:rPr>
        <w:t>(€ 0)</w:t>
      </w:r>
    </w:p>
    <w:p w14:paraId="5C93B886" w14:textId="1432B130" w:rsidR="007947BF" w:rsidRPr="008662BF" w:rsidRDefault="002F6BCF" w:rsidP="007947BF">
      <w:pPr>
        <w:pStyle w:val="ListParagraph"/>
        <w:numPr>
          <w:ilvl w:val="0"/>
          <w:numId w:val="2"/>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007947BF" w:rsidRPr="008662BF">
        <w:rPr>
          <w:lang w:val="mk-MK"/>
        </w:rPr>
        <w:t>: 40</w:t>
      </w:r>
    </w:p>
    <w:p w14:paraId="2A1ADF9F" w14:textId="77777777" w:rsidR="007947BF" w:rsidRPr="008662BF" w:rsidRDefault="002F6BCF" w:rsidP="007947BF">
      <w:pPr>
        <w:pStyle w:val="ListParagraph"/>
        <w:numPr>
          <w:ilvl w:val="0"/>
          <w:numId w:val="2"/>
        </w:numPr>
        <w:rPr>
          <w:lang w:val="mk-MK"/>
        </w:rPr>
      </w:pPr>
      <w:r w:rsidRPr="008662BF">
        <w:rPr>
          <w:b/>
          <w:lang w:val="mk-MK"/>
        </w:rPr>
        <w:t>Период на спроведување на проектот</w:t>
      </w:r>
      <w:r w:rsidR="007947BF" w:rsidRPr="008662BF">
        <w:rPr>
          <w:lang w:val="mk-MK"/>
        </w:rPr>
        <w:t>: 01</w:t>
      </w:r>
      <w:r w:rsidR="009771DE" w:rsidRPr="008662BF">
        <w:rPr>
          <w:lang w:val="mk-MK"/>
        </w:rPr>
        <w:t>.</w:t>
      </w:r>
      <w:r w:rsidR="007947BF" w:rsidRPr="008662BF">
        <w:rPr>
          <w:lang w:val="mk-MK"/>
        </w:rPr>
        <w:t>05</w:t>
      </w:r>
      <w:r w:rsidR="009771DE" w:rsidRPr="008662BF">
        <w:rPr>
          <w:lang w:val="mk-MK"/>
        </w:rPr>
        <w:t>.</w:t>
      </w:r>
      <w:r w:rsidR="007947BF" w:rsidRPr="008662BF">
        <w:rPr>
          <w:lang w:val="mk-MK"/>
        </w:rPr>
        <w:t>2016 – 30</w:t>
      </w:r>
      <w:r w:rsidR="009771DE" w:rsidRPr="008662BF">
        <w:rPr>
          <w:lang w:val="mk-MK"/>
        </w:rPr>
        <w:t>.</w:t>
      </w:r>
      <w:r w:rsidR="007947BF" w:rsidRPr="008662BF">
        <w:rPr>
          <w:lang w:val="mk-MK"/>
        </w:rPr>
        <w:t>04</w:t>
      </w:r>
      <w:r w:rsidR="009771DE" w:rsidRPr="008662BF">
        <w:rPr>
          <w:lang w:val="mk-MK"/>
        </w:rPr>
        <w:t>.2</w:t>
      </w:r>
      <w:r w:rsidR="007947BF" w:rsidRPr="008662BF">
        <w:rPr>
          <w:lang w:val="mk-MK"/>
        </w:rPr>
        <w:t>019</w:t>
      </w:r>
    </w:p>
    <w:p w14:paraId="6401A2AA" w14:textId="77777777" w:rsidR="009771DE" w:rsidRPr="008662BF" w:rsidRDefault="002F6BCF" w:rsidP="007947BF">
      <w:pPr>
        <w:pStyle w:val="ListParagraph"/>
        <w:numPr>
          <w:ilvl w:val="0"/>
          <w:numId w:val="2"/>
        </w:numPr>
        <w:rPr>
          <w:lang w:val="mk-MK"/>
        </w:rPr>
      </w:pPr>
      <w:r w:rsidRPr="008662BF">
        <w:rPr>
          <w:b/>
          <w:lang w:val="mk-MK"/>
        </w:rPr>
        <w:t>Научна област</w:t>
      </w:r>
      <w:r w:rsidR="009771DE" w:rsidRPr="008662BF">
        <w:rPr>
          <w:lang w:val="mk-MK"/>
        </w:rPr>
        <w:t>: Истражувачки инфраструктури</w:t>
      </w:r>
    </w:p>
    <w:p w14:paraId="2DCA2DAC" w14:textId="2A9A3816" w:rsidR="00577722" w:rsidRPr="008662BF" w:rsidRDefault="00577722" w:rsidP="007947BF">
      <w:pPr>
        <w:jc w:val="both"/>
        <w:rPr>
          <w:lang w:val="mk-MK"/>
        </w:rPr>
      </w:pPr>
      <w:r w:rsidRPr="008662BF">
        <w:rPr>
          <w:lang w:val="mk-MK"/>
        </w:rPr>
        <w:t xml:space="preserve">Проектот BELLA-S1 </w:t>
      </w:r>
      <w:r w:rsidR="00DD271C">
        <w:rPr>
          <w:lang w:val="mk-MK"/>
        </w:rPr>
        <w:t>требаше</w:t>
      </w:r>
      <w:r w:rsidRPr="008662BF">
        <w:rPr>
          <w:lang w:val="mk-MK"/>
        </w:rPr>
        <w:t xml:space="preserve"> да ги обезбеди долгорочните потреби за меѓусебна поврзаност на европските и латиноамериканските истражувачки и образовни мрежи. Целта беше да се зајакне поврзаноста со Латинска Америка со што се обезбед</w:t>
      </w:r>
      <w:r w:rsidR="00DD271C">
        <w:rPr>
          <w:lang w:val="mk-MK"/>
        </w:rPr>
        <w:t xml:space="preserve">ува </w:t>
      </w:r>
      <w:r w:rsidR="00DD271C">
        <w:rPr>
          <w:rFonts w:cstheme="minorHAnsi"/>
          <w:lang w:val="mk-MK"/>
        </w:rPr>
        <w:t>–</w:t>
      </w:r>
      <w:r w:rsidR="00420427">
        <w:rPr>
          <w:lang w:val="mk-MK"/>
        </w:rPr>
        <w:t xml:space="preserve"> </w:t>
      </w:r>
      <w:r w:rsidRPr="008662BF">
        <w:rPr>
          <w:lang w:val="mk-MK"/>
        </w:rPr>
        <w:t>многу висок</w:t>
      </w:r>
      <w:r w:rsidR="00DD271C">
        <w:rPr>
          <w:lang w:val="mk-MK"/>
        </w:rPr>
        <w:t xml:space="preserve"> </w:t>
      </w:r>
      <w:r w:rsidRPr="008662BF">
        <w:rPr>
          <w:lang w:val="mk-MK"/>
        </w:rPr>
        <w:t>капацитет, економичност и најкраток можен пат, а истовремено се поттикн</w:t>
      </w:r>
      <w:r w:rsidR="00DD271C">
        <w:rPr>
          <w:lang w:val="mk-MK"/>
        </w:rPr>
        <w:t>ува</w:t>
      </w:r>
      <w:r w:rsidRPr="008662BF">
        <w:rPr>
          <w:lang w:val="mk-MK"/>
        </w:rPr>
        <w:t xml:space="preserve"> различноста во трансатлантскиот сегмент. Спроведени се две фази на проектот: </w:t>
      </w:r>
      <w:r w:rsidR="00DD271C">
        <w:rPr>
          <w:lang w:val="mk-MK"/>
        </w:rPr>
        <w:t xml:space="preserve">со </w:t>
      </w:r>
      <w:r w:rsidRPr="008662BF">
        <w:rPr>
          <w:lang w:val="mk-MK"/>
        </w:rPr>
        <w:t xml:space="preserve">првата фаза обезбеди неприкосновено право на користење </w:t>
      </w:r>
      <w:r w:rsidR="00420427">
        <w:rPr>
          <w:lang w:val="mk-MK"/>
        </w:rPr>
        <w:t xml:space="preserve">на </w:t>
      </w:r>
      <w:r w:rsidRPr="008662BF">
        <w:rPr>
          <w:lang w:val="mk-MK"/>
        </w:rPr>
        <w:t xml:space="preserve">дел од спектарот на директниот подморски телекомуникациски кабел меѓу Европа и Латинска Америка; </w:t>
      </w:r>
      <w:r w:rsidR="00DD271C">
        <w:rPr>
          <w:lang w:val="mk-MK"/>
        </w:rPr>
        <w:t xml:space="preserve">во </w:t>
      </w:r>
      <w:r w:rsidRPr="008662BF">
        <w:rPr>
          <w:lang w:val="mk-MK"/>
        </w:rPr>
        <w:t xml:space="preserve">втората фаза се </w:t>
      </w:r>
      <w:r w:rsidR="00DD271C">
        <w:rPr>
          <w:lang w:val="mk-MK"/>
        </w:rPr>
        <w:t xml:space="preserve">обезбеди </w:t>
      </w:r>
      <w:r w:rsidRPr="008662BF">
        <w:rPr>
          <w:lang w:val="mk-MK"/>
        </w:rPr>
        <w:t>додел</w:t>
      </w:r>
      <w:r w:rsidR="00DD271C">
        <w:rPr>
          <w:lang w:val="mk-MK"/>
        </w:rPr>
        <w:t>ување на</w:t>
      </w:r>
      <w:r w:rsidRPr="008662BF">
        <w:rPr>
          <w:lang w:val="mk-MK"/>
        </w:rPr>
        <w:t xml:space="preserve"> една или</w:t>
      </w:r>
      <w:r w:rsidR="00DD271C">
        <w:rPr>
          <w:lang w:val="mk-MK"/>
        </w:rPr>
        <w:t xml:space="preserve"> на</w:t>
      </w:r>
      <w:r w:rsidRPr="008662BF">
        <w:rPr>
          <w:lang w:val="mk-MK"/>
        </w:rPr>
        <w:t xml:space="preserve"> повеќе бранови должини, според потребата, на спектарот што е набавен за меѓусебно поврзување на мрежите GÉANT и RedCLARA и </w:t>
      </w:r>
      <w:r w:rsidR="00420427">
        <w:rPr>
          <w:lang w:val="mk-MK"/>
        </w:rPr>
        <w:t xml:space="preserve">се </w:t>
      </w:r>
      <w:r w:rsidRPr="008662BF">
        <w:rPr>
          <w:lang w:val="mk-MK"/>
        </w:rPr>
        <w:t>обезбед</w:t>
      </w:r>
      <w:r w:rsidR="00DD271C">
        <w:rPr>
          <w:lang w:val="mk-MK"/>
        </w:rPr>
        <w:t>ија</w:t>
      </w:r>
      <w:r w:rsidR="00420427">
        <w:rPr>
          <w:lang w:val="mk-MK"/>
        </w:rPr>
        <w:t xml:space="preserve"> </w:t>
      </w:r>
      <w:r w:rsidRPr="008662BF">
        <w:rPr>
          <w:lang w:val="mk-MK"/>
        </w:rPr>
        <w:t>потребите за интерконтинентално поврзување на европските и латиноамериканските истражувачки и образовни заедници.</w:t>
      </w:r>
    </w:p>
    <w:p w14:paraId="4046F820" w14:textId="77777777" w:rsidR="007947BF" w:rsidRPr="008662BF" w:rsidRDefault="007947BF" w:rsidP="007947BF">
      <w:pPr>
        <w:pStyle w:val="Heading4"/>
        <w:ind w:firstLine="360"/>
        <w:rPr>
          <w:rFonts w:asciiTheme="minorHAnsi" w:hAnsiTheme="minorHAnsi"/>
          <w:lang w:val="mk-MK"/>
        </w:rPr>
      </w:pPr>
      <w:r w:rsidRPr="008662BF">
        <w:rPr>
          <w:rFonts w:asciiTheme="minorHAnsi" w:hAnsiTheme="minorHAnsi"/>
          <w:lang w:val="mk-MK"/>
        </w:rPr>
        <w:t>9. NI4OS-</w:t>
      </w:r>
      <w:r w:rsidR="00577722" w:rsidRPr="008662BF">
        <w:rPr>
          <w:rFonts w:asciiTheme="minorHAnsi" w:hAnsiTheme="minorHAnsi"/>
          <w:lang w:val="mk-MK"/>
        </w:rPr>
        <w:t xml:space="preserve">Европа: Национални иницијативи за отворена наука во Европа </w:t>
      </w:r>
    </w:p>
    <w:p w14:paraId="7DA9B8E4" w14:textId="77777777" w:rsidR="007947BF" w:rsidRPr="008662BF" w:rsidRDefault="002F6BCF" w:rsidP="007947BF">
      <w:pPr>
        <w:pStyle w:val="ListParagraph"/>
        <w:numPr>
          <w:ilvl w:val="0"/>
          <w:numId w:val="2"/>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7326F7CA" w14:textId="0F238999" w:rsidR="007947BF" w:rsidRPr="008662BF" w:rsidRDefault="00B66096" w:rsidP="00577722">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577722" w:rsidRPr="008662BF">
        <w:rPr>
          <w:lang w:val="mk-MK"/>
        </w:rPr>
        <w:t xml:space="preserve">Универзитет „Св. Кирил и Методиј“ - Скопје, ФИНКИ </w:t>
      </w:r>
      <w:r w:rsidR="007947BF" w:rsidRPr="008662BF">
        <w:rPr>
          <w:lang w:val="mk-MK"/>
        </w:rPr>
        <w:t>(273</w:t>
      </w:r>
      <w:r w:rsidR="00577722" w:rsidRPr="008662BF">
        <w:rPr>
          <w:lang w:val="mk-MK"/>
        </w:rPr>
        <w:t>.</w:t>
      </w:r>
      <w:r w:rsidR="007947BF" w:rsidRPr="008662BF">
        <w:rPr>
          <w:lang w:val="mk-MK"/>
        </w:rPr>
        <w:t>170</w:t>
      </w:r>
      <w:r w:rsidR="00577722" w:rsidRPr="008662BF">
        <w:rPr>
          <w:lang w:val="mk-MK"/>
        </w:rPr>
        <w:t xml:space="preserve"> евра</w:t>
      </w:r>
      <w:r w:rsidR="007947BF" w:rsidRPr="008662BF">
        <w:rPr>
          <w:lang w:val="mk-MK"/>
        </w:rPr>
        <w:t>)</w:t>
      </w:r>
    </w:p>
    <w:p w14:paraId="38FCEF0D" w14:textId="79666D32" w:rsidR="007947BF" w:rsidRPr="008662BF" w:rsidRDefault="002F6BCF" w:rsidP="007947BF">
      <w:pPr>
        <w:pStyle w:val="ListParagraph"/>
        <w:numPr>
          <w:ilvl w:val="0"/>
          <w:numId w:val="2"/>
        </w:numPr>
        <w:rPr>
          <w:lang w:val="mk-MK"/>
        </w:rPr>
      </w:pPr>
      <w:r w:rsidRPr="008662BF">
        <w:rPr>
          <w:b/>
          <w:lang w:val="mk-MK"/>
        </w:rPr>
        <w:t>Вкупен бро партнерски организации</w:t>
      </w:r>
      <w:r w:rsidR="007947BF" w:rsidRPr="008662BF">
        <w:rPr>
          <w:lang w:val="mk-MK"/>
        </w:rPr>
        <w:t>: 22</w:t>
      </w:r>
    </w:p>
    <w:p w14:paraId="5A6BAA80" w14:textId="77777777" w:rsidR="007947BF" w:rsidRPr="008662BF" w:rsidRDefault="002F6BCF" w:rsidP="007947BF">
      <w:pPr>
        <w:pStyle w:val="ListParagraph"/>
        <w:numPr>
          <w:ilvl w:val="0"/>
          <w:numId w:val="2"/>
        </w:numPr>
        <w:rPr>
          <w:lang w:val="mk-MK"/>
        </w:rPr>
      </w:pPr>
      <w:r w:rsidRPr="008662BF">
        <w:rPr>
          <w:b/>
          <w:lang w:val="mk-MK"/>
        </w:rPr>
        <w:t>Период на спроведување на проектот</w:t>
      </w:r>
      <w:r w:rsidR="007947BF" w:rsidRPr="008662BF">
        <w:rPr>
          <w:lang w:val="mk-MK"/>
        </w:rPr>
        <w:t>: 01</w:t>
      </w:r>
      <w:r w:rsidR="00577722" w:rsidRPr="008662BF">
        <w:rPr>
          <w:lang w:val="mk-MK"/>
        </w:rPr>
        <w:t>.</w:t>
      </w:r>
      <w:r w:rsidR="007947BF" w:rsidRPr="008662BF">
        <w:rPr>
          <w:lang w:val="mk-MK"/>
        </w:rPr>
        <w:t>09</w:t>
      </w:r>
      <w:r w:rsidR="00577722" w:rsidRPr="008662BF">
        <w:rPr>
          <w:lang w:val="mk-MK"/>
        </w:rPr>
        <w:t>.</w:t>
      </w:r>
      <w:r w:rsidR="007947BF" w:rsidRPr="008662BF">
        <w:rPr>
          <w:lang w:val="mk-MK"/>
        </w:rPr>
        <w:t>2019 – 28</w:t>
      </w:r>
      <w:r w:rsidR="00577722" w:rsidRPr="008662BF">
        <w:rPr>
          <w:lang w:val="mk-MK"/>
        </w:rPr>
        <w:t>.</w:t>
      </w:r>
      <w:r w:rsidR="007947BF" w:rsidRPr="008662BF">
        <w:rPr>
          <w:lang w:val="mk-MK"/>
        </w:rPr>
        <w:t>02</w:t>
      </w:r>
      <w:r w:rsidR="00577722" w:rsidRPr="008662BF">
        <w:rPr>
          <w:lang w:val="mk-MK"/>
        </w:rPr>
        <w:t>.</w:t>
      </w:r>
      <w:r w:rsidR="007947BF" w:rsidRPr="008662BF">
        <w:rPr>
          <w:lang w:val="mk-MK"/>
        </w:rPr>
        <w:t>2023</w:t>
      </w:r>
    </w:p>
    <w:p w14:paraId="6F78D61A" w14:textId="77777777" w:rsidR="00577722" w:rsidRPr="008662BF" w:rsidRDefault="002F6BCF" w:rsidP="007947BF">
      <w:pPr>
        <w:pStyle w:val="ListParagraph"/>
        <w:numPr>
          <w:ilvl w:val="0"/>
          <w:numId w:val="2"/>
        </w:numPr>
        <w:rPr>
          <w:lang w:val="mk-MK"/>
        </w:rPr>
      </w:pPr>
      <w:r w:rsidRPr="008662BF">
        <w:rPr>
          <w:b/>
          <w:lang w:val="mk-MK"/>
        </w:rPr>
        <w:t>Научна област</w:t>
      </w:r>
      <w:r w:rsidR="00420427">
        <w:rPr>
          <w:lang w:val="mk-MK"/>
        </w:rPr>
        <w:t>: и</w:t>
      </w:r>
      <w:r w:rsidR="00577722" w:rsidRPr="008662BF">
        <w:rPr>
          <w:lang w:val="mk-MK"/>
        </w:rPr>
        <w:t xml:space="preserve">стражувачки инфраструктури </w:t>
      </w:r>
    </w:p>
    <w:p w14:paraId="09BA88FA" w14:textId="697802C2" w:rsidR="00193EDF" w:rsidRPr="008662BF" w:rsidRDefault="00193EDF" w:rsidP="00193EDF">
      <w:pPr>
        <w:jc w:val="both"/>
        <w:rPr>
          <w:lang w:val="mk-MK"/>
        </w:rPr>
      </w:pPr>
      <w:r w:rsidRPr="008662BF">
        <w:rPr>
          <w:lang w:val="mk-MK"/>
        </w:rPr>
        <w:t>Мисијата и визијата на проектот е</w:t>
      </w:r>
      <w:r w:rsidR="00DD271C">
        <w:rPr>
          <w:lang w:val="mk-MK"/>
        </w:rPr>
        <w:t xml:space="preserve"> тој</w:t>
      </w:r>
      <w:r w:rsidRPr="008662BF">
        <w:rPr>
          <w:lang w:val="mk-MK"/>
        </w:rPr>
        <w:t xml:space="preserve"> да биде </w:t>
      </w:r>
      <w:r w:rsidR="00420427">
        <w:rPr>
          <w:lang w:val="mk-MK"/>
        </w:rPr>
        <w:t xml:space="preserve">главен </w:t>
      </w:r>
      <w:r w:rsidR="00AA5317">
        <w:rPr>
          <w:lang w:val="mk-MK"/>
        </w:rPr>
        <w:t xml:space="preserve">придонесувач </w:t>
      </w:r>
      <w:r w:rsidRPr="008662BF">
        <w:rPr>
          <w:lang w:val="mk-MK"/>
        </w:rPr>
        <w:t>во портфолио</w:t>
      </w:r>
      <w:r w:rsidR="00420427">
        <w:rPr>
          <w:lang w:val="mk-MK"/>
        </w:rPr>
        <w:t>то</w:t>
      </w:r>
      <w:r w:rsidRPr="008662BF">
        <w:rPr>
          <w:lang w:val="mk-MK"/>
        </w:rPr>
        <w:t xml:space="preserve"> на услуги на Европскиот облак за отворена наука (EOSC), да се посвети на управувањето на EOSC и да обезбеди инклузивност на европско ниво.</w:t>
      </w:r>
    </w:p>
    <w:p w14:paraId="54259717" w14:textId="3C0EC663" w:rsidR="00193EDF" w:rsidRPr="008662BF" w:rsidRDefault="00193EDF" w:rsidP="00193EDF">
      <w:pPr>
        <w:jc w:val="both"/>
        <w:rPr>
          <w:lang w:val="mk-MK"/>
        </w:rPr>
      </w:pPr>
      <w:r w:rsidRPr="008662BF">
        <w:rPr>
          <w:lang w:val="mk-MK"/>
        </w:rPr>
        <w:t>Целта на проектот е да г</w:t>
      </w:r>
      <w:r w:rsidR="00DD271C">
        <w:rPr>
          <w:lang w:val="mk-MK"/>
        </w:rPr>
        <w:t>и</w:t>
      </w:r>
      <w:r w:rsidRPr="008662BF">
        <w:rPr>
          <w:lang w:val="mk-MK"/>
        </w:rPr>
        <w:t xml:space="preserve"> поддржи развојот и вклучувањето на националните иницијативи за облак за отворена наука во 15 земји членки и </w:t>
      </w:r>
      <w:r w:rsidR="00DD271C">
        <w:rPr>
          <w:lang w:val="mk-MK"/>
        </w:rPr>
        <w:t xml:space="preserve">во </w:t>
      </w:r>
      <w:r w:rsidRPr="008662BF">
        <w:rPr>
          <w:lang w:val="mk-MK"/>
        </w:rPr>
        <w:t xml:space="preserve">придружните земји во целокупната шема на управување со EOSC; ширење на EOSC и принципите </w:t>
      </w:r>
      <w:r w:rsidR="006D2D06" w:rsidRPr="008662BF">
        <w:rPr>
          <w:lang w:val="mk-MK"/>
        </w:rPr>
        <w:t xml:space="preserve">FAIR </w:t>
      </w:r>
      <w:r w:rsidRPr="008662BF">
        <w:rPr>
          <w:lang w:val="mk-MK"/>
        </w:rPr>
        <w:t>во заедницата и нејзина обука; и да обезбеди техничка и политичка поддршка при вклучувањето на постојните и</w:t>
      </w:r>
      <w:r w:rsidR="00DD271C">
        <w:rPr>
          <w:lang w:val="mk-MK"/>
        </w:rPr>
        <w:t xml:space="preserve"> на</w:t>
      </w:r>
      <w:r w:rsidRPr="008662BF">
        <w:rPr>
          <w:lang w:val="mk-MK"/>
        </w:rPr>
        <w:t xml:space="preserve"> идните даватели на услуги во EOSC, вклучително и </w:t>
      </w:r>
      <w:r w:rsidR="00DD271C">
        <w:rPr>
          <w:lang w:val="mk-MK"/>
        </w:rPr>
        <w:t xml:space="preserve">на </w:t>
      </w:r>
      <w:r w:rsidRPr="008662BF">
        <w:rPr>
          <w:lang w:val="mk-MK"/>
        </w:rPr>
        <w:t>генерички</w:t>
      </w:r>
      <w:r w:rsidR="00DD271C">
        <w:rPr>
          <w:lang w:val="mk-MK"/>
        </w:rPr>
        <w:t>те</w:t>
      </w:r>
      <w:r w:rsidRPr="008662BF">
        <w:rPr>
          <w:lang w:val="mk-MK"/>
        </w:rPr>
        <w:t xml:space="preserve"> услуги (пресметување, складирање податоци, управување со податоци), тематски</w:t>
      </w:r>
      <w:r w:rsidR="00DD271C">
        <w:rPr>
          <w:lang w:val="mk-MK"/>
        </w:rPr>
        <w:t>те</w:t>
      </w:r>
      <w:r w:rsidRPr="008662BF">
        <w:rPr>
          <w:lang w:val="mk-MK"/>
        </w:rPr>
        <w:t xml:space="preserve"> услуги, складишта</w:t>
      </w:r>
      <w:r w:rsidR="00DD271C">
        <w:rPr>
          <w:lang w:val="mk-MK"/>
        </w:rPr>
        <w:t>та</w:t>
      </w:r>
      <w:r w:rsidRPr="008662BF">
        <w:rPr>
          <w:lang w:val="mk-MK"/>
        </w:rPr>
        <w:t xml:space="preserve"> и збирки</w:t>
      </w:r>
      <w:r w:rsidR="00DD271C">
        <w:rPr>
          <w:lang w:val="mk-MK"/>
        </w:rPr>
        <w:t>те</w:t>
      </w:r>
      <w:r w:rsidRPr="008662BF">
        <w:rPr>
          <w:lang w:val="mk-MK"/>
        </w:rPr>
        <w:t xml:space="preserve"> податоци - со што се покрива целиот</w:t>
      </w:r>
      <w:r w:rsidR="00AA5317">
        <w:rPr>
          <w:lang w:val="mk-MK"/>
        </w:rPr>
        <w:t xml:space="preserve"> спектар на услуги поврзани со о</w:t>
      </w:r>
      <w:r w:rsidRPr="008662BF">
        <w:rPr>
          <w:lang w:val="mk-MK"/>
        </w:rPr>
        <w:t>творена</w:t>
      </w:r>
      <w:r w:rsidR="00AA5317">
        <w:rPr>
          <w:lang w:val="mk-MK"/>
        </w:rPr>
        <w:t>та</w:t>
      </w:r>
      <w:r w:rsidRPr="008662BF">
        <w:rPr>
          <w:lang w:val="mk-MK"/>
        </w:rPr>
        <w:t xml:space="preserve"> наука, </w:t>
      </w:r>
      <w:r w:rsidR="00DD271C">
        <w:rPr>
          <w:lang w:val="mk-MK"/>
        </w:rPr>
        <w:t xml:space="preserve">со </w:t>
      </w:r>
      <w:r w:rsidRPr="008662BF">
        <w:rPr>
          <w:lang w:val="mk-MK"/>
        </w:rPr>
        <w:t>податоци</w:t>
      </w:r>
      <w:r w:rsidR="00DD271C">
        <w:rPr>
          <w:lang w:val="mk-MK"/>
        </w:rPr>
        <w:t>те</w:t>
      </w:r>
      <w:r w:rsidRPr="008662BF">
        <w:rPr>
          <w:lang w:val="mk-MK"/>
        </w:rPr>
        <w:t xml:space="preserve"> и публикации</w:t>
      </w:r>
      <w:r w:rsidR="00DD271C">
        <w:rPr>
          <w:lang w:val="mk-MK"/>
        </w:rPr>
        <w:t>те</w:t>
      </w:r>
      <w:r w:rsidRPr="008662BF">
        <w:rPr>
          <w:lang w:val="mk-MK"/>
        </w:rPr>
        <w:t xml:space="preserve">. </w:t>
      </w:r>
    </w:p>
    <w:p w14:paraId="41223701" w14:textId="2CBCBFC2" w:rsidR="00621FAB" w:rsidRPr="008662BF" w:rsidRDefault="00621FAB" w:rsidP="00621FAB">
      <w:pPr>
        <w:jc w:val="both"/>
        <w:rPr>
          <w:lang w:val="mk-MK"/>
        </w:rPr>
      </w:pPr>
      <w:r w:rsidRPr="008662BF">
        <w:rPr>
          <w:lang w:val="mk-MK"/>
        </w:rPr>
        <w:lastRenderedPageBreak/>
        <w:t xml:space="preserve">Општиот пристап е дека националниот </w:t>
      </w:r>
      <w:r w:rsidR="00A71507">
        <w:rPr>
          <w:lang w:val="mk-MK"/>
        </w:rPr>
        <w:t xml:space="preserve">контекст </w:t>
      </w:r>
      <w:r w:rsidRPr="008662BF">
        <w:rPr>
          <w:lang w:val="mk-MK"/>
        </w:rPr>
        <w:t xml:space="preserve">за отворена наука во сите земји </w:t>
      </w:r>
      <w:r w:rsidR="002D488F">
        <w:rPr>
          <w:lang w:val="mk-MK"/>
        </w:rPr>
        <w:t xml:space="preserve">треба да се </w:t>
      </w:r>
      <w:r w:rsidRPr="008662BF">
        <w:rPr>
          <w:lang w:val="mk-MK"/>
        </w:rPr>
        <w:t xml:space="preserve">мапира, анализира и систематизира за да се олесни </w:t>
      </w:r>
      <w:r w:rsidR="002D488F">
        <w:rPr>
          <w:lang w:val="mk-MK"/>
        </w:rPr>
        <w:t xml:space="preserve">формирањето на </w:t>
      </w:r>
      <w:r w:rsidRPr="008662BF">
        <w:rPr>
          <w:lang w:val="mk-MK"/>
        </w:rPr>
        <w:t xml:space="preserve">национални иницијативи за облак за отворена наука за поддршка на целокупното управување со EOSC, како и да се вклучат сите засегнати страни. </w:t>
      </w:r>
      <w:r w:rsidR="006D2D06">
        <w:rPr>
          <w:lang w:val="mk-MK"/>
        </w:rPr>
        <w:t>В</w:t>
      </w:r>
      <w:r w:rsidRPr="008662BF">
        <w:rPr>
          <w:lang w:val="mk-MK"/>
        </w:rPr>
        <w:t>о EOSC</w:t>
      </w:r>
      <w:r w:rsidR="00DD271C">
        <w:rPr>
          <w:lang w:val="mk-MK"/>
        </w:rPr>
        <w:t xml:space="preserve"> </w:t>
      </w:r>
      <w:r w:rsidR="006D2D06" w:rsidRPr="008662BF">
        <w:rPr>
          <w:lang w:val="mk-MK"/>
        </w:rPr>
        <w:t>ќе се вклуч</w:t>
      </w:r>
      <w:r w:rsidR="00DD271C">
        <w:rPr>
          <w:lang w:val="mk-MK"/>
        </w:rPr>
        <w:t>ат</w:t>
      </w:r>
      <w:r w:rsidR="006D2D06" w:rsidRPr="008662BF">
        <w:rPr>
          <w:lang w:val="mk-MK"/>
        </w:rPr>
        <w:t xml:space="preserve"> даватели на услуги (генерички даватели на е-инфраструктура, тематски даватели на услуги, складишта) </w:t>
      </w:r>
      <w:r w:rsidRPr="008662BF">
        <w:rPr>
          <w:lang w:val="mk-MK"/>
        </w:rPr>
        <w:t>- следејќи ги најдобрите пракси, политики, упатства и алатки формулирани од проектот, во согласност со постојните иницијативи и стандарди на EOSC. Обезбедените проектни решенија ќе бидат интероперабилни со услугите на EOSC и ќе се тестир</w:t>
      </w:r>
      <w:r w:rsidR="00DD271C">
        <w:rPr>
          <w:lang w:val="mk-MK"/>
        </w:rPr>
        <w:t>а</w:t>
      </w:r>
      <w:r w:rsidR="006D2D06">
        <w:t>a</w:t>
      </w:r>
      <w:r w:rsidR="006D2D06">
        <w:rPr>
          <w:lang w:val="mk-MK"/>
        </w:rPr>
        <w:t xml:space="preserve">т </w:t>
      </w:r>
      <w:r w:rsidRPr="008662BF">
        <w:rPr>
          <w:lang w:val="mk-MK"/>
        </w:rPr>
        <w:t xml:space="preserve">и </w:t>
      </w:r>
      <w:r w:rsidR="000F3E95">
        <w:rPr>
          <w:lang w:val="mk-MK"/>
        </w:rPr>
        <w:t>приспособ</w:t>
      </w:r>
      <w:r w:rsidRPr="008662BF">
        <w:rPr>
          <w:lang w:val="mk-MK"/>
        </w:rPr>
        <w:t>уваат од вистинските корисници</w:t>
      </w:r>
      <w:r w:rsidR="006D2D06">
        <w:rPr>
          <w:lang w:val="mk-MK"/>
        </w:rPr>
        <w:t xml:space="preserve">, а </w:t>
      </w:r>
      <w:r w:rsidRPr="008662BF">
        <w:rPr>
          <w:lang w:val="mk-MK"/>
        </w:rPr>
        <w:t xml:space="preserve">најшироката заедница </w:t>
      </w:r>
      <w:r w:rsidR="006D2D06">
        <w:rPr>
          <w:lang w:val="mk-MK"/>
        </w:rPr>
        <w:t xml:space="preserve">ќе биде поддржана во прифаќањето на </w:t>
      </w:r>
      <w:r w:rsidRPr="008662BF">
        <w:rPr>
          <w:lang w:val="mk-MK"/>
        </w:rPr>
        <w:t>споделување</w:t>
      </w:r>
      <w:r w:rsidR="006D2D06">
        <w:rPr>
          <w:lang w:val="mk-MK"/>
        </w:rPr>
        <w:t>то</w:t>
      </w:r>
      <w:r w:rsidRPr="008662BF">
        <w:rPr>
          <w:lang w:val="mk-MK"/>
        </w:rPr>
        <w:t xml:space="preserve"> и користење</w:t>
      </w:r>
      <w:r w:rsidR="006D2D06">
        <w:rPr>
          <w:lang w:val="mk-MK"/>
        </w:rPr>
        <w:t>то</w:t>
      </w:r>
      <w:r w:rsidRPr="008662BF">
        <w:rPr>
          <w:lang w:val="mk-MK"/>
        </w:rPr>
        <w:t xml:space="preserve"> на истражувачки</w:t>
      </w:r>
      <w:r w:rsidR="006D2D06">
        <w:rPr>
          <w:lang w:val="mk-MK"/>
        </w:rPr>
        <w:t>те</w:t>
      </w:r>
      <w:r w:rsidRPr="008662BF">
        <w:rPr>
          <w:lang w:val="mk-MK"/>
        </w:rPr>
        <w:t xml:space="preserve"> податоци, во согласност со принципите FAIR.</w:t>
      </w:r>
    </w:p>
    <w:p w14:paraId="58A4FF8C" w14:textId="77777777" w:rsidR="00621FAB" w:rsidRPr="008662BF" w:rsidRDefault="00621FAB" w:rsidP="00621FAB">
      <w:pPr>
        <w:jc w:val="both"/>
        <w:rPr>
          <w:lang w:val="mk-MK"/>
        </w:rPr>
      </w:pPr>
      <w:r w:rsidRPr="008662BF">
        <w:rPr>
          <w:lang w:val="mk-MK"/>
        </w:rPr>
        <w:t xml:space="preserve">Следејќи ги барањата на работната програма, проектот ќе ја поддржи оперативната рамка за управување со фокусна координацијата помеѓу релевантните национални иницијативи, како и инфраструктурите за податоци, е-инфраструктурите и тематските услуги, како и нивната федерација во EOSC. Овие активности се одобрени од националните влади на 15 </w:t>
      </w:r>
      <w:r w:rsidR="006D2D06">
        <w:rPr>
          <w:lang w:val="mk-MK"/>
        </w:rPr>
        <w:t xml:space="preserve">земји </w:t>
      </w:r>
      <w:r w:rsidRPr="008662BF">
        <w:rPr>
          <w:lang w:val="mk-MK"/>
        </w:rPr>
        <w:t xml:space="preserve">преку експлицитни писма за поддршка. </w:t>
      </w:r>
    </w:p>
    <w:p w14:paraId="4CEC8410" w14:textId="77777777" w:rsidR="007947BF" w:rsidRPr="008662BF" w:rsidRDefault="00621FAB" w:rsidP="007947BF">
      <w:pPr>
        <w:pStyle w:val="Heading4"/>
        <w:ind w:firstLine="357"/>
        <w:rPr>
          <w:rFonts w:asciiTheme="minorHAnsi" w:hAnsiTheme="minorHAnsi"/>
          <w:lang w:val="mk-MK"/>
        </w:rPr>
      </w:pPr>
      <w:r w:rsidRPr="008662BF">
        <w:rPr>
          <w:rFonts w:asciiTheme="minorHAnsi" w:hAnsiTheme="minorHAnsi"/>
          <w:lang w:val="mk-MK"/>
        </w:rPr>
        <w:t xml:space="preserve">10. PRO-METROFOOD: Напредок кон изградба на истражувачката инфраструктура </w:t>
      </w:r>
      <w:r w:rsidR="007947BF" w:rsidRPr="008662BF">
        <w:rPr>
          <w:rFonts w:asciiTheme="minorHAnsi" w:hAnsiTheme="minorHAnsi"/>
          <w:lang w:val="mk-MK"/>
        </w:rPr>
        <w:t>METROFOOD</w:t>
      </w:r>
    </w:p>
    <w:p w14:paraId="28932A5D" w14:textId="77777777" w:rsidR="007947BF" w:rsidRPr="008662BF" w:rsidRDefault="002F6BCF" w:rsidP="007947BF">
      <w:pPr>
        <w:pStyle w:val="ListParagraph"/>
        <w:numPr>
          <w:ilvl w:val="0"/>
          <w:numId w:val="2"/>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30CCEF61" w14:textId="00C4BA10" w:rsidR="007947BF" w:rsidRPr="008662BF" w:rsidRDefault="00B66096" w:rsidP="00621FAB">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00621FAB" w:rsidRPr="008662BF">
        <w:rPr>
          <w:lang w:val="mk-MK"/>
        </w:rPr>
        <w:t>: Институт за јавно здравје н</w:t>
      </w:r>
      <w:r w:rsidR="006D2D06">
        <w:rPr>
          <w:lang w:val="mk-MK"/>
        </w:rPr>
        <w:t xml:space="preserve">а Република </w:t>
      </w:r>
      <w:r w:rsidR="00417197">
        <w:rPr>
          <w:lang w:val="mk-MK"/>
        </w:rPr>
        <w:t>Република Северна Македонија</w:t>
      </w:r>
      <w:r w:rsidR="006D2D06">
        <w:rPr>
          <w:lang w:val="mk-MK"/>
        </w:rPr>
        <w:t xml:space="preserve"> - </w:t>
      </w:r>
      <w:r w:rsidR="00621FAB" w:rsidRPr="008662BF">
        <w:rPr>
          <w:lang w:val="mk-MK"/>
        </w:rPr>
        <w:t xml:space="preserve">Скопје </w:t>
      </w:r>
      <w:r w:rsidR="006D2D06">
        <w:rPr>
          <w:lang w:val="mk-MK"/>
        </w:rPr>
        <w:t>(76.</w:t>
      </w:r>
      <w:r w:rsidR="007947BF" w:rsidRPr="008662BF">
        <w:rPr>
          <w:lang w:val="mk-MK"/>
        </w:rPr>
        <w:t>550.00</w:t>
      </w:r>
      <w:r w:rsidR="00621FAB" w:rsidRPr="008662BF">
        <w:rPr>
          <w:lang w:val="mk-MK"/>
        </w:rPr>
        <w:t xml:space="preserve"> евра</w:t>
      </w:r>
      <w:r w:rsidR="007947BF" w:rsidRPr="008662BF">
        <w:rPr>
          <w:lang w:val="mk-MK"/>
        </w:rPr>
        <w:t>)</w:t>
      </w:r>
    </w:p>
    <w:p w14:paraId="41081B8E" w14:textId="601545F3" w:rsidR="007947BF" w:rsidRPr="008662BF" w:rsidRDefault="002F6BCF" w:rsidP="007947BF">
      <w:pPr>
        <w:pStyle w:val="ListParagraph"/>
        <w:numPr>
          <w:ilvl w:val="0"/>
          <w:numId w:val="2"/>
        </w:numPr>
        <w:rPr>
          <w:lang w:val="mk-MK"/>
        </w:rPr>
      </w:pPr>
      <w:r w:rsidRPr="008662BF">
        <w:rPr>
          <w:b/>
          <w:lang w:val="mk-MK"/>
        </w:rPr>
        <w:t>Вкупен број партнерски организации</w:t>
      </w:r>
      <w:r w:rsidR="007947BF" w:rsidRPr="008662BF">
        <w:rPr>
          <w:lang w:val="mk-MK"/>
        </w:rPr>
        <w:t>: 17</w:t>
      </w:r>
    </w:p>
    <w:p w14:paraId="6F15DCB7" w14:textId="77777777" w:rsidR="007947BF" w:rsidRPr="008662BF" w:rsidRDefault="002F6BCF" w:rsidP="007947BF">
      <w:pPr>
        <w:pStyle w:val="ListParagraph"/>
        <w:numPr>
          <w:ilvl w:val="0"/>
          <w:numId w:val="2"/>
        </w:numPr>
        <w:rPr>
          <w:lang w:val="mk-MK"/>
        </w:rPr>
      </w:pPr>
      <w:r w:rsidRPr="008662BF">
        <w:rPr>
          <w:b/>
          <w:lang w:val="mk-MK"/>
        </w:rPr>
        <w:t>Период на спроведување на проектот</w:t>
      </w:r>
      <w:r w:rsidR="007947BF" w:rsidRPr="008662BF">
        <w:rPr>
          <w:lang w:val="mk-MK"/>
        </w:rPr>
        <w:t>: 01</w:t>
      </w:r>
      <w:r w:rsidR="00621FAB" w:rsidRPr="008662BF">
        <w:rPr>
          <w:lang w:val="mk-MK"/>
        </w:rPr>
        <w:t>.</w:t>
      </w:r>
      <w:r w:rsidR="007947BF" w:rsidRPr="008662BF">
        <w:rPr>
          <w:lang w:val="mk-MK"/>
        </w:rPr>
        <w:t>01</w:t>
      </w:r>
      <w:r w:rsidR="00621FAB" w:rsidRPr="008662BF">
        <w:rPr>
          <w:lang w:val="mk-MK"/>
        </w:rPr>
        <w:t>.</w:t>
      </w:r>
      <w:r w:rsidR="007947BF" w:rsidRPr="008662BF">
        <w:rPr>
          <w:lang w:val="mk-MK"/>
        </w:rPr>
        <w:t xml:space="preserve">2017 </w:t>
      </w:r>
      <w:r w:rsidR="00621FAB" w:rsidRPr="008662BF">
        <w:rPr>
          <w:lang w:val="mk-MK"/>
        </w:rPr>
        <w:t>–</w:t>
      </w:r>
      <w:r w:rsidR="007947BF" w:rsidRPr="008662BF">
        <w:rPr>
          <w:lang w:val="mk-MK"/>
        </w:rPr>
        <w:t xml:space="preserve"> 31</w:t>
      </w:r>
      <w:r w:rsidR="00621FAB" w:rsidRPr="008662BF">
        <w:rPr>
          <w:lang w:val="mk-MK"/>
        </w:rPr>
        <w:t>.</w:t>
      </w:r>
      <w:r w:rsidR="007947BF" w:rsidRPr="008662BF">
        <w:rPr>
          <w:lang w:val="mk-MK"/>
        </w:rPr>
        <w:t>12</w:t>
      </w:r>
      <w:r w:rsidR="00621FAB" w:rsidRPr="008662BF">
        <w:rPr>
          <w:lang w:val="mk-MK"/>
        </w:rPr>
        <w:t>.</w:t>
      </w:r>
      <w:r w:rsidR="007947BF" w:rsidRPr="008662BF">
        <w:rPr>
          <w:lang w:val="mk-MK"/>
        </w:rPr>
        <w:t>2017</w:t>
      </w:r>
    </w:p>
    <w:p w14:paraId="34C15949" w14:textId="77777777" w:rsidR="007947BF" w:rsidRPr="008662BF" w:rsidRDefault="002F6BCF" w:rsidP="007947BF">
      <w:pPr>
        <w:pStyle w:val="ListParagraph"/>
        <w:numPr>
          <w:ilvl w:val="0"/>
          <w:numId w:val="2"/>
        </w:numPr>
        <w:rPr>
          <w:lang w:val="mk-MK"/>
        </w:rPr>
      </w:pPr>
      <w:r w:rsidRPr="008662BF">
        <w:rPr>
          <w:b/>
          <w:lang w:val="mk-MK"/>
        </w:rPr>
        <w:t>Научна област</w:t>
      </w:r>
      <w:r w:rsidR="00621FAB" w:rsidRPr="008662BF">
        <w:rPr>
          <w:lang w:val="mk-MK"/>
        </w:rPr>
        <w:t>: Истражувачки инфраструктури</w:t>
      </w:r>
    </w:p>
    <w:p w14:paraId="788B0249" w14:textId="6C2BEC23" w:rsidR="00EA1175" w:rsidRPr="008662BF" w:rsidRDefault="00EA1175" w:rsidP="007947BF">
      <w:pPr>
        <w:jc w:val="both"/>
        <w:rPr>
          <w:lang w:val="mk-MK"/>
        </w:rPr>
      </w:pPr>
      <w:r w:rsidRPr="008662BF">
        <w:rPr>
          <w:lang w:val="mk-MK"/>
        </w:rPr>
        <w:t xml:space="preserve">Општата цел на </w:t>
      </w:r>
      <w:r w:rsidR="006D2D06">
        <w:t xml:space="preserve">PRO-METROFOOD </w:t>
      </w:r>
      <w:r w:rsidRPr="008662BF">
        <w:rPr>
          <w:lang w:val="mk-MK"/>
        </w:rPr>
        <w:t xml:space="preserve">беше да </w:t>
      </w:r>
      <w:r w:rsidR="006D2D06">
        <w:rPr>
          <w:lang w:val="mk-MK"/>
        </w:rPr>
        <w:t xml:space="preserve">се </w:t>
      </w:r>
      <w:r w:rsidRPr="008662BF">
        <w:rPr>
          <w:lang w:val="mk-MK"/>
        </w:rPr>
        <w:t xml:space="preserve">доведе новиот проект </w:t>
      </w:r>
      <w:r w:rsidR="006D2D06">
        <w:t xml:space="preserve">PRO-METROFOOD  ESFRI </w:t>
      </w:r>
      <w:r w:rsidRPr="008662BF">
        <w:rPr>
          <w:lang w:val="mk-MK"/>
        </w:rPr>
        <w:t xml:space="preserve">до нивото на зрелост </w:t>
      </w:r>
      <w:r w:rsidR="00B40DEB">
        <w:rPr>
          <w:lang w:val="mk-MK"/>
        </w:rPr>
        <w:t>кое</w:t>
      </w:r>
      <w:r w:rsidRPr="008662BF">
        <w:rPr>
          <w:lang w:val="mk-MK"/>
        </w:rPr>
        <w:t xml:space="preserve">што е потребно за влез на листата на активни проекти, </w:t>
      </w:r>
      <w:r w:rsidR="006D2D06">
        <w:rPr>
          <w:lang w:val="mk-MK"/>
        </w:rPr>
        <w:t xml:space="preserve">како и да се </w:t>
      </w:r>
      <w:r w:rsidRPr="008662BF">
        <w:rPr>
          <w:lang w:val="mk-MK"/>
        </w:rPr>
        <w:t>зајакн</w:t>
      </w:r>
      <w:r w:rsidR="006D2D06">
        <w:rPr>
          <w:lang w:val="mk-MK"/>
        </w:rPr>
        <w:t xml:space="preserve">е </w:t>
      </w:r>
      <w:r w:rsidRPr="008662BF">
        <w:rPr>
          <w:lang w:val="mk-MK"/>
        </w:rPr>
        <w:t xml:space="preserve">Конзорциумот и </w:t>
      </w:r>
      <w:r w:rsidR="006D2D06">
        <w:rPr>
          <w:lang w:val="mk-MK"/>
        </w:rPr>
        <w:t xml:space="preserve">да се испланираат </w:t>
      </w:r>
      <w:r w:rsidRPr="008662BF">
        <w:rPr>
          <w:lang w:val="mk-MK"/>
        </w:rPr>
        <w:t xml:space="preserve">идните фази. Специфичните цели се поставени во тесна врска со Препораката на </w:t>
      </w:r>
      <w:r w:rsidR="00392772">
        <w:rPr>
          <w:lang w:val="mk-MK"/>
        </w:rPr>
        <w:t xml:space="preserve">Работната група </w:t>
      </w:r>
      <w:r w:rsidRPr="008662BF">
        <w:rPr>
          <w:lang w:val="mk-MK"/>
        </w:rPr>
        <w:t>за стратегија и Р</w:t>
      </w:r>
      <w:r w:rsidR="00392772">
        <w:rPr>
          <w:lang w:val="mk-MK"/>
        </w:rPr>
        <w:t xml:space="preserve">аботната група </w:t>
      </w:r>
      <w:r w:rsidRPr="008662BF">
        <w:rPr>
          <w:lang w:val="mk-MK"/>
        </w:rPr>
        <w:t>за имплементација на ESFRI. Утврдени се 4 конкретни цели: Цел 1 – изработка на стратеги</w:t>
      </w:r>
      <w:r w:rsidR="00392772">
        <w:rPr>
          <w:lang w:val="mk-MK"/>
        </w:rPr>
        <w:t xml:space="preserve">и </w:t>
      </w:r>
      <w:r w:rsidRPr="008662BF">
        <w:rPr>
          <w:lang w:val="mk-MK"/>
        </w:rPr>
        <w:t xml:space="preserve">на среден и долг рок; Цел 2 – </w:t>
      </w:r>
      <w:r w:rsidR="00392772">
        <w:rPr>
          <w:lang w:val="mk-MK"/>
        </w:rPr>
        <w:t xml:space="preserve">поставување на </w:t>
      </w:r>
      <w:r w:rsidRPr="008662BF">
        <w:rPr>
          <w:lang w:val="mk-MK"/>
        </w:rPr>
        <w:t>организациска</w:t>
      </w:r>
      <w:r w:rsidR="00392772">
        <w:rPr>
          <w:lang w:val="mk-MK"/>
        </w:rPr>
        <w:t>та</w:t>
      </w:r>
      <w:r w:rsidRPr="008662BF">
        <w:rPr>
          <w:lang w:val="mk-MK"/>
        </w:rPr>
        <w:t xml:space="preserve"> рамка на </w:t>
      </w:r>
      <w:r w:rsidR="00392772" w:rsidRPr="008662BF">
        <w:rPr>
          <w:lang w:val="mk-MK"/>
        </w:rPr>
        <w:t>METROFOOD-RI</w:t>
      </w:r>
      <w:r w:rsidRPr="008662BF">
        <w:rPr>
          <w:lang w:val="mk-MK"/>
        </w:rPr>
        <w:t>; Цел 3 – демонстрирање на способноста на METROFOOD-RI да обезбедува научни услуги и да подготв</w:t>
      </w:r>
      <w:r w:rsidR="00392772">
        <w:rPr>
          <w:lang w:val="mk-MK"/>
        </w:rPr>
        <w:t xml:space="preserve">ува информации за </w:t>
      </w:r>
      <w:r w:rsidRPr="008662BF">
        <w:rPr>
          <w:lang w:val="mk-MK"/>
        </w:rPr>
        <w:t>услуги</w:t>
      </w:r>
      <w:r w:rsidR="00392772">
        <w:rPr>
          <w:lang w:val="mk-MK"/>
        </w:rPr>
        <w:t>те за своите клиенти</w:t>
      </w:r>
      <w:r w:rsidRPr="008662BF">
        <w:rPr>
          <w:lang w:val="mk-MK"/>
        </w:rPr>
        <w:t xml:space="preserve">; Цел 4 – воспоставување планови за кохерентна интеграција на METROFOOD-RI во европскиот пејзаж, остварувајќи координација со ЕУ и </w:t>
      </w:r>
      <w:r w:rsidR="00B40DEB">
        <w:rPr>
          <w:lang w:val="mk-MK"/>
        </w:rPr>
        <w:t xml:space="preserve">со </w:t>
      </w:r>
      <w:r w:rsidRPr="008662BF">
        <w:rPr>
          <w:lang w:val="mk-MK"/>
        </w:rPr>
        <w:t xml:space="preserve">националните иницијативи и позиционирање на глобално ниво. Стратешкиот план беше </w:t>
      </w:r>
      <w:r w:rsidR="000F3E95">
        <w:rPr>
          <w:lang w:val="mk-MK"/>
        </w:rPr>
        <w:t>приспособен</w:t>
      </w:r>
      <w:r w:rsidRPr="008662BF">
        <w:rPr>
          <w:lang w:val="mk-MK"/>
        </w:rPr>
        <w:t xml:space="preserve"> на тековн</w:t>
      </w:r>
      <w:r w:rsidR="00392772">
        <w:rPr>
          <w:lang w:val="mk-MK"/>
        </w:rPr>
        <w:t>ите и</w:t>
      </w:r>
      <w:r w:rsidR="00B40DEB">
        <w:rPr>
          <w:lang w:val="mk-MK"/>
        </w:rPr>
        <w:t xml:space="preserve"> на</w:t>
      </w:r>
      <w:r w:rsidR="00392772">
        <w:rPr>
          <w:lang w:val="mk-MK"/>
        </w:rPr>
        <w:t xml:space="preserve"> предвидените можности на п</w:t>
      </w:r>
      <w:r w:rsidRPr="008662BF">
        <w:rPr>
          <w:lang w:val="mk-MK"/>
        </w:rPr>
        <w:t>аневропската инфраструктура,</w:t>
      </w:r>
      <w:r w:rsidR="00B40DEB">
        <w:rPr>
          <w:lang w:val="mk-MK"/>
        </w:rPr>
        <w:t xml:space="preserve"> на</w:t>
      </w:r>
      <w:r w:rsidRPr="008662BF">
        <w:rPr>
          <w:lang w:val="mk-MK"/>
        </w:rPr>
        <w:t xml:space="preserve"> можностите на пазарот и </w:t>
      </w:r>
      <w:r w:rsidR="00B40DEB">
        <w:rPr>
          <w:lang w:val="mk-MK"/>
        </w:rPr>
        <w:t xml:space="preserve">на </w:t>
      </w:r>
      <w:r w:rsidRPr="008662BF">
        <w:rPr>
          <w:lang w:val="mk-MK"/>
        </w:rPr>
        <w:t>деловните потреби. Подготвен е со вклучување на агенции</w:t>
      </w:r>
      <w:r w:rsidR="00392772">
        <w:rPr>
          <w:lang w:val="mk-MK"/>
        </w:rPr>
        <w:t>те</w:t>
      </w:r>
      <w:r w:rsidRPr="008662BF">
        <w:rPr>
          <w:lang w:val="mk-MK"/>
        </w:rPr>
        <w:t xml:space="preserve"> за финансирање, </w:t>
      </w:r>
      <w:r w:rsidR="00B40DEB">
        <w:rPr>
          <w:lang w:val="mk-MK"/>
        </w:rPr>
        <w:t xml:space="preserve">на </w:t>
      </w:r>
      <w:r w:rsidRPr="008662BF">
        <w:rPr>
          <w:lang w:val="mk-MK"/>
        </w:rPr>
        <w:t>релевантни</w:t>
      </w:r>
      <w:r w:rsidR="00392772">
        <w:rPr>
          <w:lang w:val="mk-MK"/>
        </w:rPr>
        <w:t>те</w:t>
      </w:r>
      <w:r w:rsidRPr="008662BF">
        <w:rPr>
          <w:lang w:val="mk-MK"/>
        </w:rPr>
        <w:t xml:space="preserve"> органи кои го поддржуваат METROFOOD-RI и </w:t>
      </w:r>
      <w:r w:rsidR="00B40DEB">
        <w:rPr>
          <w:lang w:val="mk-MK"/>
        </w:rPr>
        <w:t xml:space="preserve">на </w:t>
      </w:r>
      <w:r w:rsidRPr="008662BF">
        <w:rPr>
          <w:lang w:val="mk-MK"/>
        </w:rPr>
        <w:t xml:space="preserve">други засегнати страни. </w:t>
      </w:r>
      <w:r w:rsidR="00D50182">
        <w:rPr>
          <w:lang w:val="mk-MK"/>
        </w:rPr>
        <w:t xml:space="preserve">Утврден е </w:t>
      </w:r>
      <w:r w:rsidRPr="008662BF">
        <w:rPr>
          <w:lang w:val="mk-MK"/>
        </w:rPr>
        <w:t>концептуал</w:t>
      </w:r>
      <w:r w:rsidR="00D50182">
        <w:rPr>
          <w:lang w:val="mk-MK"/>
        </w:rPr>
        <w:t xml:space="preserve">ниот </w:t>
      </w:r>
      <w:r w:rsidRPr="008662BF">
        <w:rPr>
          <w:lang w:val="mk-MK"/>
        </w:rPr>
        <w:t>модел за управување</w:t>
      </w:r>
      <w:r w:rsidR="00D50182">
        <w:rPr>
          <w:lang w:val="mk-MK"/>
        </w:rPr>
        <w:t xml:space="preserve"> и </w:t>
      </w:r>
      <w:r w:rsidRPr="008662BF">
        <w:rPr>
          <w:lang w:val="mk-MK"/>
        </w:rPr>
        <w:t xml:space="preserve">рамката </w:t>
      </w:r>
      <w:r w:rsidR="00D50182">
        <w:rPr>
          <w:lang w:val="mk-MK"/>
        </w:rPr>
        <w:t xml:space="preserve">е подготвена имајќи го предвид </w:t>
      </w:r>
      <w:r w:rsidRPr="008662BF">
        <w:rPr>
          <w:lang w:val="mk-MK"/>
        </w:rPr>
        <w:t>оператив</w:t>
      </w:r>
      <w:r w:rsidR="00D50182">
        <w:rPr>
          <w:lang w:val="mk-MK"/>
        </w:rPr>
        <w:t>ниот</w:t>
      </w:r>
      <w:r w:rsidRPr="008662BF">
        <w:rPr>
          <w:lang w:val="mk-MK"/>
        </w:rPr>
        <w:t>, стратешки</w:t>
      </w:r>
      <w:r w:rsidR="00D50182">
        <w:rPr>
          <w:lang w:val="mk-MK"/>
        </w:rPr>
        <w:t>от</w:t>
      </w:r>
      <w:r w:rsidRPr="008662BF">
        <w:rPr>
          <w:lang w:val="mk-MK"/>
        </w:rPr>
        <w:t xml:space="preserve"> и институционал</w:t>
      </w:r>
      <w:r w:rsidR="00D50182">
        <w:rPr>
          <w:lang w:val="mk-MK"/>
        </w:rPr>
        <w:t xml:space="preserve">ниот </w:t>
      </w:r>
      <w:r w:rsidRPr="008662BF">
        <w:rPr>
          <w:lang w:val="mk-MK"/>
        </w:rPr>
        <w:t xml:space="preserve">аспект. </w:t>
      </w:r>
      <w:r w:rsidR="00D50182">
        <w:rPr>
          <w:lang w:val="mk-MK"/>
        </w:rPr>
        <w:t>Спроведени се п</w:t>
      </w:r>
      <w:r w:rsidRPr="008662BF">
        <w:rPr>
          <w:lang w:val="mk-MK"/>
        </w:rPr>
        <w:t>илот</w:t>
      </w:r>
      <w:r w:rsidR="00B40DEB">
        <w:rPr>
          <w:lang w:val="mk-MK"/>
        </w:rPr>
        <w:t>-</w:t>
      </w:r>
      <w:r w:rsidRPr="008662BF">
        <w:rPr>
          <w:lang w:val="mk-MK"/>
        </w:rPr>
        <w:t xml:space="preserve">услуги за да се </w:t>
      </w:r>
      <w:r w:rsidR="00D50182">
        <w:rPr>
          <w:lang w:val="mk-MK"/>
        </w:rPr>
        <w:t xml:space="preserve">провери </w:t>
      </w:r>
      <w:r w:rsidRPr="008662BF">
        <w:rPr>
          <w:lang w:val="mk-MK"/>
        </w:rPr>
        <w:t xml:space="preserve">способноста на </w:t>
      </w:r>
      <w:r w:rsidR="00D50182">
        <w:t xml:space="preserve">PRO-METROFOOD  </w:t>
      </w:r>
      <w:r w:rsidR="00D50182">
        <w:rPr>
          <w:lang w:val="mk-MK"/>
        </w:rPr>
        <w:t xml:space="preserve">за </w:t>
      </w:r>
      <w:r w:rsidRPr="008662BF">
        <w:rPr>
          <w:lang w:val="mk-MK"/>
        </w:rPr>
        <w:t>обезбедува</w:t>
      </w:r>
      <w:r w:rsidR="00D50182">
        <w:rPr>
          <w:lang w:val="mk-MK"/>
        </w:rPr>
        <w:t>ње</w:t>
      </w:r>
      <w:r w:rsidRPr="008662BF">
        <w:rPr>
          <w:lang w:val="mk-MK"/>
        </w:rPr>
        <w:t xml:space="preserve"> услуги</w:t>
      </w:r>
      <w:r w:rsidR="00D50182">
        <w:rPr>
          <w:lang w:val="mk-MK"/>
        </w:rPr>
        <w:t xml:space="preserve">, како и да се </w:t>
      </w:r>
      <w:r w:rsidRPr="008662BF">
        <w:rPr>
          <w:lang w:val="mk-MK"/>
        </w:rPr>
        <w:t xml:space="preserve">тестира </w:t>
      </w:r>
      <w:r w:rsidR="00D50182">
        <w:rPr>
          <w:lang w:val="mk-MK"/>
        </w:rPr>
        <w:t xml:space="preserve">неговата </w:t>
      </w:r>
      <w:r w:rsidRPr="008662BF">
        <w:rPr>
          <w:lang w:val="mk-MK"/>
        </w:rPr>
        <w:t>интероперабилност. Во строга согласност со стратегиите на METROFOOD-RI, подготвени се планови за кохерентно интегрирање на METROFOOD-RI во европскиот пејзаж. Подготвени се план за комуникација и програми за едукација и обука за различните фази на реализација на METROFOOD-RI (рана, подготвителна</w:t>
      </w:r>
      <w:r w:rsidR="00D50182">
        <w:rPr>
          <w:lang w:val="mk-MK"/>
        </w:rPr>
        <w:t xml:space="preserve"> фаза</w:t>
      </w:r>
      <w:r w:rsidRPr="008662BF">
        <w:rPr>
          <w:lang w:val="mk-MK"/>
        </w:rPr>
        <w:t>, фаза на спроведување и оперативна фаза).</w:t>
      </w:r>
    </w:p>
    <w:p w14:paraId="07E39047"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lastRenderedPageBreak/>
        <w:t xml:space="preserve">11. VI-SEEM: </w:t>
      </w:r>
      <w:r w:rsidR="00D50182">
        <w:rPr>
          <w:rFonts w:asciiTheme="minorHAnsi" w:hAnsiTheme="minorHAnsi"/>
          <w:lang w:val="mk-MK"/>
        </w:rPr>
        <w:t xml:space="preserve">Виртуелни истражувачки околини </w:t>
      </w:r>
      <w:r w:rsidR="00EA1175" w:rsidRPr="008662BF">
        <w:rPr>
          <w:rFonts w:asciiTheme="minorHAnsi" w:hAnsiTheme="minorHAnsi"/>
          <w:lang w:val="mk-MK"/>
        </w:rPr>
        <w:t xml:space="preserve">за регионални интердисциплинарни заедници во Југоисточна Европа и Источниот Медитеран </w:t>
      </w:r>
    </w:p>
    <w:p w14:paraId="40229AAE" w14:textId="77777777" w:rsidR="007947BF" w:rsidRPr="008662BF" w:rsidRDefault="002F6BCF" w:rsidP="007947BF">
      <w:pPr>
        <w:pStyle w:val="ListParagraph"/>
        <w:numPr>
          <w:ilvl w:val="0"/>
          <w:numId w:val="3"/>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0A94E978" w14:textId="4C3FD9FA" w:rsidR="007947BF" w:rsidRPr="008662BF" w:rsidRDefault="002F6BCF" w:rsidP="00EA1175">
      <w:pPr>
        <w:pStyle w:val="ListParagraph"/>
        <w:numPr>
          <w:ilvl w:val="0"/>
          <w:numId w:val="3"/>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EA1175" w:rsidRPr="008662BF">
        <w:rPr>
          <w:lang w:val="mk-MK"/>
        </w:rPr>
        <w:t>Универзитет „Св. Кирил и Методиј“ - Скопје, ФИНКИ (122.950,00 евра)</w:t>
      </w:r>
    </w:p>
    <w:p w14:paraId="0DCD556C" w14:textId="6C0EE6D6" w:rsidR="007947BF" w:rsidRPr="008662BF" w:rsidRDefault="002F6BCF" w:rsidP="007947BF">
      <w:pPr>
        <w:pStyle w:val="ListParagraph"/>
        <w:numPr>
          <w:ilvl w:val="0"/>
          <w:numId w:val="3"/>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007947BF" w:rsidRPr="008662BF">
        <w:rPr>
          <w:lang w:val="mk-MK"/>
        </w:rPr>
        <w:t>: 16</w:t>
      </w:r>
    </w:p>
    <w:p w14:paraId="1952C5E3" w14:textId="77777777" w:rsidR="007947BF" w:rsidRPr="008662BF" w:rsidRDefault="002F6BCF" w:rsidP="007947BF">
      <w:pPr>
        <w:pStyle w:val="ListParagraph"/>
        <w:numPr>
          <w:ilvl w:val="0"/>
          <w:numId w:val="3"/>
        </w:numPr>
        <w:rPr>
          <w:lang w:val="mk-MK"/>
        </w:rPr>
      </w:pPr>
      <w:r w:rsidRPr="008662BF">
        <w:rPr>
          <w:b/>
          <w:lang w:val="mk-MK"/>
        </w:rPr>
        <w:t>Период на спроведување на проектот</w:t>
      </w:r>
      <w:r w:rsidR="007947BF" w:rsidRPr="008662BF">
        <w:rPr>
          <w:lang w:val="mk-MK"/>
        </w:rPr>
        <w:t>: 01</w:t>
      </w:r>
      <w:r w:rsidR="00EA1175" w:rsidRPr="008662BF">
        <w:rPr>
          <w:lang w:val="mk-MK"/>
        </w:rPr>
        <w:t>.1</w:t>
      </w:r>
      <w:r w:rsidR="007947BF" w:rsidRPr="008662BF">
        <w:rPr>
          <w:lang w:val="mk-MK"/>
        </w:rPr>
        <w:t>0</w:t>
      </w:r>
      <w:r w:rsidR="00EA1175" w:rsidRPr="008662BF">
        <w:rPr>
          <w:lang w:val="mk-MK"/>
        </w:rPr>
        <w:t>.</w:t>
      </w:r>
      <w:r w:rsidR="007947BF" w:rsidRPr="008662BF">
        <w:rPr>
          <w:lang w:val="mk-MK"/>
        </w:rPr>
        <w:t xml:space="preserve">2015 </w:t>
      </w:r>
      <w:r w:rsidR="00EA1175" w:rsidRPr="008662BF">
        <w:rPr>
          <w:lang w:val="mk-MK"/>
        </w:rPr>
        <w:t>–</w:t>
      </w:r>
      <w:r w:rsidR="007947BF" w:rsidRPr="008662BF">
        <w:rPr>
          <w:lang w:val="mk-MK"/>
        </w:rPr>
        <w:t xml:space="preserve"> 30</w:t>
      </w:r>
      <w:r w:rsidR="00EA1175" w:rsidRPr="008662BF">
        <w:rPr>
          <w:lang w:val="mk-MK"/>
        </w:rPr>
        <w:t>.</w:t>
      </w:r>
      <w:r w:rsidR="007947BF" w:rsidRPr="008662BF">
        <w:rPr>
          <w:lang w:val="mk-MK"/>
        </w:rPr>
        <w:t>09</w:t>
      </w:r>
      <w:r w:rsidR="00EA1175" w:rsidRPr="008662BF">
        <w:rPr>
          <w:lang w:val="mk-MK"/>
        </w:rPr>
        <w:t>.</w:t>
      </w:r>
      <w:r w:rsidR="007947BF" w:rsidRPr="008662BF">
        <w:rPr>
          <w:lang w:val="mk-MK"/>
        </w:rPr>
        <w:t>2018</w:t>
      </w:r>
    </w:p>
    <w:p w14:paraId="177E4B0B" w14:textId="77777777" w:rsidR="00EA1175" w:rsidRPr="008662BF" w:rsidRDefault="002F6BCF" w:rsidP="007947BF">
      <w:pPr>
        <w:pStyle w:val="ListParagraph"/>
        <w:numPr>
          <w:ilvl w:val="0"/>
          <w:numId w:val="3"/>
        </w:numPr>
        <w:rPr>
          <w:lang w:val="mk-MK"/>
        </w:rPr>
      </w:pPr>
      <w:r w:rsidRPr="008662BF">
        <w:rPr>
          <w:b/>
          <w:lang w:val="mk-MK"/>
        </w:rPr>
        <w:t>Научна област</w:t>
      </w:r>
      <w:r w:rsidR="007947BF" w:rsidRPr="008662BF">
        <w:rPr>
          <w:lang w:val="mk-MK"/>
        </w:rPr>
        <w:t xml:space="preserve">: </w:t>
      </w:r>
      <w:r w:rsidR="00EA1175" w:rsidRPr="008662BF">
        <w:rPr>
          <w:lang w:val="mk-MK"/>
        </w:rPr>
        <w:t>е-инфраструктури</w:t>
      </w:r>
    </w:p>
    <w:p w14:paraId="6311939A" w14:textId="12BA7DC8" w:rsidR="00D50182" w:rsidRDefault="00D50182" w:rsidP="003322BA">
      <w:pPr>
        <w:jc w:val="both"/>
        <w:rPr>
          <w:lang w:val="mk-MK"/>
        </w:rPr>
      </w:pPr>
      <w:r w:rsidRPr="00D50182">
        <w:rPr>
          <w:lang w:val="mk-MK"/>
        </w:rPr>
        <w:t xml:space="preserve">VI-SEEM беше тригодишен проект насочен кон создавање уникатна Виртуелна истражувачка </w:t>
      </w:r>
      <w:r w:rsidR="001A23E6">
        <w:rPr>
          <w:lang w:val="mk-MK"/>
        </w:rPr>
        <w:t xml:space="preserve">околина </w:t>
      </w:r>
      <w:r w:rsidRPr="00D50182">
        <w:rPr>
          <w:lang w:val="mk-MK"/>
        </w:rPr>
        <w:t>(</w:t>
      </w:r>
      <w:r w:rsidR="001A23E6">
        <w:rPr>
          <w:lang w:val="mk-MK"/>
        </w:rPr>
        <w:t>ВИО</w:t>
      </w:r>
      <w:r w:rsidRPr="00D50182">
        <w:rPr>
          <w:lang w:val="mk-MK"/>
        </w:rPr>
        <w:t>) во Југоисточна Европа и</w:t>
      </w:r>
      <w:r w:rsidR="00B40DEB">
        <w:rPr>
          <w:lang w:val="mk-MK"/>
        </w:rPr>
        <w:t xml:space="preserve"> во</w:t>
      </w:r>
      <w:r w:rsidRPr="00D50182">
        <w:rPr>
          <w:lang w:val="mk-MK"/>
        </w:rPr>
        <w:t xml:space="preserve"> Источниот Медитеран (Ј</w:t>
      </w:r>
      <w:r w:rsidR="001A23E6">
        <w:rPr>
          <w:lang w:val="mk-MK"/>
        </w:rPr>
        <w:t>И</w:t>
      </w:r>
      <w:r w:rsidRPr="00D50182">
        <w:rPr>
          <w:lang w:val="mk-MK"/>
        </w:rPr>
        <w:t xml:space="preserve">ЕИМ), </w:t>
      </w:r>
      <w:r w:rsidR="00B40DEB">
        <w:rPr>
          <w:lang w:val="mk-MK"/>
        </w:rPr>
        <w:t>за</w:t>
      </w:r>
      <w:r w:rsidRPr="00D50182">
        <w:rPr>
          <w:lang w:val="mk-MK"/>
        </w:rPr>
        <w:t xml:space="preserve"> да се олесни регионалната интердисциплинарна соработка, со посебен фокус на научните заедници во областа на бионауките, климатологијата и дигитално културно наследство.</w:t>
      </w:r>
    </w:p>
    <w:p w14:paraId="34585409" w14:textId="77777777" w:rsidR="003322BA" w:rsidRPr="008662BF" w:rsidRDefault="003322BA" w:rsidP="003322BA">
      <w:pPr>
        <w:jc w:val="both"/>
        <w:rPr>
          <w:lang w:val="mk-MK"/>
        </w:rPr>
      </w:pPr>
      <w:r w:rsidRPr="008662BF">
        <w:rPr>
          <w:lang w:val="mk-MK"/>
        </w:rPr>
        <w:t>VI-SEEM се надоврзува на успехот на неговите претходни проекти за е-инфраструктура кои</w:t>
      </w:r>
      <w:r w:rsidR="00B40DEB">
        <w:rPr>
          <w:lang w:val="mk-MK"/>
        </w:rPr>
        <w:t>што</w:t>
      </w:r>
      <w:r w:rsidRPr="008662BF">
        <w:rPr>
          <w:lang w:val="mk-MK"/>
        </w:rPr>
        <w:t xml:space="preserve"> беа од клучно значење за овозможување</w:t>
      </w:r>
      <w:r w:rsidR="00D50182">
        <w:rPr>
          <w:lang w:val="mk-MK"/>
        </w:rPr>
        <w:t xml:space="preserve">то на </w:t>
      </w:r>
      <w:r w:rsidRPr="008662BF">
        <w:rPr>
          <w:lang w:val="mk-MK"/>
        </w:rPr>
        <w:t>висококвалитетн</w:t>
      </w:r>
      <w:r w:rsidR="00D50182">
        <w:rPr>
          <w:lang w:val="mk-MK"/>
        </w:rPr>
        <w:t xml:space="preserve">и </w:t>
      </w:r>
      <w:r w:rsidRPr="008662BF">
        <w:rPr>
          <w:lang w:val="mk-MK"/>
        </w:rPr>
        <w:t>истражувањ</w:t>
      </w:r>
      <w:r w:rsidR="00D50182">
        <w:rPr>
          <w:lang w:val="mk-MK"/>
        </w:rPr>
        <w:t xml:space="preserve">а </w:t>
      </w:r>
      <w:r w:rsidRPr="008662BF">
        <w:rPr>
          <w:lang w:val="mk-MK"/>
        </w:rPr>
        <w:t xml:space="preserve">и </w:t>
      </w:r>
      <w:r w:rsidR="00B40DEB">
        <w:rPr>
          <w:lang w:val="mk-MK"/>
        </w:rPr>
        <w:t xml:space="preserve">за </w:t>
      </w:r>
      <w:r w:rsidRPr="008662BF">
        <w:rPr>
          <w:lang w:val="mk-MK"/>
        </w:rPr>
        <w:t>развој</w:t>
      </w:r>
      <w:r w:rsidR="00B40DEB">
        <w:rPr>
          <w:lang w:val="mk-MK"/>
        </w:rPr>
        <w:t>от</w:t>
      </w:r>
      <w:r w:rsidRPr="008662BF">
        <w:rPr>
          <w:lang w:val="mk-MK"/>
        </w:rPr>
        <w:t xml:space="preserve"> на ИКТ преку обезбедување мрежни и пресметковни ресурси, поддршка и обука за апликации, </w:t>
      </w:r>
      <w:r w:rsidR="00D50182">
        <w:rPr>
          <w:lang w:val="mk-MK"/>
        </w:rPr>
        <w:t xml:space="preserve">како </w:t>
      </w:r>
      <w:r w:rsidRPr="008662BF">
        <w:rPr>
          <w:lang w:val="mk-MK"/>
        </w:rPr>
        <w:t>во Југоисточна Европа</w:t>
      </w:r>
      <w:r w:rsidR="00D50182">
        <w:rPr>
          <w:lang w:val="mk-MK"/>
        </w:rPr>
        <w:t>, така</w:t>
      </w:r>
      <w:r w:rsidRPr="008662BF">
        <w:rPr>
          <w:lang w:val="mk-MK"/>
        </w:rPr>
        <w:t xml:space="preserve"> и во Источниот Медитеран, и кои ја поддржаа европската визија за инклузивен и паметен раст, заснован на знаење и иновации, </w:t>
      </w:r>
      <w:r w:rsidR="001A23E6">
        <w:rPr>
          <w:lang w:val="mk-MK"/>
        </w:rPr>
        <w:t xml:space="preserve">за </w:t>
      </w:r>
      <w:r w:rsidRPr="008662BF">
        <w:rPr>
          <w:lang w:val="mk-MK"/>
        </w:rPr>
        <w:t>збогатува</w:t>
      </w:r>
      <w:r w:rsidR="001A23E6">
        <w:rPr>
          <w:lang w:val="mk-MK"/>
        </w:rPr>
        <w:t>ње на</w:t>
      </w:r>
      <w:r w:rsidRPr="008662BF">
        <w:rPr>
          <w:lang w:val="mk-MK"/>
        </w:rPr>
        <w:t xml:space="preserve"> Европската истражувачка област.</w:t>
      </w:r>
    </w:p>
    <w:p w14:paraId="3B9CB5FC" w14:textId="74960D9B" w:rsidR="003322BA" w:rsidRPr="008662BF" w:rsidRDefault="003322BA" w:rsidP="003322BA">
      <w:pPr>
        <w:jc w:val="both"/>
        <w:rPr>
          <w:lang w:val="mk-MK"/>
        </w:rPr>
      </w:pPr>
      <w:r w:rsidRPr="008662BF">
        <w:rPr>
          <w:lang w:val="mk-MK"/>
        </w:rPr>
        <w:t xml:space="preserve">Општата цел беше да се обезбеди интегрирана е-инфраструктурна платформа </w:t>
      </w:r>
      <w:r w:rsidR="000F3E95">
        <w:rPr>
          <w:lang w:val="mk-MK"/>
        </w:rPr>
        <w:t>приспособен</w:t>
      </w:r>
      <w:r w:rsidRPr="008662BF">
        <w:rPr>
          <w:lang w:val="mk-MK"/>
        </w:rPr>
        <w:t xml:space="preserve">а на корисниците за регионални прекугранични/гранични научни заедници во областа на климатологијата, бионауките и </w:t>
      </w:r>
      <w:r w:rsidR="00B40DEB">
        <w:rPr>
          <w:lang w:val="mk-MK"/>
        </w:rPr>
        <w:t xml:space="preserve">на </w:t>
      </w:r>
      <w:r w:rsidRPr="008662BF">
        <w:rPr>
          <w:lang w:val="mk-MK"/>
        </w:rPr>
        <w:t xml:space="preserve">културното наследство за регионот </w:t>
      </w:r>
      <w:r w:rsidR="001A23E6">
        <w:rPr>
          <w:lang w:val="mk-MK"/>
        </w:rPr>
        <w:t xml:space="preserve">на </w:t>
      </w:r>
      <w:r w:rsidRPr="008662BF">
        <w:rPr>
          <w:lang w:val="mk-MK"/>
        </w:rPr>
        <w:t xml:space="preserve">ЈИЕИМ; преку поврзување на ресурсите за пресметување, </w:t>
      </w:r>
      <w:r w:rsidR="00B40DEB">
        <w:rPr>
          <w:lang w:val="mk-MK"/>
        </w:rPr>
        <w:t xml:space="preserve">на </w:t>
      </w:r>
      <w:r w:rsidRPr="008662BF">
        <w:rPr>
          <w:lang w:val="mk-MK"/>
        </w:rPr>
        <w:t>податоци</w:t>
      </w:r>
      <w:r w:rsidR="00B40DEB">
        <w:rPr>
          <w:lang w:val="mk-MK"/>
        </w:rPr>
        <w:t>те</w:t>
      </w:r>
      <w:r w:rsidRPr="008662BF">
        <w:rPr>
          <w:lang w:val="mk-MK"/>
        </w:rPr>
        <w:t xml:space="preserve"> и визуелизација</w:t>
      </w:r>
      <w:r w:rsidR="00B40DEB">
        <w:rPr>
          <w:lang w:val="mk-MK"/>
        </w:rPr>
        <w:t>та</w:t>
      </w:r>
      <w:r w:rsidRPr="008662BF">
        <w:rPr>
          <w:lang w:val="mk-MK"/>
        </w:rPr>
        <w:t xml:space="preserve">, како и </w:t>
      </w:r>
      <w:r w:rsidR="00B40DEB">
        <w:rPr>
          <w:lang w:val="mk-MK"/>
        </w:rPr>
        <w:t xml:space="preserve">на </w:t>
      </w:r>
      <w:r w:rsidRPr="008662BF">
        <w:rPr>
          <w:lang w:val="mk-MK"/>
        </w:rPr>
        <w:t>услуги</w:t>
      </w:r>
      <w:r w:rsidR="00B40DEB">
        <w:rPr>
          <w:lang w:val="mk-MK"/>
        </w:rPr>
        <w:t>те</w:t>
      </w:r>
      <w:r w:rsidRPr="008662BF">
        <w:rPr>
          <w:lang w:val="mk-MK"/>
        </w:rPr>
        <w:t>, модели</w:t>
      </w:r>
      <w:r w:rsidR="00B40DEB">
        <w:rPr>
          <w:lang w:val="mk-MK"/>
        </w:rPr>
        <w:t>те</w:t>
      </w:r>
      <w:r w:rsidRPr="008662BF">
        <w:rPr>
          <w:lang w:val="mk-MK"/>
        </w:rPr>
        <w:t>, софтвер</w:t>
      </w:r>
      <w:r w:rsidR="00B40DEB">
        <w:rPr>
          <w:lang w:val="mk-MK"/>
        </w:rPr>
        <w:t>от</w:t>
      </w:r>
      <w:r w:rsidRPr="008662BF">
        <w:rPr>
          <w:lang w:val="mk-MK"/>
        </w:rPr>
        <w:t xml:space="preserve"> и алатки</w:t>
      </w:r>
      <w:r w:rsidR="00B40DEB">
        <w:rPr>
          <w:lang w:val="mk-MK"/>
        </w:rPr>
        <w:t>те</w:t>
      </w:r>
      <w:r w:rsidRPr="008662BF">
        <w:rPr>
          <w:lang w:val="mk-MK"/>
        </w:rPr>
        <w:t xml:space="preserve">. Оваа виртуелна истражувачка околина им обезбеди на научниците и </w:t>
      </w:r>
      <w:r w:rsidR="00B40DEB">
        <w:rPr>
          <w:lang w:val="mk-MK"/>
        </w:rPr>
        <w:t xml:space="preserve">на </w:t>
      </w:r>
      <w:r w:rsidRPr="008662BF">
        <w:rPr>
          <w:lang w:val="mk-MK"/>
        </w:rPr>
        <w:t xml:space="preserve">истражувачите поддршка во текот на целосниот животен циклус на заедничкото истражување: пристап и споделување на релевантни истражувачки податоци, нивно користење со обезбедени кодови и алатки за спроведување нови експерименти и симулации на е-инфраструктури од голем обем и </w:t>
      </w:r>
      <w:r w:rsidR="001A23E6">
        <w:rPr>
          <w:lang w:val="mk-MK"/>
        </w:rPr>
        <w:t xml:space="preserve">генерирање </w:t>
      </w:r>
      <w:r w:rsidRPr="008662BF">
        <w:rPr>
          <w:lang w:val="mk-MK"/>
        </w:rPr>
        <w:t xml:space="preserve">на ново знаење и податоци </w:t>
      </w:r>
      <w:r w:rsidR="00B40DEB">
        <w:rPr>
          <w:lang w:val="mk-MK"/>
        </w:rPr>
        <w:t>што</w:t>
      </w:r>
      <w:r w:rsidRPr="008662BF">
        <w:rPr>
          <w:lang w:val="mk-MK"/>
        </w:rPr>
        <w:t xml:space="preserve"> можат да се складираат и сподел</w:t>
      </w:r>
      <w:r w:rsidR="001A23E6">
        <w:rPr>
          <w:lang w:val="mk-MK"/>
        </w:rPr>
        <w:t xml:space="preserve">уваат </w:t>
      </w:r>
      <w:r w:rsidRPr="008662BF">
        <w:rPr>
          <w:lang w:val="mk-MK"/>
        </w:rPr>
        <w:t>во истата ВИО.</w:t>
      </w:r>
    </w:p>
    <w:p w14:paraId="05FE60CA" w14:textId="3B94F8C2" w:rsidR="003322BA"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12. </w:t>
      </w:r>
      <w:r w:rsidR="003322BA" w:rsidRPr="008662BF">
        <w:rPr>
          <w:rFonts w:asciiTheme="minorHAnsi" w:hAnsiTheme="minorHAnsi"/>
          <w:lang w:val="mk-MK"/>
        </w:rPr>
        <w:t xml:space="preserve">Европска </w:t>
      </w:r>
      <w:r w:rsidR="00B40DEB">
        <w:rPr>
          <w:rFonts w:asciiTheme="minorHAnsi" w:hAnsiTheme="minorHAnsi"/>
          <w:lang w:val="mk-MK"/>
        </w:rPr>
        <w:t>грид-иницијатива</w:t>
      </w:r>
      <w:r w:rsidR="003322BA" w:rsidRPr="008662BF">
        <w:rPr>
          <w:rFonts w:asciiTheme="minorHAnsi" w:hAnsiTheme="minorHAnsi"/>
          <w:lang w:val="mk-MK"/>
        </w:rPr>
        <w:t xml:space="preserve">: интегрирана одржлива паневропска инфраструктура за истражувачи во Европа: EGI-INSPIRE </w:t>
      </w:r>
    </w:p>
    <w:p w14:paraId="0AD3C980" w14:textId="77777777" w:rsidR="007947BF" w:rsidRPr="008662BF" w:rsidRDefault="002F6BCF" w:rsidP="007947BF">
      <w:pPr>
        <w:pStyle w:val="ListParagraph"/>
        <w:numPr>
          <w:ilvl w:val="0"/>
          <w:numId w:val="7"/>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79E5FC1A" w14:textId="5CB08572" w:rsidR="003322BA" w:rsidRPr="008662BF" w:rsidRDefault="002F6BCF" w:rsidP="003322BA">
      <w:pPr>
        <w:pStyle w:val="ListParagraph"/>
        <w:numPr>
          <w:ilvl w:val="0"/>
          <w:numId w:val="7"/>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3322BA" w:rsidRPr="008662BF">
        <w:rPr>
          <w:lang w:val="mk-MK"/>
        </w:rPr>
        <w:t xml:space="preserve">Универзитет „Св. Кирил и Методиј“ </w:t>
      </w:r>
      <w:r w:rsidR="001A23E6">
        <w:rPr>
          <w:lang w:val="mk-MK"/>
        </w:rPr>
        <w:t xml:space="preserve">- </w:t>
      </w:r>
      <w:r w:rsidR="003322BA" w:rsidRPr="008662BF">
        <w:rPr>
          <w:lang w:val="mk-MK"/>
        </w:rPr>
        <w:t xml:space="preserve">Скопје, ФИНКИ </w:t>
      </w:r>
    </w:p>
    <w:p w14:paraId="07057207" w14:textId="5D17F148" w:rsidR="007947BF" w:rsidRPr="008662BF" w:rsidRDefault="002F6BCF" w:rsidP="007947BF">
      <w:pPr>
        <w:pStyle w:val="ListParagraph"/>
        <w:numPr>
          <w:ilvl w:val="0"/>
          <w:numId w:val="7"/>
        </w:numPr>
        <w:rPr>
          <w:lang w:val="mk-MK"/>
        </w:rPr>
      </w:pPr>
      <w:r w:rsidRPr="008662BF">
        <w:rPr>
          <w:b/>
          <w:lang w:val="mk-MK"/>
        </w:rPr>
        <w:t>Вкупен број партнерски организации</w:t>
      </w:r>
      <w:r w:rsidR="007947BF" w:rsidRPr="008662BF">
        <w:rPr>
          <w:lang w:val="mk-MK"/>
        </w:rPr>
        <w:t>: 48</w:t>
      </w:r>
    </w:p>
    <w:p w14:paraId="76F41E54" w14:textId="77777777" w:rsidR="007947BF" w:rsidRPr="008662BF" w:rsidRDefault="002F6BCF" w:rsidP="007947BF">
      <w:pPr>
        <w:pStyle w:val="ListParagraph"/>
        <w:numPr>
          <w:ilvl w:val="0"/>
          <w:numId w:val="7"/>
        </w:numPr>
        <w:rPr>
          <w:lang w:val="mk-MK"/>
        </w:rPr>
      </w:pPr>
      <w:r w:rsidRPr="008662BF">
        <w:rPr>
          <w:b/>
          <w:lang w:val="mk-MK"/>
        </w:rPr>
        <w:t>Период на спроведување на проектот</w:t>
      </w:r>
      <w:r w:rsidR="007947BF" w:rsidRPr="008662BF">
        <w:rPr>
          <w:lang w:val="mk-MK"/>
        </w:rPr>
        <w:t>: 30</w:t>
      </w:r>
      <w:r w:rsidR="003322BA" w:rsidRPr="008662BF">
        <w:rPr>
          <w:lang w:val="mk-MK"/>
        </w:rPr>
        <w:t>.</w:t>
      </w:r>
      <w:r w:rsidR="007947BF" w:rsidRPr="008662BF">
        <w:rPr>
          <w:lang w:val="mk-MK"/>
        </w:rPr>
        <w:t>04</w:t>
      </w:r>
      <w:r w:rsidR="003322BA" w:rsidRPr="008662BF">
        <w:rPr>
          <w:lang w:val="mk-MK"/>
        </w:rPr>
        <w:t>.</w:t>
      </w:r>
      <w:r w:rsidR="007947BF" w:rsidRPr="008662BF">
        <w:rPr>
          <w:lang w:val="mk-MK"/>
        </w:rPr>
        <w:t xml:space="preserve">2010 </w:t>
      </w:r>
      <w:r w:rsidR="003322BA" w:rsidRPr="008662BF">
        <w:rPr>
          <w:lang w:val="mk-MK"/>
        </w:rPr>
        <w:t>–</w:t>
      </w:r>
      <w:r w:rsidR="007947BF" w:rsidRPr="008662BF">
        <w:rPr>
          <w:lang w:val="mk-MK"/>
        </w:rPr>
        <w:t xml:space="preserve"> 30</w:t>
      </w:r>
      <w:r w:rsidR="003322BA" w:rsidRPr="008662BF">
        <w:rPr>
          <w:lang w:val="mk-MK"/>
        </w:rPr>
        <w:t>.</w:t>
      </w:r>
      <w:r w:rsidR="007947BF" w:rsidRPr="008662BF">
        <w:rPr>
          <w:lang w:val="mk-MK"/>
        </w:rPr>
        <w:t>04</w:t>
      </w:r>
      <w:r w:rsidR="003322BA" w:rsidRPr="008662BF">
        <w:rPr>
          <w:lang w:val="mk-MK"/>
        </w:rPr>
        <w:t>.</w:t>
      </w:r>
      <w:r w:rsidR="007947BF" w:rsidRPr="008662BF">
        <w:rPr>
          <w:lang w:val="mk-MK"/>
        </w:rPr>
        <w:t>2014</w:t>
      </w:r>
    </w:p>
    <w:p w14:paraId="0E3C67AB" w14:textId="77777777" w:rsidR="007947BF" w:rsidRPr="008662BF" w:rsidRDefault="002F6BCF" w:rsidP="007947BF">
      <w:pPr>
        <w:pStyle w:val="ListParagraph"/>
        <w:numPr>
          <w:ilvl w:val="0"/>
          <w:numId w:val="7"/>
        </w:numPr>
        <w:rPr>
          <w:lang w:val="mk-MK"/>
        </w:rPr>
      </w:pPr>
      <w:r w:rsidRPr="008662BF">
        <w:rPr>
          <w:b/>
          <w:lang w:val="mk-MK"/>
        </w:rPr>
        <w:t>Научна област</w:t>
      </w:r>
      <w:r w:rsidR="007947BF" w:rsidRPr="008662BF">
        <w:rPr>
          <w:lang w:val="mk-MK"/>
        </w:rPr>
        <w:t>: e-</w:t>
      </w:r>
      <w:r w:rsidR="003322BA" w:rsidRPr="008662BF">
        <w:rPr>
          <w:lang w:val="mk-MK"/>
        </w:rPr>
        <w:t xml:space="preserve">инфраструктури </w:t>
      </w:r>
    </w:p>
    <w:p w14:paraId="3E61B502" w14:textId="0C71AD3F" w:rsidR="001F5CEF" w:rsidRPr="008662BF" w:rsidRDefault="001F5CEF" w:rsidP="007947BF">
      <w:pPr>
        <w:jc w:val="both"/>
        <w:rPr>
          <w:lang w:val="mk-MK"/>
        </w:rPr>
      </w:pPr>
      <w:r w:rsidRPr="008A68AC">
        <w:rPr>
          <w:lang w:val="mk-MK"/>
        </w:rPr>
        <w:t>48-месечниот проект EGI-InSPIRE ја продолжи транзицијата кон одржлива паневропска е-инфраструктура што започна со EGEE-III. Се продолжи со поддршката за мрежи на компјутерски ресурси со високи перформанси и висок проток, а истовремено се работеше на интеграција на нови дистрибуирани компјутерски инфраструктури (DCI). Се воспостави централна координативна организација, EGI.eu, и се обзебеди поддршка за персоналот низ цела Европа</w:t>
      </w:r>
      <w:r w:rsidR="008A68AC" w:rsidRPr="008A68AC">
        <w:rPr>
          <w:lang w:val="mk-MK"/>
        </w:rPr>
        <w:t>,</w:t>
      </w:r>
      <w:r w:rsidRPr="008A68AC">
        <w:rPr>
          <w:lang w:val="mk-MK"/>
        </w:rPr>
        <w:t xml:space="preserve"> што беше неопходна за интегрирање</w:t>
      </w:r>
      <w:r w:rsidR="00B40DEB">
        <w:rPr>
          <w:lang w:val="mk-MK"/>
        </w:rPr>
        <w:t>то</w:t>
      </w:r>
      <w:r w:rsidRPr="008A68AC">
        <w:rPr>
          <w:lang w:val="mk-MK"/>
        </w:rPr>
        <w:t xml:space="preserve"> и интероперационализација</w:t>
      </w:r>
      <w:r w:rsidR="00B40DEB">
        <w:rPr>
          <w:lang w:val="mk-MK"/>
        </w:rPr>
        <w:t>та</w:t>
      </w:r>
      <w:r w:rsidRPr="008A68AC">
        <w:rPr>
          <w:lang w:val="mk-MK"/>
        </w:rPr>
        <w:t xml:space="preserve"> на поединечните </w:t>
      </w:r>
      <w:r w:rsidRPr="008A68AC">
        <w:rPr>
          <w:lang w:val="mk-MK"/>
        </w:rPr>
        <w:lastRenderedPageBreak/>
        <w:t>национални мрежни инфраструктури. EGI.eu обезбеди координативен центар за европските</w:t>
      </w:r>
      <w:r w:rsidR="00B40DEB">
        <w:rPr>
          <w:lang w:val="mk-MK"/>
        </w:rPr>
        <w:t xml:space="preserve"> </w:t>
      </w:r>
      <w:r w:rsidR="008A68AC" w:rsidRPr="008A68AC">
        <w:rPr>
          <w:lang w:val="mk-MK"/>
        </w:rPr>
        <w:t>дистрибуирани компјутерски инфраструктури</w:t>
      </w:r>
      <w:r w:rsidRPr="008A68AC">
        <w:rPr>
          <w:lang w:val="mk-MK"/>
        </w:rPr>
        <w:t>, работејќи на поврзување</w:t>
      </w:r>
      <w:r w:rsidR="006638AC">
        <w:rPr>
          <w:lang w:val="mk-MK"/>
        </w:rPr>
        <w:t>то</w:t>
      </w:r>
      <w:r w:rsidRPr="008A68AC">
        <w:rPr>
          <w:lang w:val="mk-MK"/>
        </w:rPr>
        <w:t xml:space="preserve"> на постојните технологии во единствена интегрирана постојана производствена инфраструктура за истражувачи во Европската истражувачка област. </w:t>
      </w:r>
      <w:r w:rsidR="008A68AC">
        <w:rPr>
          <w:lang w:val="mk-MK"/>
        </w:rPr>
        <w:t>Во рамки</w:t>
      </w:r>
      <w:r w:rsidR="006638AC">
        <w:rPr>
          <w:lang w:val="mk-MK"/>
        </w:rPr>
        <w:t>те</w:t>
      </w:r>
      <w:r w:rsidR="008A68AC">
        <w:rPr>
          <w:lang w:val="mk-MK"/>
        </w:rPr>
        <w:t xml:space="preserve"> на п</w:t>
      </w:r>
      <w:r w:rsidRPr="008A68AC">
        <w:rPr>
          <w:lang w:val="mk-MK"/>
        </w:rPr>
        <w:t xml:space="preserve">роектот </w:t>
      </w:r>
      <w:r w:rsidR="008A68AC">
        <w:rPr>
          <w:lang w:val="mk-MK"/>
        </w:rPr>
        <w:t xml:space="preserve">се разгледаа </w:t>
      </w:r>
      <w:r w:rsidRPr="008A68AC">
        <w:rPr>
          <w:lang w:val="mk-MK"/>
        </w:rPr>
        <w:t>барањата</w:t>
      </w:r>
      <w:r w:rsidRPr="008662BF">
        <w:rPr>
          <w:lang w:val="mk-MK"/>
        </w:rPr>
        <w:t xml:space="preserve"> и </w:t>
      </w:r>
      <w:r w:rsidR="008A68AC">
        <w:rPr>
          <w:lang w:val="mk-MK"/>
        </w:rPr>
        <w:t xml:space="preserve">се </w:t>
      </w:r>
      <w:r w:rsidRPr="008662BF">
        <w:rPr>
          <w:lang w:val="mk-MK"/>
        </w:rPr>
        <w:t xml:space="preserve">обезбеди корисничка поддршка за тековните и </w:t>
      </w:r>
      <w:r w:rsidR="006638AC">
        <w:rPr>
          <w:lang w:val="mk-MK"/>
        </w:rPr>
        <w:t xml:space="preserve">за </w:t>
      </w:r>
      <w:r w:rsidRPr="008662BF">
        <w:rPr>
          <w:lang w:val="mk-MK"/>
        </w:rPr>
        <w:t xml:space="preserve">новите (на пр. ESFRI) корисници. Се обезбеди поддршка и за големите корисници при транзицијата на нивните клучни услуги и алатки од централен модел за поддршка кон модели </w:t>
      </w:r>
      <w:r w:rsidR="006638AC">
        <w:rPr>
          <w:lang w:val="mk-MK"/>
        </w:rPr>
        <w:t xml:space="preserve">што се </w:t>
      </w:r>
      <w:r w:rsidRPr="008662BF">
        <w:rPr>
          <w:lang w:val="mk-MK"/>
        </w:rPr>
        <w:t>управувани од нивните поединечни заедници. Во рамки</w:t>
      </w:r>
      <w:r w:rsidR="006638AC">
        <w:rPr>
          <w:lang w:val="mk-MK"/>
        </w:rPr>
        <w:t>те</w:t>
      </w:r>
      <w:r w:rsidRPr="008662BF">
        <w:rPr>
          <w:lang w:val="mk-MK"/>
        </w:rPr>
        <w:t xml:space="preserve"> на проектот се проширија оперативните алатки за да се поддржи националниот оперативен модел </w:t>
      </w:r>
      <w:r w:rsidR="00CB2785">
        <w:rPr>
          <w:lang w:val="mk-MK"/>
        </w:rPr>
        <w:t xml:space="preserve">за </w:t>
      </w:r>
      <w:r w:rsidRPr="008662BF">
        <w:rPr>
          <w:lang w:val="mk-MK"/>
        </w:rPr>
        <w:t>расп</w:t>
      </w:r>
      <w:r w:rsidR="00CB2785">
        <w:rPr>
          <w:lang w:val="mk-MK"/>
        </w:rPr>
        <w:t>ределување</w:t>
      </w:r>
      <w:r w:rsidRPr="008662BF">
        <w:rPr>
          <w:lang w:val="mk-MK"/>
        </w:rPr>
        <w:t>, да се вклучат нови DCI</w:t>
      </w:r>
      <w:r w:rsidR="006638AC">
        <w:rPr>
          <w:lang w:val="mk-MK"/>
        </w:rPr>
        <w:t>-</w:t>
      </w:r>
      <w:r w:rsidRPr="008662BF">
        <w:rPr>
          <w:lang w:val="mk-MK"/>
        </w:rPr>
        <w:t xml:space="preserve">технологии во производствената инфраструктура и </w:t>
      </w:r>
      <w:r w:rsidR="006638AC">
        <w:rPr>
          <w:lang w:val="mk-MK"/>
        </w:rPr>
        <w:t xml:space="preserve">во </w:t>
      </w:r>
      <w:r w:rsidRPr="008662BF">
        <w:rPr>
          <w:lang w:val="mk-MK"/>
        </w:rPr>
        <w:t>придружните сметководствени информации</w:t>
      </w:r>
      <w:r w:rsidR="006638AC">
        <w:rPr>
          <w:lang w:val="mk-MK"/>
        </w:rPr>
        <w:t>,</w:t>
      </w:r>
      <w:r w:rsidRPr="008662BF">
        <w:rPr>
          <w:lang w:val="mk-MK"/>
        </w:rPr>
        <w:t xml:space="preserve"> </w:t>
      </w:r>
      <w:r w:rsidR="006638AC">
        <w:rPr>
          <w:lang w:val="mk-MK"/>
        </w:rPr>
        <w:t>што</w:t>
      </w:r>
      <w:r w:rsidR="00CB2785">
        <w:rPr>
          <w:lang w:val="mk-MK"/>
        </w:rPr>
        <w:t xml:space="preserve"> ќе </w:t>
      </w:r>
      <w:r w:rsidRPr="008662BF">
        <w:rPr>
          <w:lang w:val="mk-MK"/>
        </w:rPr>
        <w:t>помогнат во дефинирањето на идниот модел на приходи на EGI.</w:t>
      </w:r>
    </w:p>
    <w:p w14:paraId="4569D5CF" w14:textId="77777777" w:rsidR="001F5CE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13. </w:t>
      </w:r>
      <w:r w:rsidR="001F5CEF" w:rsidRPr="008662BF">
        <w:rPr>
          <w:rFonts w:asciiTheme="minorHAnsi" w:hAnsiTheme="minorHAnsi"/>
          <w:lang w:val="mk-MK"/>
        </w:rPr>
        <w:t xml:space="preserve">GN3 (Мулти-гигабитна европска мрежа </w:t>
      </w:r>
      <w:r w:rsidR="00CB2785">
        <w:rPr>
          <w:rFonts w:asciiTheme="minorHAnsi" w:hAnsiTheme="minorHAnsi"/>
          <w:lang w:val="mk-MK"/>
        </w:rPr>
        <w:t xml:space="preserve">за истражување и образование </w:t>
      </w:r>
      <w:r w:rsidR="001F5CEF" w:rsidRPr="008662BF">
        <w:rPr>
          <w:rFonts w:asciiTheme="minorHAnsi" w:hAnsiTheme="minorHAnsi"/>
          <w:lang w:val="mk-MK"/>
        </w:rPr>
        <w:t>и придружни услуги – GN3)</w:t>
      </w:r>
    </w:p>
    <w:p w14:paraId="083C3600" w14:textId="77777777" w:rsidR="007947BF" w:rsidRPr="008662BF" w:rsidRDefault="002F6BCF" w:rsidP="007947BF">
      <w:pPr>
        <w:pStyle w:val="ListParagraph"/>
        <w:numPr>
          <w:ilvl w:val="0"/>
          <w:numId w:val="7"/>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08F062A3" w14:textId="3C9B33DE" w:rsidR="00182827" w:rsidRPr="008662BF" w:rsidRDefault="002F6BCF" w:rsidP="00182827">
      <w:pPr>
        <w:pStyle w:val="ListParagraph"/>
        <w:numPr>
          <w:ilvl w:val="0"/>
          <w:numId w:val="7"/>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182827" w:rsidRPr="008662BF">
        <w:rPr>
          <w:lang w:val="mk-MK"/>
        </w:rPr>
        <w:t xml:space="preserve">Универзитет „Св. Кирил и Методиј“ - Скопје; Македонска академска истражувачка мрежа - Скопје </w:t>
      </w:r>
    </w:p>
    <w:p w14:paraId="0904C961" w14:textId="001005C2" w:rsidR="007947BF" w:rsidRPr="008662BF" w:rsidRDefault="002F6BCF" w:rsidP="007947BF">
      <w:pPr>
        <w:pStyle w:val="ListParagraph"/>
        <w:numPr>
          <w:ilvl w:val="0"/>
          <w:numId w:val="7"/>
        </w:numPr>
        <w:rPr>
          <w:lang w:val="mk-MK"/>
        </w:rPr>
      </w:pPr>
      <w:r w:rsidRPr="008662BF">
        <w:rPr>
          <w:b/>
          <w:lang w:val="mk-MK"/>
        </w:rPr>
        <w:t>Вкупен број партнерски организации</w:t>
      </w:r>
      <w:r w:rsidR="007947BF" w:rsidRPr="008662BF">
        <w:rPr>
          <w:lang w:val="mk-MK"/>
        </w:rPr>
        <w:t>: 41</w:t>
      </w:r>
    </w:p>
    <w:p w14:paraId="17AE50A1" w14:textId="77777777" w:rsidR="007947BF" w:rsidRPr="008662BF" w:rsidRDefault="002F6BCF" w:rsidP="007947BF">
      <w:pPr>
        <w:pStyle w:val="ListParagraph"/>
        <w:numPr>
          <w:ilvl w:val="0"/>
          <w:numId w:val="7"/>
        </w:numPr>
        <w:rPr>
          <w:lang w:val="mk-MK"/>
        </w:rPr>
      </w:pPr>
      <w:r w:rsidRPr="008662BF">
        <w:rPr>
          <w:b/>
          <w:lang w:val="mk-MK"/>
        </w:rPr>
        <w:t>Период на спроведување на проектот</w:t>
      </w:r>
      <w:r w:rsidR="007947BF" w:rsidRPr="008662BF">
        <w:rPr>
          <w:lang w:val="mk-MK"/>
        </w:rPr>
        <w:t>: 01</w:t>
      </w:r>
      <w:r w:rsidR="00686F95" w:rsidRPr="008662BF">
        <w:rPr>
          <w:lang w:val="mk-MK"/>
        </w:rPr>
        <w:t>.</w:t>
      </w:r>
      <w:r w:rsidR="007947BF" w:rsidRPr="008662BF">
        <w:rPr>
          <w:lang w:val="mk-MK"/>
        </w:rPr>
        <w:t>04</w:t>
      </w:r>
      <w:r w:rsidR="00686F95" w:rsidRPr="008662BF">
        <w:rPr>
          <w:lang w:val="mk-MK"/>
        </w:rPr>
        <w:t>.</w:t>
      </w:r>
      <w:r w:rsidR="007947BF" w:rsidRPr="008662BF">
        <w:rPr>
          <w:lang w:val="mk-MK"/>
        </w:rPr>
        <w:t xml:space="preserve">2009 </w:t>
      </w:r>
      <w:r w:rsidR="00686F95" w:rsidRPr="008662BF">
        <w:rPr>
          <w:lang w:val="mk-MK"/>
        </w:rPr>
        <w:t>–</w:t>
      </w:r>
      <w:r w:rsidR="007947BF" w:rsidRPr="008662BF">
        <w:rPr>
          <w:lang w:val="mk-MK"/>
        </w:rPr>
        <w:t xml:space="preserve"> 30</w:t>
      </w:r>
      <w:r w:rsidR="00686F95" w:rsidRPr="008662BF">
        <w:rPr>
          <w:lang w:val="mk-MK"/>
        </w:rPr>
        <w:t>.</w:t>
      </w:r>
      <w:r w:rsidR="007947BF" w:rsidRPr="008662BF">
        <w:rPr>
          <w:lang w:val="mk-MK"/>
        </w:rPr>
        <w:t>09</w:t>
      </w:r>
      <w:r w:rsidR="00686F95" w:rsidRPr="008662BF">
        <w:rPr>
          <w:lang w:val="mk-MK"/>
        </w:rPr>
        <w:t>.</w:t>
      </w:r>
      <w:r w:rsidR="007947BF" w:rsidRPr="008662BF">
        <w:rPr>
          <w:lang w:val="mk-MK"/>
        </w:rPr>
        <w:t>2013</w:t>
      </w:r>
    </w:p>
    <w:p w14:paraId="1557E16B" w14:textId="77777777" w:rsidR="00686F95" w:rsidRPr="008662BF" w:rsidRDefault="002F6BCF" w:rsidP="007947BF">
      <w:pPr>
        <w:pStyle w:val="ListParagraph"/>
        <w:numPr>
          <w:ilvl w:val="0"/>
          <w:numId w:val="7"/>
        </w:numPr>
        <w:rPr>
          <w:lang w:val="mk-MK"/>
        </w:rPr>
      </w:pPr>
      <w:r w:rsidRPr="008662BF">
        <w:rPr>
          <w:b/>
          <w:lang w:val="mk-MK"/>
        </w:rPr>
        <w:t>Научна област</w:t>
      </w:r>
      <w:r w:rsidR="00686F95" w:rsidRPr="008662BF">
        <w:rPr>
          <w:lang w:val="mk-MK"/>
        </w:rPr>
        <w:t>: е-инфраструктура</w:t>
      </w:r>
    </w:p>
    <w:p w14:paraId="676F90CC" w14:textId="16DCAC5E" w:rsidR="00B02616" w:rsidRPr="008662BF" w:rsidRDefault="00AB2BEA" w:rsidP="007947BF">
      <w:pPr>
        <w:jc w:val="both"/>
        <w:rPr>
          <w:lang w:val="mk-MK"/>
        </w:rPr>
      </w:pPr>
      <w:r w:rsidRPr="008662BF">
        <w:rPr>
          <w:lang w:val="mk-MK"/>
        </w:rPr>
        <w:t>Целта на овој проект беше создавање врвна мрежа која</w:t>
      </w:r>
      <w:r w:rsidR="006638AC">
        <w:rPr>
          <w:lang w:val="mk-MK"/>
        </w:rPr>
        <w:t>што</w:t>
      </w:r>
      <w:r w:rsidRPr="008662BF">
        <w:rPr>
          <w:lang w:val="mk-MK"/>
        </w:rPr>
        <w:t xml:space="preserve"> поддржува многу подобар опсег и на мрежни и на услуги со додадена вредност </w:t>
      </w:r>
      <w:r w:rsidR="00CB2785">
        <w:rPr>
          <w:lang w:val="mk-MK"/>
        </w:rPr>
        <w:t xml:space="preserve">за </w:t>
      </w:r>
      <w:r w:rsidRPr="008662BF">
        <w:rPr>
          <w:lang w:val="mk-MK"/>
        </w:rPr>
        <w:t xml:space="preserve">крајните корисници </w:t>
      </w:r>
      <w:r w:rsidR="00CB2785">
        <w:rPr>
          <w:lang w:val="mk-MK"/>
        </w:rPr>
        <w:t xml:space="preserve">во </w:t>
      </w:r>
      <w:r w:rsidRPr="008662BF">
        <w:rPr>
          <w:lang w:val="mk-MK"/>
        </w:rPr>
        <w:t>областа на услуги</w:t>
      </w:r>
      <w:r w:rsidR="006638AC">
        <w:rPr>
          <w:lang w:val="mk-MK"/>
        </w:rPr>
        <w:t>те</w:t>
      </w:r>
      <w:r w:rsidRPr="008662BF">
        <w:rPr>
          <w:lang w:val="mk-MK"/>
        </w:rPr>
        <w:t xml:space="preserve"> на GÉANT. Главна</w:t>
      </w:r>
      <w:r w:rsidR="006638AC">
        <w:rPr>
          <w:lang w:val="mk-MK"/>
        </w:rPr>
        <w:t>та</w:t>
      </w:r>
      <w:r w:rsidRPr="008662BF">
        <w:rPr>
          <w:lang w:val="mk-MK"/>
        </w:rPr>
        <w:t xml:space="preserve"> цел беше да се создаде портфолио на </w:t>
      </w:r>
      <w:r w:rsidR="00CB2785">
        <w:rPr>
          <w:lang w:val="mk-MK"/>
        </w:rPr>
        <w:t xml:space="preserve">непрекинати </w:t>
      </w:r>
      <w:r w:rsidRPr="008662BF">
        <w:rPr>
          <w:lang w:val="mk-MK"/>
        </w:rPr>
        <w:t xml:space="preserve">услуги со повеќе </w:t>
      </w:r>
      <w:r w:rsidR="00CB2785">
        <w:rPr>
          <w:lang w:val="mk-MK"/>
        </w:rPr>
        <w:t>домени</w:t>
      </w:r>
      <w:r w:rsidRPr="008662BF">
        <w:rPr>
          <w:lang w:val="mk-MK"/>
        </w:rPr>
        <w:t xml:space="preserve">. За разлика од неговиот претходник, GN2, </w:t>
      </w:r>
      <w:r w:rsidR="00CB2785">
        <w:rPr>
          <w:lang w:val="mk-MK"/>
        </w:rPr>
        <w:t xml:space="preserve">во овој проект </w:t>
      </w:r>
      <w:r w:rsidRPr="008662BF">
        <w:rPr>
          <w:lang w:val="mk-MK"/>
        </w:rPr>
        <w:t xml:space="preserve">многу поголем акцент </w:t>
      </w:r>
      <w:r w:rsidR="00B02616" w:rsidRPr="008662BF">
        <w:rPr>
          <w:lang w:val="mk-MK"/>
        </w:rPr>
        <w:t xml:space="preserve">се стави </w:t>
      </w:r>
      <w:r w:rsidRPr="008662BF">
        <w:rPr>
          <w:lang w:val="mk-MK"/>
        </w:rPr>
        <w:t>на развојот на услуги</w:t>
      </w:r>
      <w:r w:rsidR="006638AC">
        <w:rPr>
          <w:lang w:val="mk-MK"/>
        </w:rPr>
        <w:t>те</w:t>
      </w:r>
      <w:r w:rsidRPr="008662BF">
        <w:rPr>
          <w:lang w:val="mk-MK"/>
        </w:rPr>
        <w:t xml:space="preserve"> и воведувањето </w:t>
      </w:r>
      <w:r w:rsidR="00CB2785">
        <w:rPr>
          <w:lang w:val="mk-MK"/>
        </w:rPr>
        <w:t xml:space="preserve">на </w:t>
      </w:r>
      <w:r w:rsidRPr="008662BF">
        <w:rPr>
          <w:lang w:val="mk-MK"/>
        </w:rPr>
        <w:t xml:space="preserve">услуги. </w:t>
      </w:r>
      <w:r w:rsidR="00B02616" w:rsidRPr="008662BF">
        <w:rPr>
          <w:lang w:val="mk-MK"/>
        </w:rPr>
        <w:t xml:space="preserve">Се </w:t>
      </w:r>
      <w:r w:rsidR="00CB2785">
        <w:rPr>
          <w:lang w:val="mk-MK"/>
        </w:rPr>
        <w:t xml:space="preserve">спроведоа </w:t>
      </w:r>
      <w:r w:rsidRPr="008662BF">
        <w:rPr>
          <w:lang w:val="mk-MK"/>
        </w:rPr>
        <w:t>иницијативи во областите на функционирање на услуги</w:t>
      </w:r>
      <w:r w:rsidR="006638AC">
        <w:rPr>
          <w:lang w:val="mk-MK"/>
        </w:rPr>
        <w:t>те</w:t>
      </w:r>
      <w:r w:rsidRPr="008662BF">
        <w:rPr>
          <w:lang w:val="mk-MK"/>
        </w:rPr>
        <w:t xml:space="preserve"> со повеќе </w:t>
      </w:r>
      <w:r w:rsidR="00CB2785">
        <w:rPr>
          <w:lang w:val="mk-MK"/>
        </w:rPr>
        <w:t>домени</w:t>
      </w:r>
      <w:r w:rsidRPr="008662BF">
        <w:rPr>
          <w:lang w:val="mk-MK"/>
        </w:rPr>
        <w:t xml:space="preserve">, </w:t>
      </w:r>
      <w:r w:rsidR="00CB2785">
        <w:rPr>
          <w:lang w:val="mk-MK"/>
        </w:rPr>
        <w:t>во рамки</w:t>
      </w:r>
      <w:r w:rsidR="006638AC">
        <w:rPr>
          <w:lang w:val="mk-MK"/>
        </w:rPr>
        <w:t>те</w:t>
      </w:r>
      <w:r w:rsidR="00CB2785">
        <w:rPr>
          <w:lang w:val="mk-MK"/>
        </w:rPr>
        <w:t xml:space="preserve"> на кои </w:t>
      </w:r>
      <w:r w:rsidRPr="008662BF">
        <w:rPr>
          <w:lang w:val="mk-MK"/>
        </w:rPr>
        <w:t xml:space="preserve">беше организирано брзо и ефикасно обезбедување на напредни услуги. </w:t>
      </w:r>
      <w:r w:rsidR="00B02616" w:rsidRPr="008662BF">
        <w:rPr>
          <w:lang w:val="mk-MK"/>
        </w:rPr>
        <w:t>Се обезбеди оперативна поддршка за вкрстување на домени</w:t>
      </w:r>
      <w:r w:rsidR="006638AC">
        <w:rPr>
          <w:lang w:val="mk-MK"/>
        </w:rPr>
        <w:t>те</w:t>
      </w:r>
      <w:r w:rsidR="00B02616" w:rsidRPr="008662BF">
        <w:rPr>
          <w:lang w:val="mk-MK"/>
        </w:rPr>
        <w:t xml:space="preserve"> за управување и безбедност за да се обезбеди интегритет</w:t>
      </w:r>
      <w:r w:rsidR="006638AC">
        <w:rPr>
          <w:lang w:val="mk-MK"/>
        </w:rPr>
        <w:t>от</w:t>
      </w:r>
      <w:r w:rsidR="00B02616" w:rsidRPr="008662BF">
        <w:rPr>
          <w:lang w:val="mk-MK"/>
        </w:rPr>
        <w:t xml:space="preserve"> на услугите и заштита</w:t>
      </w:r>
      <w:r w:rsidR="006638AC">
        <w:rPr>
          <w:lang w:val="mk-MK"/>
        </w:rPr>
        <w:t>та</w:t>
      </w:r>
      <w:r w:rsidR="00B02616" w:rsidRPr="008662BF">
        <w:rPr>
          <w:lang w:val="mk-MK"/>
        </w:rPr>
        <w:t xml:space="preserve"> на мрежните ресурси. Ова се надополни со развој</w:t>
      </w:r>
      <w:r w:rsidR="006638AC">
        <w:rPr>
          <w:lang w:val="mk-MK"/>
        </w:rPr>
        <w:t>от</w:t>
      </w:r>
      <w:r w:rsidR="00B02616" w:rsidRPr="008662BF">
        <w:rPr>
          <w:lang w:val="mk-MK"/>
        </w:rPr>
        <w:t xml:space="preserve"> на услуги</w:t>
      </w:r>
      <w:r w:rsidR="006638AC">
        <w:rPr>
          <w:lang w:val="mk-MK"/>
        </w:rPr>
        <w:t>те</w:t>
      </w:r>
      <w:r w:rsidR="00B02616" w:rsidRPr="008662BF">
        <w:rPr>
          <w:lang w:val="mk-MK"/>
        </w:rPr>
        <w:t xml:space="preserve"> за крајните корисници во федеративна средина </w:t>
      </w:r>
      <w:r w:rsidR="00CB2785">
        <w:rPr>
          <w:lang w:val="mk-MK"/>
        </w:rPr>
        <w:t xml:space="preserve">со фокус на </w:t>
      </w:r>
      <w:r w:rsidR="00B02616" w:rsidRPr="008662BF">
        <w:rPr>
          <w:lang w:val="mk-MK"/>
        </w:rPr>
        <w:t>создавање на генерички „мета-услуги“, особено во контекст на безбедноста, како и</w:t>
      </w:r>
      <w:r w:rsidR="006638AC">
        <w:rPr>
          <w:lang w:val="mk-MK"/>
        </w:rPr>
        <w:t xml:space="preserve"> со</w:t>
      </w:r>
      <w:r w:rsidR="00B02616" w:rsidRPr="008662BF">
        <w:rPr>
          <w:lang w:val="mk-MK"/>
        </w:rPr>
        <w:t xml:space="preserve"> натамошен развој во областа на услугите во роаминг. Посебен акцент се стави на поддршката </w:t>
      </w:r>
      <w:r w:rsidR="00F10658" w:rsidRPr="008662BF">
        <w:rPr>
          <w:lang w:val="mk-MK"/>
        </w:rPr>
        <w:t xml:space="preserve">на </w:t>
      </w:r>
      <w:r w:rsidR="00B02616" w:rsidRPr="008662BF">
        <w:rPr>
          <w:lang w:val="mk-MK"/>
        </w:rPr>
        <w:t xml:space="preserve">крајните корисници </w:t>
      </w:r>
      <w:r w:rsidR="00F10658" w:rsidRPr="008662BF">
        <w:rPr>
          <w:lang w:val="mk-MK"/>
        </w:rPr>
        <w:t>и</w:t>
      </w:r>
      <w:r w:rsidR="006638AC">
        <w:rPr>
          <w:lang w:val="mk-MK"/>
        </w:rPr>
        <w:t xml:space="preserve"> на </w:t>
      </w:r>
      <w:r w:rsidR="00F10658" w:rsidRPr="008662BF">
        <w:rPr>
          <w:lang w:val="mk-MK"/>
        </w:rPr>
        <w:t xml:space="preserve">нивното поттикување да ги прифатат услугите </w:t>
      </w:r>
      <w:r w:rsidR="00B02616" w:rsidRPr="008662BF">
        <w:rPr>
          <w:lang w:val="mk-MK"/>
        </w:rPr>
        <w:t>преку тесна соработка со NREN. Потребата да се развие оваа тема во соработка со другите глобални региони беше препознаена со вклучување на активност</w:t>
      </w:r>
      <w:r w:rsidR="006638AC">
        <w:rPr>
          <w:lang w:val="mk-MK"/>
        </w:rPr>
        <w:t>а</w:t>
      </w:r>
      <w:r w:rsidR="00B02616" w:rsidRPr="008662BF">
        <w:rPr>
          <w:lang w:val="mk-MK"/>
        </w:rPr>
        <w:t xml:space="preserve"> </w:t>
      </w:r>
      <w:r w:rsidR="006638AC">
        <w:rPr>
          <w:lang w:val="mk-MK"/>
        </w:rPr>
        <w:t>што</w:t>
      </w:r>
      <w:r w:rsidR="00B02616" w:rsidRPr="008662BF">
        <w:rPr>
          <w:lang w:val="mk-MK"/>
        </w:rPr>
        <w:t xml:space="preserve"> беше конкретно насочена кон постигнување на ова.</w:t>
      </w:r>
    </w:p>
    <w:p w14:paraId="3E12D486" w14:textId="2ACD403B"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14. GN3PLUS (</w:t>
      </w:r>
      <w:r w:rsidR="00B02616" w:rsidRPr="008662BF">
        <w:rPr>
          <w:rFonts w:asciiTheme="minorHAnsi" w:hAnsiTheme="minorHAnsi"/>
          <w:lang w:val="mk-MK"/>
        </w:rPr>
        <w:t xml:space="preserve">Мултигигабитна европска мрежа </w:t>
      </w:r>
      <w:r w:rsidR="00CB2785">
        <w:rPr>
          <w:rFonts w:asciiTheme="minorHAnsi" w:hAnsiTheme="minorHAnsi"/>
          <w:lang w:val="mk-MK"/>
        </w:rPr>
        <w:t xml:space="preserve">за истражување и образование </w:t>
      </w:r>
      <w:r w:rsidR="00B02616" w:rsidRPr="008662BF">
        <w:rPr>
          <w:rFonts w:asciiTheme="minorHAnsi" w:hAnsiTheme="minorHAnsi"/>
          <w:lang w:val="mk-MK"/>
        </w:rPr>
        <w:t>и придружни услуги</w:t>
      </w:r>
      <w:r w:rsidRPr="008662BF">
        <w:rPr>
          <w:rFonts w:asciiTheme="minorHAnsi" w:hAnsiTheme="minorHAnsi"/>
          <w:lang w:val="mk-MK"/>
        </w:rPr>
        <w:t>)</w:t>
      </w:r>
    </w:p>
    <w:p w14:paraId="73700087" w14:textId="77777777" w:rsidR="007947BF" w:rsidRPr="008662BF" w:rsidRDefault="002F6BCF" w:rsidP="007947BF">
      <w:pPr>
        <w:pStyle w:val="ListParagraph"/>
        <w:numPr>
          <w:ilvl w:val="0"/>
          <w:numId w:val="7"/>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2AD131CE" w14:textId="0C186F9A" w:rsidR="00840AC6" w:rsidRPr="008662BF" w:rsidRDefault="002F6BCF" w:rsidP="00840AC6">
      <w:pPr>
        <w:pStyle w:val="ListParagraph"/>
        <w:numPr>
          <w:ilvl w:val="0"/>
          <w:numId w:val="7"/>
        </w:numPr>
        <w:rPr>
          <w:lang w:val="mk-MK"/>
        </w:rPr>
      </w:pPr>
      <w:r w:rsidRPr="008662BF">
        <w:rPr>
          <w:b/>
          <w:lang w:val="mk-MK"/>
        </w:rPr>
        <w:t xml:space="preserve">Проектни партнери од </w:t>
      </w:r>
      <w:r w:rsidR="00417197">
        <w:rPr>
          <w:b/>
          <w:lang w:val="mk-MK"/>
        </w:rPr>
        <w:t>Република Северна Македонија</w:t>
      </w:r>
      <w:r w:rsidR="00840AC6" w:rsidRPr="008662BF">
        <w:rPr>
          <w:lang w:val="mk-MK"/>
        </w:rPr>
        <w:t xml:space="preserve">: Македонска академска истражувачка мрежа, Скопје </w:t>
      </w:r>
    </w:p>
    <w:p w14:paraId="367081EE" w14:textId="1F25E61C" w:rsidR="007947BF" w:rsidRPr="008662BF" w:rsidRDefault="002F6BCF" w:rsidP="007947BF">
      <w:pPr>
        <w:pStyle w:val="ListParagraph"/>
        <w:numPr>
          <w:ilvl w:val="0"/>
          <w:numId w:val="7"/>
        </w:numPr>
        <w:rPr>
          <w:lang w:val="mk-MK"/>
        </w:rPr>
      </w:pPr>
      <w:r w:rsidRPr="008662BF">
        <w:rPr>
          <w:b/>
          <w:lang w:val="mk-MK"/>
        </w:rPr>
        <w:t>Вкупен број партнерски организации</w:t>
      </w:r>
      <w:r w:rsidR="007947BF" w:rsidRPr="008662BF">
        <w:rPr>
          <w:lang w:val="mk-MK"/>
        </w:rPr>
        <w:t>: 58</w:t>
      </w:r>
    </w:p>
    <w:p w14:paraId="153555FD" w14:textId="77777777" w:rsidR="007947BF" w:rsidRPr="008662BF" w:rsidRDefault="002F6BCF" w:rsidP="007947BF">
      <w:pPr>
        <w:pStyle w:val="ListParagraph"/>
        <w:numPr>
          <w:ilvl w:val="0"/>
          <w:numId w:val="7"/>
        </w:numPr>
        <w:rPr>
          <w:lang w:val="mk-MK"/>
        </w:rPr>
      </w:pPr>
      <w:r w:rsidRPr="008662BF">
        <w:rPr>
          <w:b/>
          <w:lang w:val="mk-MK"/>
        </w:rPr>
        <w:t>Период на спроведување на проектот</w:t>
      </w:r>
      <w:r w:rsidR="007947BF" w:rsidRPr="008662BF">
        <w:rPr>
          <w:lang w:val="mk-MK"/>
        </w:rPr>
        <w:t>: 01</w:t>
      </w:r>
      <w:r w:rsidR="00B02616" w:rsidRPr="008662BF">
        <w:rPr>
          <w:lang w:val="mk-MK"/>
        </w:rPr>
        <w:t>.</w:t>
      </w:r>
      <w:r w:rsidR="007947BF" w:rsidRPr="008662BF">
        <w:rPr>
          <w:lang w:val="mk-MK"/>
        </w:rPr>
        <w:t>04</w:t>
      </w:r>
      <w:r w:rsidR="00B02616" w:rsidRPr="008662BF">
        <w:rPr>
          <w:lang w:val="mk-MK"/>
        </w:rPr>
        <w:t>.</w:t>
      </w:r>
      <w:r w:rsidR="007947BF" w:rsidRPr="008662BF">
        <w:rPr>
          <w:lang w:val="mk-MK"/>
        </w:rPr>
        <w:t xml:space="preserve">2013 </w:t>
      </w:r>
      <w:r w:rsidR="00B02616" w:rsidRPr="008662BF">
        <w:rPr>
          <w:lang w:val="mk-MK"/>
        </w:rPr>
        <w:t>–</w:t>
      </w:r>
      <w:r w:rsidR="007947BF" w:rsidRPr="008662BF">
        <w:rPr>
          <w:lang w:val="mk-MK"/>
        </w:rPr>
        <w:t xml:space="preserve"> 31</w:t>
      </w:r>
      <w:r w:rsidR="00B02616" w:rsidRPr="008662BF">
        <w:rPr>
          <w:lang w:val="mk-MK"/>
        </w:rPr>
        <w:t>.</w:t>
      </w:r>
      <w:r w:rsidR="007947BF" w:rsidRPr="008662BF">
        <w:rPr>
          <w:lang w:val="mk-MK"/>
        </w:rPr>
        <w:t>03</w:t>
      </w:r>
      <w:r w:rsidR="00B02616" w:rsidRPr="008662BF">
        <w:rPr>
          <w:lang w:val="mk-MK"/>
        </w:rPr>
        <w:t>.</w:t>
      </w:r>
      <w:r w:rsidR="007947BF" w:rsidRPr="008662BF">
        <w:rPr>
          <w:lang w:val="mk-MK"/>
        </w:rPr>
        <w:t>2015</w:t>
      </w:r>
    </w:p>
    <w:p w14:paraId="3A308C2C" w14:textId="77777777" w:rsidR="007947BF" w:rsidRPr="008662BF" w:rsidRDefault="002F6BCF" w:rsidP="007947BF">
      <w:pPr>
        <w:pStyle w:val="ListParagraph"/>
        <w:numPr>
          <w:ilvl w:val="0"/>
          <w:numId w:val="7"/>
        </w:numPr>
        <w:rPr>
          <w:lang w:val="mk-MK"/>
        </w:rPr>
      </w:pPr>
      <w:r w:rsidRPr="008662BF">
        <w:rPr>
          <w:b/>
          <w:lang w:val="mk-MK"/>
        </w:rPr>
        <w:t>Научна област</w:t>
      </w:r>
      <w:r w:rsidR="007947BF" w:rsidRPr="008662BF">
        <w:rPr>
          <w:lang w:val="mk-MK"/>
        </w:rPr>
        <w:t xml:space="preserve">: </w:t>
      </w:r>
      <w:r w:rsidR="00B02616" w:rsidRPr="008662BF">
        <w:rPr>
          <w:lang w:val="mk-MK"/>
        </w:rPr>
        <w:t>е-инфраструктури</w:t>
      </w:r>
    </w:p>
    <w:p w14:paraId="737E55D7" w14:textId="77777777" w:rsidR="00F10658" w:rsidRPr="008662BF" w:rsidRDefault="00984A38" w:rsidP="007947BF">
      <w:pPr>
        <w:jc w:val="both"/>
        <w:rPr>
          <w:lang w:val="mk-MK"/>
        </w:rPr>
      </w:pPr>
      <w:r w:rsidRPr="008662BF">
        <w:rPr>
          <w:lang w:val="mk-MK"/>
        </w:rPr>
        <w:lastRenderedPageBreak/>
        <w:t>Овој проект се состоеше од активности кои</w:t>
      </w:r>
      <w:r w:rsidR="00872510">
        <w:rPr>
          <w:lang w:val="mk-MK"/>
        </w:rPr>
        <w:t>што</w:t>
      </w:r>
      <w:r w:rsidRPr="008662BF">
        <w:rPr>
          <w:lang w:val="mk-MK"/>
        </w:rPr>
        <w:t xml:space="preserve"> обезбедија континуирано подобрување и тековно функционирање на врвната мрежа GÉANT, со поддршка на голем број мрежни </w:t>
      </w:r>
      <w:r w:rsidR="00BC6660">
        <w:rPr>
          <w:lang w:val="mk-MK"/>
        </w:rPr>
        <w:t xml:space="preserve">услуги </w:t>
      </w:r>
      <w:r w:rsidRPr="008662BF">
        <w:rPr>
          <w:lang w:val="mk-MK"/>
        </w:rPr>
        <w:t>и услуги со додадена вредност, насочени кон корисниците во областа на услуги на GÉANT. Во областа на функционирањето на мрежни</w:t>
      </w:r>
      <w:r w:rsidR="00872510">
        <w:rPr>
          <w:lang w:val="mk-MK"/>
        </w:rPr>
        <w:t>те</w:t>
      </w:r>
      <w:r w:rsidRPr="008662BF">
        <w:rPr>
          <w:lang w:val="mk-MK"/>
        </w:rPr>
        <w:t xml:space="preserve"> услуги со повеќе домени, </w:t>
      </w:r>
      <w:r w:rsidR="00BC6660">
        <w:rPr>
          <w:lang w:val="mk-MK"/>
        </w:rPr>
        <w:t>во рамки</w:t>
      </w:r>
      <w:r w:rsidR="00872510">
        <w:rPr>
          <w:lang w:val="mk-MK"/>
        </w:rPr>
        <w:t>те</w:t>
      </w:r>
      <w:r w:rsidR="00BC6660">
        <w:rPr>
          <w:lang w:val="mk-MK"/>
        </w:rPr>
        <w:t xml:space="preserve"> на </w:t>
      </w:r>
      <w:r w:rsidRPr="008662BF">
        <w:rPr>
          <w:lang w:val="mk-MK"/>
        </w:rPr>
        <w:t xml:space="preserve">GN3plus </w:t>
      </w:r>
      <w:r w:rsidR="00BC6660">
        <w:rPr>
          <w:lang w:val="mk-MK"/>
        </w:rPr>
        <w:t xml:space="preserve">се предвидуваше постигнување на </w:t>
      </w:r>
      <w:r w:rsidRPr="008662BF">
        <w:rPr>
          <w:lang w:val="mk-MK"/>
        </w:rPr>
        <w:t>брзо</w:t>
      </w:r>
      <w:r w:rsidR="00872510">
        <w:rPr>
          <w:lang w:val="mk-MK"/>
        </w:rPr>
        <w:t>то</w:t>
      </w:r>
      <w:r w:rsidRPr="008662BF">
        <w:rPr>
          <w:lang w:val="mk-MK"/>
        </w:rPr>
        <w:t>, ефикасно</w:t>
      </w:r>
      <w:r w:rsidR="00872510">
        <w:rPr>
          <w:lang w:val="mk-MK"/>
        </w:rPr>
        <w:t>то</w:t>
      </w:r>
      <w:r w:rsidRPr="008662BF">
        <w:rPr>
          <w:lang w:val="mk-MK"/>
        </w:rPr>
        <w:t xml:space="preserve"> обезбедување на напредни</w:t>
      </w:r>
      <w:r w:rsidR="00872510">
        <w:rPr>
          <w:lang w:val="mk-MK"/>
        </w:rPr>
        <w:t>те</w:t>
      </w:r>
      <w:r w:rsidRPr="008662BF">
        <w:rPr>
          <w:lang w:val="mk-MK"/>
        </w:rPr>
        <w:t xml:space="preserve"> услуги,</w:t>
      </w:r>
      <w:r w:rsidR="00872510">
        <w:rPr>
          <w:lang w:val="mk-MK"/>
        </w:rPr>
        <w:t xml:space="preserve"> на</w:t>
      </w:r>
      <w:r w:rsidRPr="008662BF">
        <w:rPr>
          <w:lang w:val="mk-MK"/>
        </w:rPr>
        <w:t xml:space="preserve"> разв</w:t>
      </w:r>
      <w:r w:rsidR="00BC6660">
        <w:rPr>
          <w:lang w:val="mk-MK"/>
        </w:rPr>
        <w:t>ој</w:t>
      </w:r>
      <w:r w:rsidR="00872510">
        <w:rPr>
          <w:lang w:val="mk-MK"/>
        </w:rPr>
        <w:t>от</w:t>
      </w:r>
      <w:r w:rsidR="00BC6660">
        <w:rPr>
          <w:lang w:val="mk-MK"/>
        </w:rPr>
        <w:t xml:space="preserve"> на </w:t>
      </w:r>
      <w:r w:rsidRPr="008662BF">
        <w:rPr>
          <w:lang w:val="mk-MK"/>
        </w:rPr>
        <w:t xml:space="preserve">оперативна поддршка за домените за управување и </w:t>
      </w:r>
      <w:r w:rsidR="00BC6660">
        <w:rPr>
          <w:lang w:val="mk-MK"/>
        </w:rPr>
        <w:t xml:space="preserve">подобрување на </w:t>
      </w:r>
      <w:r w:rsidRPr="008662BF">
        <w:rPr>
          <w:lang w:val="mk-MK"/>
        </w:rPr>
        <w:t xml:space="preserve">безбедноста за да </w:t>
      </w:r>
      <w:r w:rsidR="00BC6660">
        <w:rPr>
          <w:lang w:val="mk-MK"/>
        </w:rPr>
        <w:t xml:space="preserve">се </w:t>
      </w:r>
      <w:r w:rsidRPr="008662BF">
        <w:rPr>
          <w:lang w:val="mk-MK"/>
        </w:rPr>
        <w:t>обезбеди интегритет</w:t>
      </w:r>
      <w:r w:rsidR="00872510">
        <w:rPr>
          <w:lang w:val="mk-MK"/>
        </w:rPr>
        <w:t xml:space="preserve"> </w:t>
      </w:r>
      <w:r w:rsidRPr="008662BF">
        <w:rPr>
          <w:lang w:val="mk-MK"/>
        </w:rPr>
        <w:t>на услугите и да се заштитат мрежните ресурси. Овие иницијативи беа надополнети со развој</w:t>
      </w:r>
      <w:r w:rsidR="00872510">
        <w:rPr>
          <w:lang w:val="mk-MK"/>
        </w:rPr>
        <w:t>от</w:t>
      </w:r>
      <w:r w:rsidRPr="008662BF">
        <w:rPr>
          <w:lang w:val="mk-MK"/>
        </w:rPr>
        <w:t xml:space="preserve"> на апликативни</w:t>
      </w:r>
      <w:r w:rsidR="00872510">
        <w:rPr>
          <w:lang w:val="mk-MK"/>
        </w:rPr>
        <w:t>те</w:t>
      </w:r>
      <w:r w:rsidRPr="008662BF">
        <w:rPr>
          <w:lang w:val="mk-MK"/>
        </w:rPr>
        <w:t xml:space="preserve"> услуги во федеративна средина – како што е мобилен и безжичен роаминг – поддржани од сигурна и безбедна инфраструктура за автентикација и авторизација. </w:t>
      </w:r>
      <w:r w:rsidR="00F10658" w:rsidRPr="008662BF">
        <w:rPr>
          <w:lang w:val="mk-MK"/>
        </w:rPr>
        <w:t xml:space="preserve">Активностите за вмрежување обезбедија управување и поддршка за сите активности на GN3plus преку комуникација, промоција, меѓународно поврзување и развој на бизнисот. Акцентот беше ставен на поддршката на корисниците и </w:t>
      </w:r>
      <w:r w:rsidR="00872510">
        <w:rPr>
          <w:lang w:val="mk-MK"/>
        </w:rPr>
        <w:t xml:space="preserve">на </w:t>
      </w:r>
      <w:r w:rsidR="00F10658" w:rsidRPr="008662BF">
        <w:rPr>
          <w:lang w:val="mk-MK"/>
        </w:rPr>
        <w:t>нивно</w:t>
      </w:r>
      <w:r w:rsidR="00872510">
        <w:rPr>
          <w:lang w:val="mk-MK"/>
        </w:rPr>
        <w:t>то</w:t>
      </w:r>
      <w:r w:rsidR="00F10658" w:rsidRPr="008662BF">
        <w:rPr>
          <w:lang w:val="mk-MK"/>
        </w:rPr>
        <w:t xml:space="preserve"> поттикнување да ги прифатат услугите преку тесна соработка со NREN. Заедничките истражувачки активности беа насочени кон обезбедување критички анализи на идните мрежни и апликативни технологии, во поглед на идното расп</w:t>
      </w:r>
      <w:r w:rsidR="00DF63AB">
        <w:rPr>
          <w:lang w:val="mk-MK"/>
        </w:rPr>
        <w:t xml:space="preserve">ределување </w:t>
      </w:r>
      <w:r w:rsidR="00F10658" w:rsidRPr="008662BF">
        <w:rPr>
          <w:lang w:val="mk-MK"/>
        </w:rPr>
        <w:t>на новите технологии во</w:t>
      </w:r>
      <w:r w:rsidR="00872510">
        <w:rPr>
          <w:lang w:val="mk-MK"/>
        </w:rPr>
        <w:t>,</w:t>
      </w:r>
      <w:r w:rsidR="00F10658" w:rsidRPr="008662BF">
        <w:rPr>
          <w:lang w:val="mk-MK"/>
        </w:rPr>
        <w:t xml:space="preserve"> и надвор од заедницата </w:t>
      </w:r>
      <w:r w:rsidR="00DF63AB">
        <w:rPr>
          <w:lang w:val="mk-MK"/>
        </w:rPr>
        <w:t xml:space="preserve">на </w:t>
      </w:r>
      <w:r w:rsidR="00F10658" w:rsidRPr="008662BF">
        <w:rPr>
          <w:lang w:val="mk-MK"/>
        </w:rPr>
        <w:t>GÉANT.</w:t>
      </w:r>
    </w:p>
    <w:p w14:paraId="50AFFB7C" w14:textId="77777777" w:rsidR="007947B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15. HP-SEE (</w:t>
      </w:r>
      <w:r w:rsidR="00DF63AB" w:rsidRPr="00DF63AB">
        <w:rPr>
          <w:rFonts w:asciiTheme="minorHAnsi" w:hAnsiTheme="minorHAnsi"/>
          <w:lang w:val="mk-MK"/>
        </w:rPr>
        <w:t>Компјутерска инфраструктура со високи перформанси за истражувачките заедници во Југоисточна Европа</w:t>
      </w:r>
      <w:r w:rsidRPr="008662BF">
        <w:rPr>
          <w:rFonts w:asciiTheme="minorHAnsi" w:hAnsiTheme="minorHAnsi"/>
          <w:lang w:val="mk-MK"/>
        </w:rPr>
        <w:t>)</w:t>
      </w:r>
    </w:p>
    <w:p w14:paraId="0A4FB0EC" w14:textId="77777777" w:rsidR="007947BF" w:rsidRPr="008662BF" w:rsidRDefault="002F6BCF" w:rsidP="007947BF">
      <w:pPr>
        <w:pStyle w:val="ListParagraph"/>
        <w:numPr>
          <w:ilvl w:val="0"/>
          <w:numId w:val="4"/>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2E42FE4A" w14:textId="208935C1" w:rsidR="007947BF" w:rsidRPr="008662BF" w:rsidRDefault="002F6BCF" w:rsidP="0089484E">
      <w:pPr>
        <w:pStyle w:val="ListParagraph"/>
        <w:numPr>
          <w:ilvl w:val="0"/>
          <w:numId w:val="4"/>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89484E" w:rsidRPr="008662BF">
        <w:rPr>
          <w:lang w:val="mk-MK"/>
        </w:rPr>
        <w:t>Универзитет „Св. Кирил и Методиј“ - Скопје; ФИНКИ</w:t>
      </w:r>
    </w:p>
    <w:p w14:paraId="5B222B55" w14:textId="0BF98F60" w:rsidR="007947BF" w:rsidRPr="008662BF" w:rsidRDefault="002F6BCF" w:rsidP="007947BF">
      <w:pPr>
        <w:pStyle w:val="ListParagraph"/>
        <w:numPr>
          <w:ilvl w:val="0"/>
          <w:numId w:val="4"/>
        </w:numPr>
        <w:rPr>
          <w:lang w:val="mk-MK"/>
        </w:rPr>
      </w:pPr>
      <w:r w:rsidRPr="008662BF">
        <w:rPr>
          <w:b/>
          <w:lang w:val="mk-MK"/>
        </w:rPr>
        <w:t>Вкупен број партнерски организации</w:t>
      </w:r>
      <w:r w:rsidR="007947BF" w:rsidRPr="008662BF">
        <w:rPr>
          <w:lang w:val="mk-MK"/>
        </w:rPr>
        <w:t>: 16</w:t>
      </w:r>
    </w:p>
    <w:p w14:paraId="48E53C89" w14:textId="77777777" w:rsidR="007947BF" w:rsidRPr="008662BF" w:rsidRDefault="002F6BCF" w:rsidP="007947BF">
      <w:pPr>
        <w:pStyle w:val="ListParagraph"/>
        <w:numPr>
          <w:ilvl w:val="0"/>
          <w:numId w:val="4"/>
        </w:numPr>
        <w:rPr>
          <w:lang w:val="mk-MK"/>
        </w:rPr>
      </w:pPr>
      <w:r w:rsidRPr="008662BF">
        <w:rPr>
          <w:b/>
          <w:lang w:val="mk-MK"/>
        </w:rPr>
        <w:t>Период на спроведување на проектот</w:t>
      </w:r>
      <w:r w:rsidR="007947BF" w:rsidRPr="008662BF">
        <w:rPr>
          <w:lang w:val="mk-MK"/>
        </w:rPr>
        <w:t>: 31</w:t>
      </w:r>
      <w:r w:rsidR="0089484E" w:rsidRPr="008662BF">
        <w:rPr>
          <w:lang w:val="mk-MK"/>
        </w:rPr>
        <w:t>.</w:t>
      </w:r>
      <w:r w:rsidR="007947BF" w:rsidRPr="008662BF">
        <w:rPr>
          <w:lang w:val="mk-MK"/>
        </w:rPr>
        <w:t>08</w:t>
      </w:r>
      <w:r w:rsidR="0089484E" w:rsidRPr="008662BF">
        <w:rPr>
          <w:lang w:val="mk-MK"/>
        </w:rPr>
        <w:t>.</w:t>
      </w:r>
      <w:r w:rsidR="007947BF" w:rsidRPr="008662BF">
        <w:rPr>
          <w:lang w:val="mk-MK"/>
        </w:rPr>
        <w:t xml:space="preserve">2010 </w:t>
      </w:r>
      <w:r w:rsidR="0089484E" w:rsidRPr="008662BF">
        <w:rPr>
          <w:lang w:val="mk-MK"/>
        </w:rPr>
        <w:t>–</w:t>
      </w:r>
      <w:r w:rsidR="007947BF" w:rsidRPr="008662BF">
        <w:rPr>
          <w:lang w:val="mk-MK"/>
        </w:rPr>
        <w:t xml:space="preserve"> 31</w:t>
      </w:r>
      <w:r w:rsidR="0089484E" w:rsidRPr="008662BF">
        <w:rPr>
          <w:lang w:val="mk-MK"/>
        </w:rPr>
        <w:t>.</w:t>
      </w:r>
      <w:r w:rsidR="007947BF" w:rsidRPr="008662BF">
        <w:rPr>
          <w:lang w:val="mk-MK"/>
        </w:rPr>
        <w:t>05</w:t>
      </w:r>
      <w:r w:rsidR="0089484E" w:rsidRPr="008662BF">
        <w:rPr>
          <w:lang w:val="mk-MK"/>
        </w:rPr>
        <w:t>.</w:t>
      </w:r>
      <w:r w:rsidR="007947BF" w:rsidRPr="008662BF">
        <w:rPr>
          <w:lang w:val="mk-MK"/>
        </w:rPr>
        <w:t>2013</w:t>
      </w:r>
    </w:p>
    <w:p w14:paraId="1D5039C0" w14:textId="77777777" w:rsidR="0089484E" w:rsidRPr="008662BF" w:rsidRDefault="002F6BCF" w:rsidP="007947BF">
      <w:pPr>
        <w:pStyle w:val="ListParagraph"/>
        <w:numPr>
          <w:ilvl w:val="0"/>
          <w:numId w:val="4"/>
        </w:numPr>
        <w:rPr>
          <w:lang w:val="mk-MK"/>
        </w:rPr>
      </w:pPr>
      <w:r w:rsidRPr="008662BF">
        <w:rPr>
          <w:b/>
          <w:lang w:val="mk-MK"/>
        </w:rPr>
        <w:t>Научна област</w:t>
      </w:r>
      <w:r w:rsidR="007947BF" w:rsidRPr="008662BF">
        <w:rPr>
          <w:lang w:val="mk-MK"/>
        </w:rPr>
        <w:t xml:space="preserve">: </w:t>
      </w:r>
      <w:r w:rsidR="0089484E" w:rsidRPr="008662BF">
        <w:rPr>
          <w:lang w:val="mk-MK"/>
        </w:rPr>
        <w:t>е-инфраструктура</w:t>
      </w:r>
    </w:p>
    <w:p w14:paraId="29C43665" w14:textId="528418F1" w:rsidR="008B21CF" w:rsidRPr="008662BF" w:rsidRDefault="007F5155" w:rsidP="007947BF">
      <w:pPr>
        <w:jc w:val="both"/>
        <w:rPr>
          <w:lang w:val="mk-MK"/>
        </w:rPr>
      </w:pPr>
      <w:r w:rsidRPr="008662BF">
        <w:rPr>
          <w:lang w:val="mk-MK"/>
        </w:rPr>
        <w:t xml:space="preserve">Имајќи предвид дека присуството на пресметувањето со високи перформанси (HPC) во регионот на Југоисточна Европа (ЈИЕ) беше многу ограничено, проектот HP-SEE се фокусираше на голем број стратешки активности. Прво, постојните и претстојните капацитети за HPC во регионот </w:t>
      </w:r>
      <w:r w:rsidR="00872510" w:rsidRPr="008662BF">
        <w:rPr>
          <w:lang w:val="mk-MK"/>
        </w:rPr>
        <w:t xml:space="preserve">се поврзаа </w:t>
      </w:r>
      <w:r w:rsidRPr="008662BF">
        <w:rPr>
          <w:lang w:val="mk-MK"/>
        </w:rPr>
        <w:t xml:space="preserve">во заедничка инфраструктура и се обезбедија </w:t>
      </w:r>
      <w:r w:rsidR="00BD761C">
        <w:rPr>
          <w:lang w:val="mk-MK"/>
        </w:rPr>
        <w:t xml:space="preserve">соодветни </w:t>
      </w:r>
      <w:r w:rsidRPr="008662BF">
        <w:rPr>
          <w:lang w:val="mk-MK"/>
        </w:rPr>
        <w:t>оперативни решенија. Како дополнителна активност, во рамки</w:t>
      </w:r>
      <w:r w:rsidR="00872510">
        <w:rPr>
          <w:lang w:val="mk-MK"/>
        </w:rPr>
        <w:t>те</w:t>
      </w:r>
      <w:r w:rsidRPr="008662BF">
        <w:rPr>
          <w:lang w:val="mk-MK"/>
        </w:rPr>
        <w:t xml:space="preserve"> на проектот се воспостави и се одржува врската на GÉANT </w:t>
      </w:r>
      <w:r w:rsidR="00BD761C">
        <w:rPr>
          <w:lang w:val="mk-MK"/>
        </w:rPr>
        <w:t xml:space="preserve">со </w:t>
      </w:r>
      <w:r w:rsidRPr="008662BF">
        <w:rPr>
          <w:lang w:val="mk-MK"/>
        </w:rPr>
        <w:t>Кавказ. Второ, оваа HPC</w:t>
      </w:r>
      <w:r w:rsidR="00872510">
        <w:rPr>
          <w:lang w:val="mk-MK"/>
        </w:rPr>
        <w:t>-</w:t>
      </w:r>
      <w:r w:rsidRPr="008662BF">
        <w:rPr>
          <w:lang w:val="mk-MK"/>
        </w:rPr>
        <w:t xml:space="preserve">инфраструктура се отвори за широк опсег на нови кориснички заедници, вклучително и </w:t>
      </w:r>
      <w:r w:rsidR="00872510">
        <w:rPr>
          <w:lang w:val="mk-MK"/>
        </w:rPr>
        <w:t xml:space="preserve">за </w:t>
      </w:r>
      <w:r w:rsidRPr="008662BF">
        <w:rPr>
          <w:lang w:val="mk-MK"/>
        </w:rPr>
        <w:t xml:space="preserve">заедници од </w:t>
      </w:r>
      <w:r w:rsidR="00BD761C">
        <w:rPr>
          <w:lang w:val="mk-MK"/>
        </w:rPr>
        <w:t xml:space="preserve">земјите </w:t>
      </w:r>
      <w:r w:rsidRPr="008662BF">
        <w:rPr>
          <w:lang w:val="mk-MK"/>
        </w:rPr>
        <w:t>со помалку ресурси, со поттикнување на соработка</w:t>
      </w:r>
      <w:r w:rsidR="00872510">
        <w:rPr>
          <w:lang w:val="mk-MK"/>
        </w:rPr>
        <w:t>та</w:t>
      </w:r>
      <w:r w:rsidRPr="008662BF">
        <w:rPr>
          <w:lang w:val="mk-MK"/>
        </w:rPr>
        <w:t xml:space="preserve"> и обезбедување</w:t>
      </w:r>
      <w:r w:rsidR="00872510">
        <w:rPr>
          <w:lang w:val="mk-MK"/>
        </w:rPr>
        <w:t>то</w:t>
      </w:r>
      <w:r w:rsidRPr="008662BF">
        <w:rPr>
          <w:lang w:val="mk-MK"/>
        </w:rPr>
        <w:t xml:space="preserve"> на напредни способности за истражувачите, со акцент на стратешките групи во </w:t>
      </w:r>
      <w:r w:rsidR="00BD761C">
        <w:rPr>
          <w:lang w:val="mk-MK"/>
        </w:rPr>
        <w:t xml:space="preserve">областа на </w:t>
      </w:r>
      <w:r w:rsidRPr="008662BF">
        <w:rPr>
          <w:lang w:val="mk-MK"/>
        </w:rPr>
        <w:t xml:space="preserve">пресметковната физика, хемијата и бионауките. </w:t>
      </w:r>
      <w:r w:rsidR="008B21CF" w:rsidRPr="008662BF">
        <w:rPr>
          <w:lang w:val="mk-MK"/>
        </w:rPr>
        <w:t>На крај, во рамки</w:t>
      </w:r>
      <w:r w:rsidR="00872510">
        <w:rPr>
          <w:lang w:val="mk-MK"/>
        </w:rPr>
        <w:t>те</w:t>
      </w:r>
      <w:r w:rsidR="008B21CF" w:rsidRPr="008662BF">
        <w:rPr>
          <w:lang w:val="mk-MK"/>
        </w:rPr>
        <w:t xml:space="preserve"> на проектот се овозможи воспоставување на национални иницијативи за HPC и проектот служеше како мост на ЈИЕ за PRACE. Во овој контекст, HP-SEE имаше цел да привлече локална политичка и финансиска поддршка за долгорочна одржлива е-инфраструктура. HP-SEE се стремеше да придонесе за стабилизација</w:t>
      </w:r>
      <w:r w:rsidR="00872510">
        <w:rPr>
          <w:lang w:val="mk-MK"/>
        </w:rPr>
        <w:t>та</w:t>
      </w:r>
      <w:r w:rsidR="008B21CF" w:rsidRPr="008662BF">
        <w:rPr>
          <w:lang w:val="mk-MK"/>
        </w:rPr>
        <w:t xml:space="preserve"> и </w:t>
      </w:r>
      <w:r w:rsidR="00872510">
        <w:rPr>
          <w:lang w:val="mk-MK"/>
        </w:rPr>
        <w:t xml:space="preserve">за </w:t>
      </w:r>
      <w:r w:rsidR="008B21CF" w:rsidRPr="008662BF">
        <w:rPr>
          <w:lang w:val="mk-MK"/>
        </w:rPr>
        <w:t>развој</w:t>
      </w:r>
      <w:r w:rsidR="00872510">
        <w:rPr>
          <w:lang w:val="mk-MK"/>
        </w:rPr>
        <w:t>от</w:t>
      </w:r>
      <w:r w:rsidR="008B21CF" w:rsidRPr="008662BF">
        <w:rPr>
          <w:lang w:val="mk-MK"/>
        </w:rPr>
        <w:t xml:space="preserve"> на Југоисточна Европа со надминување на фрагментацијата во Европа и</w:t>
      </w:r>
      <w:r w:rsidR="00872510">
        <w:rPr>
          <w:lang w:val="mk-MK"/>
        </w:rPr>
        <w:t xml:space="preserve"> за</w:t>
      </w:r>
      <w:r w:rsidR="008B21CF" w:rsidRPr="008662BF">
        <w:rPr>
          <w:lang w:val="mk-MK"/>
        </w:rPr>
        <w:t xml:space="preserve"> стимулирање на развојот и усвојувањето на е-инфраструктурата од страна на новите виртуелни истражувачки заедници, со што ќе се овозможи заедничко висококвалитетно истражување во низа различни научни области.</w:t>
      </w:r>
    </w:p>
    <w:p w14:paraId="67678AA5" w14:textId="77777777" w:rsidR="008B21CF"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16. </w:t>
      </w:r>
      <w:r w:rsidR="008B21CF" w:rsidRPr="008662BF">
        <w:rPr>
          <w:rFonts w:asciiTheme="minorHAnsi" w:hAnsiTheme="minorHAnsi"/>
          <w:lang w:val="mk-MK"/>
        </w:rPr>
        <w:t>SEE-GRID е-инфраструктура за регионална е-наука</w:t>
      </w:r>
    </w:p>
    <w:p w14:paraId="0A3EC080" w14:textId="77777777" w:rsidR="007947BF" w:rsidRPr="008662BF" w:rsidRDefault="002F6BCF" w:rsidP="007947BF">
      <w:pPr>
        <w:pStyle w:val="ListParagraph"/>
        <w:numPr>
          <w:ilvl w:val="0"/>
          <w:numId w:val="5"/>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246B98D6" w14:textId="0BBD3B41" w:rsidR="00D93073" w:rsidRPr="008662BF" w:rsidRDefault="002F6BCF" w:rsidP="00D93073">
      <w:pPr>
        <w:pStyle w:val="ListParagraph"/>
        <w:numPr>
          <w:ilvl w:val="0"/>
          <w:numId w:val="5"/>
        </w:numPr>
        <w:rPr>
          <w:lang w:val="mk-MK"/>
        </w:rPr>
      </w:pPr>
      <w:r w:rsidRPr="008662BF">
        <w:rPr>
          <w:b/>
          <w:lang w:val="mk-MK"/>
        </w:rPr>
        <w:lastRenderedPageBreak/>
        <w:t xml:space="preserve">Проектни партнери од </w:t>
      </w:r>
      <w:r w:rsidR="00417197">
        <w:rPr>
          <w:b/>
          <w:lang w:val="mk-MK"/>
        </w:rPr>
        <w:t>Република Северна Македонија</w:t>
      </w:r>
      <w:r w:rsidR="007947BF" w:rsidRPr="008662BF">
        <w:rPr>
          <w:lang w:val="mk-MK"/>
        </w:rPr>
        <w:t xml:space="preserve">: </w:t>
      </w:r>
      <w:r w:rsidR="00D93073" w:rsidRPr="008662BF">
        <w:rPr>
          <w:lang w:val="mk-MK"/>
        </w:rPr>
        <w:t>Универзитет „Св. Кирил и Методиј“ – Скопје</w:t>
      </w:r>
    </w:p>
    <w:p w14:paraId="4ED31545" w14:textId="30BDA99F" w:rsidR="007947BF" w:rsidRPr="008662BF" w:rsidRDefault="002F6BCF" w:rsidP="007947BF">
      <w:pPr>
        <w:pStyle w:val="ListParagraph"/>
        <w:numPr>
          <w:ilvl w:val="0"/>
          <w:numId w:val="5"/>
        </w:numPr>
        <w:rPr>
          <w:lang w:val="mk-MK"/>
        </w:rPr>
      </w:pPr>
      <w:r w:rsidRPr="008662BF">
        <w:rPr>
          <w:b/>
          <w:lang w:val="mk-MK"/>
        </w:rPr>
        <w:t>Вкупен број партнерски организации</w:t>
      </w:r>
      <w:r w:rsidR="007947BF" w:rsidRPr="008662BF">
        <w:rPr>
          <w:lang w:val="mk-MK"/>
        </w:rPr>
        <w:t>: 15</w:t>
      </w:r>
    </w:p>
    <w:p w14:paraId="12E3D581" w14:textId="77777777" w:rsidR="007947BF" w:rsidRPr="008662BF" w:rsidRDefault="002F6BCF" w:rsidP="007947BF">
      <w:pPr>
        <w:pStyle w:val="ListParagraph"/>
        <w:numPr>
          <w:ilvl w:val="0"/>
          <w:numId w:val="5"/>
        </w:numPr>
        <w:rPr>
          <w:lang w:val="mk-MK"/>
        </w:rPr>
      </w:pPr>
      <w:r w:rsidRPr="008662BF">
        <w:rPr>
          <w:b/>
          <w:lang w:val="mk-MK"/>
        </w:rPr>
        <w:t>Период на спроведување на проектот</w:t>
      </w:r>
      <w:r w:rsidR="007947BF" w:rsidRPr="008662BF">
        <w:rPr>
          <w:lang w:val="mk-MK"/>
        </w:rPr>
        <w:t>: 30</w:t>
      </w:r>
      <w:r w:rsidR="00D93073" w:rsidRPr="008662BF">
        <w:rPr>
          <w:lang w:val="mk-MK"/>
        </w:rPr>
        <w:t>.</w:t>
      </w:r>
      <w:r w:rsidR="007947BF" w:rsidRPr="008662BF">
        <w:rPr>
          <w:lang w:val="mk-MK"/>
        </w:rPr>
        <w:t>04</w:t>
      </w:r>
      <w:r w:rsidR="00D93073" w:rsidRPr="008662BF">
        <w:rPr>
          <w:lang w:val="mk-MK"/>
        </w:rPr>
        <w:t>.</w:t>
      </w:r>
      <w:r w:rsidR="007947BF" w:rsidRPr="008662BF">
        <w:rPr>
          <w:lang w:val="mk-MK"/>
        </w:rPr>
        <w:t xml:space="preserve">2008 </w:t>
      </w:r>
      <w:r w:rsidR="00D93073" w:rsidRPr="008662BF">
        <w:rPr>
          <w:lang w:val="mk-MK"/>
        </w:rPr>
        <w:t>–</w:t>
      </w:r>
      <w:r w:rsidR="007947BF" w:rsidRPr="008662BF">
        <w:rPr>
          <w:lang w:val="mk-MK"/>
        </w:rPr>
        <w:t xml:space="preserve"> 30</w:t>
      </w:r>
      <w:r w:rsidR="00D93073" w:rsidRPr="008662BF">
        <w:rPr>
          <w:lang w:val="mk-MK"/>
        </w:rPr>
        <w:t>.</w:t>
      </w:r>
      <w:r w:rsidR="007947BF" w:rsidRPr="008662BF">
        <w:rPr>
          <w:lang w:val="mk-MK"/>
        </w:rPr>
        <w:t>04</w:t>
      </w:r>
      <w:r w:rsidR="00D93073" w:rsidRPr="008662BF">
        <w:rPr>
          <w:lang w:val="mk-MK"/>
        </w:rPr>
        <w:t>.</w:t>
      </w:r>
      <w:r w:rsidR="007947BF" w:rsidRPr="008662BF">
        <w:rPr>
          <w:lang w:val="mk-MK"/>
        </w:rPr>
        <w:t>2010</w:t>
      </w:r>
    </w:p>
    <w:p w14:paraId="49827CBF" w14:textId="77777777" w:rsidR="00D93073" w:rsidRPr="008662BF" w:rsidRDefault="002F6BCF" w:rsidP="007947BF">
      <w:pPr>
        <w:pStyle w:val="ListParagraph"/>
        <w:numPr>
          <w:ilvl w:val="0"/>
          <w:numId w:val="5"/>
        </w:numPr>
        <w:rPr>
          <w:lang w:val="mk-MK"/>
        </w:rPr>
      </w:pPr>
      <w:r w:rsidRPr="008662BF">
        <w:rPr>
          <w:b/>
          <w:lang w:val="mk-MK"/>
        </w:rPr>
        <w:t>Научна област</w:t>
      </w:r>
      <w:r w:rsidR="007947BF" w:rsidRPr="008662BF">
        <w:rPr>
          <w:lang w:val="mk-MK"/>
        </w:rPr>
        <w:t>: e-</w:t>
      </w:r>
      <w:r w:rsidR="00D93073" w:rsidRPr="008662BF">
        <w:rPr>
          <w:lang w:val="mk-MK"/>
        </w:rPr>
        <w:t>инфраструктури</w:t>
      </w:r>
    </w:p>
    <w:p w14:paraId="2DF87EC9" w14:textId="04E86989" w:rsidR="00EF2388" w:rsidRPr="008662BF" w:rsidRDefault="00EF2388" w:rsidP="007947BF">
      <w:pPr>
        <w:jc w:val="both"/>
        <w:rPr>
          <w:lang w:val="mk-MK"/>
        </w:rPr>
      </w:pPr>
      <w:r w:rsidRPr="008662BF">
        <w:rPr>
          <w:lang w:val="mk-MK"/>
        </w:rPr>
        <w:t xml:space="preserve">SEE-GRID-SCI ја искористи е-инфраструктурата на ЈИЕ за да овозможи нови научни соработки меѓу заедниците на корисници на ЈИЕ. Поттикна прифаќање на широко распространетата интегрирана е-инфраструктура од страна на нови прекугранични/гранични групи корисници </w:t>
      </w:r>
      <w:r w:rsidR="00872510">
        <w:rPr>
          <w:lang w:val="mk-MK"/>
        </w:rPr>
        <w:t>што</w:t>
      </w:r>
      <w:r w:rsidRPr="008662BF">
        <w:rPr>
          <w:lang w:val="mk-MK"/>
        </w:rPr>
        <w:t xml:space="preserve"> се </w:t>
      </w:r>
      <w:r w:rsidR="00BD761C">
        <w:rPr>
          <w:lang w:val="mk-MK"/>
        </w:rPr>
        <w:t xml:space="preserve">наоѓаат во </w:t>
      </w:r>
      <w:r w:rsidRPr="008662BF">
        <w:rPr>
          <w:lang w:val="mk-MK"/>
        </w:rPr>
        <w:t>регионот, со поттикнување на соработка</w:t>
      </w:r>
      <w:r w:rsidR="00872510">
        <w:rPr>
          <w:lang w:val="mk-MK"/>
        </w:rPr>
        <w:t>та</w:t>
      </w:r>
      <w:r w:rsidRPr="008662BF">
        <w:rPr>
          <w:lang w:val="mk-MK"/>
        </w:rPr>
        <w:t xml:space="preserve"> и</w:t>
      </w:r>
      <w:r w:rsidR="00872510">
        <w:rPr>
          <w:lang w:val="mk-MK"/>
        </w:rPr>
        <w:t xml:space="preserve"> со</w:t>
      </w:r>
      <w:r w:rsidRPr="008662BF">
        <w:rPr>
          <w:lang w:val="mk-MK"/>
        </w:rPr>
        <w:t xml:space="preserve"> обезбедување на напредни способности за повеќе истражувачи, со акцент на стратешките групи во </w:t>
      </w:r>
      <w:r w:rsidR="00BD761C">
        <w:rPr>
          <w:lang w:val="mk-MK"/>
        </w:rPr>
        <w:t xml:space="preserve">областа на </w:t>
      </w:r>
      <w:r w:rsidRPr="008662BF">
        <w:rPr>
          <w:lang w:val="mk-MK"/>
        </w:rPr>
        <w:t>сеизмологијата, метеорологијата и заштитата на животната средина.</w:t>
      </w:r>
      <w:r w:rsidR="00F27186">
        <w:rPr>
          <w:lang w:val="mk-MK"/>
        </w:rPr>
        <w:t xml:space="preserve"> Целта на</w:t>
      </w:r>
      <w:r w:rsidRPr="008662BF">
        <w:rPr>
          <w:lang w:val="mk-MK"/>
        </w:rPr>
        <w:t xml:space="preserve"> </w:t>
      </w:r>
      <w:r w:rsidR="00F27186">
        <w:rPr>
          <w:lang w:val="mk-MK"/>
        </w:rPr>
        <w:t>и</w:t>
      </w:r>
      <w:r w:rsidRPr="008662BF">
        <w:rPr>
          <w:lang w:val="mk-MK"/>
        </w:rPr>
        <w:t xml:space="preserve">ницијативата, според тоа, </w:t>
      </w:r>
      <w:r w:rsidR="00F27186">
        <w:rPr>
          <w:lang w:val="mk-MK"/>
        </w:rPr>
        <w:t>беше</w:t>
      </w:r>
      <w:r w:rsidRPr="008662BF">
        <w:rPr>
          <w:lang w:val="mk-MK"/>
        </w:rPr>
        <w:t xml:space="preserve"> да има каталитички и структурен ефект врз различни</w:t>
      </w:r>
      <w:r w:rsidR="00F27186">
        <w:rPr>
          <w:lang w:val="mk-MK"/>
        </w:rPr>
        <w:t>те</w:t>
      </w:r>
      <w:r w:rsidRPr="008662BF">
        <w:rPr>
          <w:lang w:val="mk-MK"/>
        </w:rPr>
        <w:t xml:space="preserve"> заедници на корисници </w:t>
      </w:r>
      <w:r w:rsidR="00F27186">
        <w:rPr>
          <w:lang w:val="mk-MK"/>
        </w:rPr>
        <w:t>што</w:t>
      </w:r>
      <w:r w:rsidRPr="008662BF">
        <w:rPr>
          <w:lang w:val="mk-MK"/>
        </w:rPr>
        <w:t xml:space="preserve"> немаа директна корист од достапните е-инфраструктури. Паралелно, регионалната е-инфраструктура </w:t>
      </w:r>
      <w:r w:rsidR="00BD761C">
        <w:rPr>
          <w:lang w:val="mk-MK"/>
        </w:rPr>
        <w:t xml:space="preserve">се прошири </w:t>
      </w:r>
      <w:r w:rsidRPr="008662BF">
        <w:rPr>
          <w:lang w:val="mk-MK"/>
        </w:rPr>
        <w:t>за</w:t>
      </w:r>
      <w:r w:rsidR="00F27186">
        <w:rPr>
          <w:lang w:val="mk-MK"/>
        </w:rPr>
        <w:t>ради</w:t>
      </w:r>
      <w:r w:rsidRPr="008662BF">
        <w:rPr>
          <w:lang w:val="mk-MK"/>
        </w:rPr>
        <w:t xml:space="preserve"> задовол</w:t>
      </w:r>
      <w:r w:rsidR="00F27186">
        <w:rPr>
          <w:lang w:val="mk-MK"/>
        </w:rPr>
        <w:t>ување на</w:t>
      </w:r>
      <w:r w:rsidRPr="008662BF">
        <w:rPr>
          <w:lang w:val="mk-MK"/>
        </w:rPr>
        <w:t xml:space="preserve"> барањата на заедниците: </w:t>
      </w:r>
      <w:r w:rsidR="00BD761C">
        <w:rPr>
          <w:lang w:val="mk-MK"/>
        </w:rPr>
        <w:t xml:space="preserve">на мрежата се додадоа </w:t>
      </w:r>
      <w:r w:rsidRPr="008662BF">
        <w:rPr>
          <w:lang w:val="mk-MK"/>
        </w:rPr>
        <w:t>голем број нови кластери и економии, со што се вклучи поширок опсег на корисници и се прошири фондот на даватели на услуги. Конечно, SEE-GRID-SCI помогна во созревањето и стабилизирањето на националните мрежни иницијативи во регионот, овозможувајќи им да се приклучат на новата ера на долгорочна одржлива мрежна инфраструктура во Европа. Во овој контекст, SEE-GRID-SCI имаше цел да привлече политичка и финансиска поддршка за остварување на визијата за е-инфраструктура</w:t>
      </w:r>
      <w:r w:rsidR="00BD761C">
        <w:rPr>
          <w:lang w:val="mk-MK"/>
        </w:rPr>
        <w:t>та</w:t>
      </w:r>
      <w:r w:rsidRPr="008662BF">
        <w:rPr>
          <w:lang w:val="mk-MK"/>
        </w:rPr>
        <w:t>. На подолг рок, SEE-GRID-SCI се стремеше да придонесе за стабилизација</w:t>
      </w:r>
      <w:r w:rsidR="00F27186">
        <w:rPr>
          <w:lang w:val="mk-MK"/>
        </w:rPr>
        <w:t>та</w:t>
      </w:r>
      <w:r w:rsidRPr="008662BF">
        <w:rPr>
          <w:lang w:val="mk-MK"/>
        </w:rPr>
        <w:t xml:space="preserve"> и развој</w:t>
      </w:r>
      <w:r w:rsidR="00F27186">
        <w:rPr>
          <w:lang w:val="mk-MK"/>
        </w:rPr>
        <w:t>от</w:t>
      </w:r>
      <w:r w:rsidRPr="008662BF">
        <w:rPr>
          <w:lang w:val="mk-MK"/>
        </w:rPr>
        <w:t xml:space="preserve"> на Југоисточна Европа со олеснување на дигиталниот јаз и </w:t>
      </w:r>
      <w:r w:rsidR="00F27186">
        <w:rPr>
          <w:lang w:val="mk-MK"/>
        </w:rPr>
        <w:t xml:space="preserve">со </w:t>
      </w:r>
      <w:r w:rsidRPr="008662BF">
        <w:rPr>
          <w:lang w:val="mk-MK"/>
        </w:rPr>
        <w:t>стимулирање на развојот на е-инфраструктурата и</w:t>
      </w:r>
      <w:r w:rsidR="00F27186">
        <w:rPr>
          <w:lang w:val="mk-MK"/>
        </w:rPr>
        <w:t xml:space="preserve"> со</w:t>
      </w:r>
      <w:r w:rsidRPr="008662BF">
        <w:rPr>
          <w:lang w:val="mk-MK"/>
        </w:rPr>
        <w:t xml:space="preserve"> нејзино</w:t>
      </w:r>
      <w:r w:rsidR="00F27186">
        <w:rPr>
          <w:lang w:val="mk-MK"/>
        </w:rPr>
        <w:t>то</w:t>
      </w:r>
      <w:r w:rsidRPr="008662BF">
        <w:rPr>
          <w:lang w:val="mk-MK"/>
        </w:rPr>
        <w:t xml:space="preserve"> усвојување од страна на новите заедници на корисници, со што ќе се овозможи заедничко висококвалитетно истражување во низа различни научни области.</w:t>
      </w:r>
    </w:p>
    <w:p w14:paraId="31249EDE" w14:textId="77777777" w:rsidR="00EF2388" w:rsidRPr="008662BF" w:rsidRDefault="007947BF" w:rsidP="007947BF">
      <w:pPr>
        <w:pStyle w:val="Heading4"/>
        <w:ind w:firstLine="357"/>
        <w:rPr>
          <w:rFonts w:asciiTheme="minorHAnsi" w:hAnsiTheme="minorHAnsi"/>
          <w:lang w:val="mk-MK"/>
        </w:rPr>
      </w:pPr>
      <w:r w:rsidRPr="008662BF">
        <w:rPr>
          <w:rFonts w:asciiTheme="minorHAnsi" w:hAnsiTheme="minorHAnsi"/>
          <w:lang w:val="mk-MK"/>
        </w:rPr>
        <w:t xml:space="preserve">17. </w:t>
      </w:r>
      <w:r w:rsidR="00EF2388" w:rsidRPr="008662BF">
        <w:rPr>
          <w:rFonts w:asciiTheme="minorHAnsi" w:hAnsiTheme="minorHAnsi"/>
          <w:lang w:val="mk-MK"/>
        </w:rPr>
        <w:t>Истражувачка област на Југоисточна Европа за е-инфраструктури</w:t>
      </w:r>
    </w:p>
    <w:p w14:paraId="64EF66D0" w14:textId="77777777" w:rsidR="007947BF" w:rsidRPr="008662BF" w:rsidRDefault="002F6BCF" w:rsidP="007947BF">
      <w:pPr>
        <w:pStyle w:val="ListParagraph"/>
        <w:numPr>
          <w:ilvl w:val="0"/>
          <w:numId w:val="6"/>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4F48344B" w14:textId="361FFB0C" w:rsidR="00EF2388" w:rsidRPr="008662BF" w:rsidRDefault="00B66096" w:rsidP="00EF2388">
      <w:pPr>
        <w:pStyle w:val="ListParagraph"/>
        <w:numPr>
          <w:ilvl w:val="0"/>
          <w:numId w:val="6"/>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EF2388" w:rsidRPr="008662BF">
        <w:rPr>
          <w:lang w:val="mk-MK"/>
        </w:rPr>
        <w:t>Универзите „Св. Кирил и Методиј“ - Скопје; Министерство за информатичко општество</w:t>
      </w:r>
    </w:p>
    <w:p w14:paraId="200B0F51" w14:textId="632553E1" w:rsidR="007947BF" w:rsidRPr="008662BF" w:rsidRDefault="002F6BCF" w:rsidP="007947BF">
      <w:pPr>
        <w:pStyle w:val="ListParagraph"/>
        <w:numPr>
          <w:ilvl w:val="0"/>
          <w:numId w:val="6"/>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007947BF" w:rsidRPr="008662BF">
        <w:rPr>
          <w:lang w:val="mk-MK"/>
        </w:rPr>
        <w:t>: 20</w:t>
      </w:r>
    </w:p>
    <w:p w14:paraId="635769BF" w14:textId="77777777" w:rsidR="007947BF" w:rsidRPr="008662BF" w:rsidRDefault="002F6BCF" w:rsidP="007947BF">
      <w:pPr>
        <w:pStyle w:val="ListParagraph"/>
        <w:numPr>
          <w:ilvl w:val="0"/>
          <w:numId w:val="6"/>
        </w:numPr>
        <w:rPr>
          <w:lang w:val="mk-MK"/>
        </w:rPr>
      </w:pPr>
      <w:r w:rsidRPr="008662BF">
        <w:rPr>
          <w:b/>
          <w:lang w:val="mk-MK"/>
        </w:rPr>
        <w:t>Период на спроведување на проектот</w:t>
      </w:r>
      <w:r w:rsidR="007947BF" w:rsidRPr="008662BF">
        <w:rPr>
          <w:lang w:val="mk-MK"/>
        </w:rPr>
        <w:t>: 01</w:t>
      </w:r>
      <w:r w:rsidR="00EF2388" w:rsidRPr="008662BF">
        <w:rPr>
          <w:lang w:val="mk-MK"/>
        </w:rPr>
        <w:t>.</w:t>
      </w:r>
      <w:r w:rsidR="007947BF" w:rsidRPr="008662BF">
        <w:rPr>
          <w:lang w:val="mk-MK"/>
        </w:rPr>
        <w:t>04</w:t>
      </w:r>
      <w:r w:rsidR="00EF2388" w:rsidRPr="008662BF">
        <w:rPr>
          <w:lang w:val="mk-MK"/>
        </w:rPr>
        <w:t>.</w:t>
      </w:r>
      <w:r w:rsidR="007947BF" w:rsidRPr="008662BF">
        <w:rPr>
          <w:lang w:val="mk-MK"/>
        </w:rPr>
        <w:t xml:space="preserve">2009 </w:t>
      </w:r>
      <w:r w:rsidR="00EF2388" w:rsidRPr="008662BF">
        <w:rPr>
          <w:lang w:val="mk-MK"/>
        </w:rPr>
        <w:t>–</w:t>
      </w:r>
      <w:r w:rsidR="007947BF" w:rsidRPr="008662BF">
        <w:rPr>
          <w:lang w:val="mk-MK"/>
        </w:rPr>
        <w:t xml:space="preserve"> 31</w:t>
      </w:r>
      <w:r w:rsidR="00EF2388" w:rsidRPr="008662BF">
        <w:rPr>
          <w:lang w:val="mk-MK"/>
        </w:rPr>
        <w:t>.</w:t>
      </w:r>
      <w:r w:rsidR="007947BF" w:rsidRPr="008662BF">
        <w:rPr>
          <w:lang w:val="mk-MK"/>
        </w:rPr>
        <w:t>03</w:t>
      </w:r>
      <w:r w:rsidR="00EF2388" w:rsidRPr="008662BF">
        <w:rPr>
          <w:lang w:val="mk-MK"/>
        </w:rPr>
        <w:t>.</w:t>
      </w:r>
      <w:r w:rsidR="007947BF" w:rsidRPr="008662BF">
        <w:rPr>
          <w:lang w:val="mk-MK"/>
        </w:rPr>
        <w:t>2012</w:t>
      </w:r>
    </w:p>
    <w:p w14:paraId="2B809DA1" w14:textId="77777777" w:rsidR="00EF2388" w:rsidRPr="008662BF" w:rsidRDefault="002F6BCF" w:rsidP="007947BF">
      <w:pPr>
        <w:pStyle w:val="ListParagraph"/>
        <w:numPr>
          <w:ilvl w:val="0"/>
          <w:numId w:val="6"/>
        </w:numPr>
        <w:rPr>
          <w:lang w:val="mk-MK"/>
        </w:rPr>
      </w:pPr>
      <w:r w:rsidRPr="008662BF">
        <w:rPr>
          <w:b/>
          <w:lang w:val="mk-MK"/>
        </w:rPr>
        <w:t>Научна област</w:t>
      </w:r>
      <w:r w:rsidR="007947BF" w:rsidRPr="008662BF">
        <w:rPr>
          <w:lang w:val="mk-MK"/>
        </w:rPr>
        <w:t xml:space="preserve">: </w:t>
      </w:r>
      <w:r w:rsidR="00EF2388" w:rsidRPr="008662BF">
        <w:rPr>
          <w:lang w:val="mk-MK"/>
        </w:rPr>
        <w:t>е-инфраструктури</w:t>
      </w:r>
    </w:p>
    <w:p w14:paraId="002BE9C8" w14:textId="3CDA6161" w:rsidR="00244881" w:rsidRPr="008662BF" w:rsidRDefault="00244881" w:rsidP="007947BF">
      <w:pPr>
        <w:jc w:val="both"/>
        <w:rPr>
          <w:lang w:val="mk-MK"/>
        </w:rPr>
      </w:pPr>
      <w:r w:rsidRPr="008662BF">
        <w:rPr>
          <w:lang w:val="mk-MK"/>
        </w:rPr>
        <w:t xml:space="preserve">Проектот SEERA-EI ги поврза програмските менаџери на национално ниво и обезбеди отворен форум за размена на информации </w:t>
      </w:r>
      <w:r w:rsidR="00F27186">
        <w:rPr>
          <w:lang w:val="mk-MK"/>
        </w:rPr>
        <w:t xml:space="preserve">за </w:t>
      </w:r>
      <w:r w:rsidRPr="008662BF">
        <w:rPr>
          <w:lang w:val="mk-MK"/>
        </w:rPr>
        <w:t xml:space="preserve">да се овозможи координација на националните програми </w:t>
      </w:r>
      <w:r w:rsidR="00053E14">
        <w:rPr>
          <w:lang w:val="mk-MK"/>
        </w:rPr>
        <w:t xml:space="preserve">за </w:t>
      </w:r>
      <w:r w:rsidRPr="008662BF">
        <w:rPr>
          <w:lang w:val="mk-MK"/>
        </w:rPr>
        <w:t>е-инфраструктури и постави рамка за заедничка регионална агенда. Во рамки</w:t>
      </w:r>
      <w:r w:rsidR="00F27186">
        <w:rPr>
          <w:lang w:val="mk-MK"/>
        </w:rPr>
        <w:t>те</w:t>
      </w:r>
      <w:r w:rsidRPr="008662BF">
        <w:rPr>
          <w:lang w:val="mk-MK"/>
        </w:rPr>
        <w:t xml:space="preserve"> на проектот се собираа и разменуваа информации за програмите и </w:t>
      </w:r>
      <w:r w:rsidR="00053E14">
        <w:rPr>
          <w:lang w:val="mk-MK"/>
        </w:rPr>
        <w:t xml:space="preserve">се </w:t>
      </w:r>
      <w:r w:rsidRPr="008662BF">
        <w:rPr>
          <w:lang w:val="mk-MK"/>
        </w:rPr>
        <w:t>спроведе најсовремена анализа; се подготвија документи за најдобри пракси и насоки за националните програми за е-инфраструктура; и се утврдија областите за заедничките регионални активности,</w:t>
      </w:r>
      <w:r w:rsidR="00F27186">
        <w:rPr>
          <w:lang w:val="mk-MK"/>
        </w:rPr>
        <w:t xml:space="preserve"> што</w:t>
      </w:r>
      <w:r w:rsidRPr="008662BF">
        <w:rPr>
          <w:lang w:val="mk-MK"/>
        </w:rPr>
        <w:t xml:space="preserve"> се движат од краткорочни меки акции, </w:t>
      </w:r>
      <w:r w:rsidR="00F27186">
        <w:rPr>
          <w:lang w:val="mk-MK"/>
        </w:rPr>
        <w:t xml:space="preserve">кон </w:t>
      </w:r>
      <w:r w:rsidRPr="008662BF">
        <w:rPr>
          <w:lang w:val="mk-MK"/>
        </w:rPr>
        <w:t xml:space="preserve">среднорочни акции на ниво на политики, до подготвителни активности за долгорочни акции. SEERA-EI ја намали фрагментацијата на националните програми, создаде хармонизиран пристап кон иницијативите на национално ниво </w:t>
      </w:r>
      <w:r w:rsidR="00053E14">
        <w:rPr>
          <w:lang w:val="mk-MK"/>
        </w:rPr>
        <w:t xml:space="preserve">за </w:t>
      </w:r>
      <w:r w:rsidRPr="008662BF">
        <w:rPr>
          <w:lang w:val="mk-MK"/>
        </w:rPr>
        <w:t>е-инфраструктур</w:t>
      </w:r>
      <w:r w:rsidR="00053E14">
        <w:rPr>
          <w:lang w:val="mk-MK"/>
        </w:rPr>
        <w:t>а</w:t>
      </w:r>
      <w:r w:rsidRPr="008662BF">
        <w:rPr>
          <w:lang w:val="mk-MK"/>
        </w:rPr>
        <w:t>, обезбеди локална посветеност и го отвори патот кон заедничка регионална визија, стратегија и одржлива соработка, овозможувајќи заедничко висококвалитетно истражување во низа различни научни области.</w:t>
      </w:r>
    </w:p>
    <w:p w14:paraId="2FB44B4A" w14:textId="77777777" w:rsidR="00244881" w:rsidRPr="008662BF" w:rsidRDefault="00244881" w:rsidP="007947BF">
      <w:pPr>
        <w:pStyle w:val="Heading4"/>
        <w:ind w:firstLine="357"/>
        <w:rPr>
          <w:rFonts w:asciiTheme="minorHAnsi" w:hAnsiTheme="minorHAnsi"/>
          <w:lang w:val="mk-MK"/>
        </w:rPr>
      </w:pPr>
      <w:r w:rsidRPr="008662BF">
        <w:rPr>
          <w:rFonts w:asciiTheme="minorHAnsi" w:hAnsiTheme="minorHAnsi"/>
          <w:lang w:val="mk-MK"/>
        </w:rPr>
        <w:lastRenderedPageBreak/>
        <w:t xml:space="preserve">18. </w:t>
      </w:r>
      <w:r w:rsidR="009F3B36">
        <w:rPr>
          <w:rFonts w:asciiTheme="minorHAnsi" w:hAnsiTheme="minorHAnsi"/>
        </w:rPr>
        <w:t xml:space="preserve">SERIES </w:t>
      </w:r>
      <w:r w:rsidRPr="008662BF">
        <w:rPr>
          <w:rFonts w:asciiTheme="minorHAnsi" w:hAnsiTheme="minorHAnsi"/>
          <w:lang w:val="mk-MK"/>
        </w:rPr>
        <w:t>(Истражувачки инфраструктури за сеизмичко инженерство за европски синергии)</w:t>
      </w:r>
    </w:p>
    <w:p w14:paraId="32B9211D" w14:textId="77777777" w:rsidR="007947BF" w:rsidRPr="008662BF" w:rsidRDefault="002F6BCF" w:rsidP="007947BF">
      <w:pPr>
        <w:pStyle w:val="ListParagraph"/>
        <w:numPr>
          <w:ilvl w:val="0"/>
          <w:numId w:val="6"/>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FP7</w:t>
      </w:r>
    </w:p>
    <w:p w14:paraId="0338257D" w14:textId="7D16CFF4" w:rsidR="00244881" w:rsidRPr="008662BF" w:rsidRDefault="00B66096" w:rsidP="00244881">
      <w:pPr>
        <w:pStyle w:val="ListParagraph"/>
        <w:numPr>
          <w:ilvl w:val="0"/>
          <w:numId w:val="6"/>
        </w:numPr>
        <w:rPr>
          <w:lang w:val="mk-MK"/>
        </w:rPr>
      </w:pPr>
      <w:r w:rsidRPr="008662BF">
        <w:rPr>
          <w:b/>
          <w:lang w:val="mk-MK"/>
        </w:rPr>
        <w:t xml:space="preserve">Проектни партнери од </w:t>
      </w:r>
      <w:r w:rsidR="00417197">
        <w:rPr>
          <w:b/>
          <w:lang w:val="mk-MK"/>
        </w:rPr>
        <w:t>Република Северна Македонија</w:t>
      </w:r>
      <w:r w:rsidR="007947BF" w:rsidRPr="008662BF">
        <w:rPr>
          <w:lang w:val="mk-MK"/>
        </w:rPr>
        <w:t xml:space="preserve">: </w:t>
      </w:r>
      <w:r w:rsidR="00244881" w:rsidRPr="008662BF">
        <w:rPr>
          <w:lang w:val="mk-MK"/>
        </w:rPr>
        <w:t xml:space="preserve">Универзитет „Св. Кирил и Методиј“ - Скопје, Институт за земјотресно инженерство и инженерска сеизмологија </w:t>
      </w:r>
    </w:p>
    <w:p w14:paraId="1C02D89F" w14:textId="20D6A360" w:rsidR="007947BF" w:rsidRPr="008662BF" w:rsidRDefault="002F6BCF" w:rsidP="007947BF">
      <w:pPr>
        <w:pStyle w:val="ListParagraph"/>
        <w:numPr>
          <w:ilvl w:val="0"/>
          <w:numId w:val="6"/>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007947BF" w:rsidRPr="008662BF">
        <w:rPr>
          <w:lang w:val="mk-MK"/>
        </w:rPr>
        <w:t>: 21</w:t>
      </w:r>
    </w:p>
    <w:p w14:paraId="343D05AF" w14:textId="77777777" w:rsidR="007947BF" w:rsidRPr="008662BF" w:rsidRDefault="002F6BCF" w:rsidP="007947BF">
      <w:pPr>
        <w:pStyle w:val="ListParagraph"/>
        <w:numPr>
          <w:ilvl w:val="0"/>
          <w:numId w:val="6"/>
        </w:numPr>
        <w:rPr>
          <w:lang w:val="mk-MK"/>
        </w:rPr>
      </w:pPr>
      <w:r w:rsidRPr="008662BF">
        <w:rPr>
          <w:b/>
          <w:lang w:val="mk-MK"/>
        </w:rPr>
        <w:t>Период на спроведување на проектот</w:t>
      </w:r>
      <w:r w:rsidR="00244881" w:rsidRPr="008662BF">
        <w:rPr>
          <w:lang w:val="mk-MK"/>
        </w:rPr>
        <w:t>: 01.03.2009 – 28.02.</w:t>
      </w:r>
      <w:r w:rsidR="007947BF" w:rsidRPr="008662BF">
        <w:rPr>
          <w:lang w:val="mk-MK"/>
        </w:rPr>
        <w:t>2013</w:t>
      </w:r>
    </w:p>
    <w:p w14:paraId="240FE4B7" w14:textId="77777777" w:rsidR="00244881" w:rsidRPr="008662BF" w:rsidRDefault="002F6BCF" w:rsidP="007947BF">
      <w:pPr>
        <w:pStyle w:val="ListParagraph"/>
        <w:numPr>
          <w:ilvl w:val="0"/>
          <w:numId w:val="6"/>
        </w:numPr>
        <w:rPr>
          <w:lang w:val="mk-MK"/>
        </w:rPr>
      </w:pPr>
      <w:r w:rsidRPr="008662BF">
        <w:rPr>
          <w:b/>
          <w:lang w:val="mk-MK"/>
        </w:rPr>
        <w:t>Научна област</w:t>
      </w:r>
      <w:r w:rsidR="00244881" w:rsidRPr="008662BF">
        <w:rPr>
          <w:lang w:val="mk-MK"/>
        </w:rPr>
        <w:t>: истражувачки инфраструктури</w:t>
      </w:r>
    </w:p>
    <w:p w14:paraId="10C607AA" w14:textId="65466B3F" w:rsidR="00341041" w:rsidRPr="008662BF" w:rsidRDefault="00261876" w:rsidP="007947BF">
      <w:pPr>
        <w:jc w:val="both"/>
        <w:rPr>
          <w:lang w:val="mk-MK"/>
        </w:rPr>
      </w:pPr>
      <w:r w:rsidRPr="00E6229E">
        <w:rPr>
          <w:lang w:val="mk-MK"/>
        </w:rPr>
        <w:t>Истражувањата во областа на сеизмичко инженерство во Европа се соочува со екстремна фрагментација на истражувачките инфраструктури кај земјите учеснички и</w:t>
      </w:r>
      <w:r w:rsidR="00F27186">
        <w:rPr>
          <w:lang w:val="mk-MK"/>
        </w:rPr>
        <w:t xml:space="preserve"> со</w:t>
      </w:r>
      <w:r w:rsidRPr="00E6229E">
        <w:rPr>
          <w:lang w:val="mk-MK"/>
        </w:rPr>
        <w:t xml:space="preserve"> ограничен пристап на научната и </w:t>
      </w:r>
      <w:r w:rsidR="00F27186">
        <w:rPr>
          <w:lang w:val="mk-MK"/>
        </w:rPr>
        <w:t xml:space="preserve">на </w:t>
      </w:r>
      <w:r w:rsidRPr="00E6229E">
        <w:rPr>
          <w:lang w:val="mk-MK"/>
        </w:rPr>
        <w:t xml:space="preserve">техничката заедница за земјотресно инженерство до нив, особено во најсеизмичките региони во Европа. Проектот </w:t>
      </w:r>
      <w:r w:rsidR="00053E14" w:rsidRPr="00E6229E">
        <w:t xml:space="preserve">SERIES </w:t>
      </w:r>
      <w:r w:rsidR="00F27186">
        <w:rPr>
          <w:lang w:val="mk-MK"/>
        </w:rPr>
        <w:t>имаше цел</w:t>
      </w:r>
      <w:r w:rsidRPr="00E6229E">
        <w:rPr>
          <w:lang w:val="mk-MK"/>
        </w:rPr>
        <w:t xml:space="preserve"> овие проблеми да се решат на одржлив начин преку 4-годишна програма на активности. Опсегот ги вклучи сите аспекти на испитувањето во сеизмичкото инженерско, од осум постројки за псевдодинамички ѕидови за реакција и десет лаборатории со виброплатформи, до уникатниот Тестер на лежишта или изолатори на</w:t>
      </w:r>
      <w:r w:rsidRPr="008662BF">
        <w:rPr>
          <w:lang w:val="mk-MK"/>
        </w:rPr>
        <w:t xml:space="preserve"> ЕУ, неговите две главни центрифуги и инструментирана</w:t>
      </w:r>
      <w:r w:rsidR="00053E14">
        <w:rPr>
          <w:lang w:val="mk-MK"/>
        </w:rPr>
        <w:t xml:space="preserve">та </w:t>
      </w:r>
      <w:r w:rsidRPr="008662BF">
        <w:rPr>
          <w:lang w:val="mk-MK"/>
        </w:rPr>
        <w:t>локација за студии на ширење на бранови.</w:t>
      </w:r>
      <w:r w:rsidR="00F27186">
        <w:rPr>
          <w:lang w:val="mk-MK"/>
        </w:rPr>
        <w:t xml:space="preserve"> </w:t>
      </w:r>
      <w:r w:rsidR="00346105">
        <w:rPr>
          <w:lang w:val="mk-MK"/>
        </w:rPr>
        <w:t xml:space="preserve">Обезбеден е </w:t>
      </w:r>
      <w:r w:rsidR="00053E14">
        <w:rPr>
          <w:lang w:val="mk-MK"/>
        </w:rPr>
        <w:t>т</w:t>
      </w:r>
      <w:r w:rsidR="00341041" w:rsidRPr="008662BF">
        <w:rPr>
          <w:lang w:val="mk-MK"/>
        </w:rPr>
        <w:t xml:space="preserve">ранснационален пристап </w:t>
      </w:r>
      <w:r w:rsidR="00346105">
        <w:rPr>
          <w:lang w:val="mk-MK"/>
        </w:rPr>
        <w:t xml:space="preserve">кон </w:t>
      </w:r>
      <w:r w:rsidR="00341041" w:rsidRPr="008662BF">
        <w:rPr>
          <w:lang w:val="mk-MK"/>
        </w:rPr>
        <w:t>портфолио</w:t>
      </w:r>
      <w:r w:rsidR="00F27186">
        <w:rPr>
          <w:lang w:val="mk-MK"/>
        </w:rPr>
        <w:t>то</w:t>
      </w:r>
      <w:r w:rsidR="00341041" w:rsidRPr="008662BF">
        <w:rPr>
          <w:lang w:val="mk-MK"/>
        </w:rPr>
        <w:t xml:space="preserve"> на истражувачки инфраструктури од светска класа: најголемиот псевдодинамич</w:t>
      </w:r>
      <w:r w:rsidR="00125935">
        <w:rPr>
          <w:lang w:val="mk-MK"/>
        </w:rPr>
        <w:t xml:space="preserve">ки </w:t>
      </w:r>
      <w:r w:rsidR="00341041" w:rsidRPr="008662BF">
        <w:rPr>
          <w:lang w:val="mk-MK"/>
        </w:rPr>
        <w:t>обје</w:t>
      </w:r>
      <w:r w:rsidR="00125935">
        <w:rPr>
          <w:lang w:val="mk-MK"/>
        </w:rPr>
        <w:t>кт во ЕУ, четири различни вибро</w:t>
      </w:r>
      <w:r w:rsidR="00341041" w:rsidRPr="008662BF">
        <w:rPr>
          <w:lang w:val="mk-MK"/>
        </w:rPr>
        <w:t>платформи и двете центрифуги. Со вмрежувањето се воспостави јавна дистрибуирана база на податоци за резултатите од минатите, сегашните и идните тест</w:t>
      </w:r>
      <w:r w:rsidR="00125935">
        <w:rPr>
          <w:lang w:val="mk-MK"/>
        </w:rPr>
        <w:t>ирања</w:t>
      </w:r>
      <w:r w:rsidR="00341041" w:rsidRPr="008662BF">
        <w:rPr>
          <w:lang w:val="mk-MK"/>
        </w:rPr>
        <w:t>, се инсталираа дистрибуирани способности за тестирање во сите псевдодинамич</w:t>
      </w:r>
      <w:r w:rsidR="00125935">
        <w:rPr>
          <w:lang w:val="mk-MK"/>
        </w:rPr>
        <w:t xml:space="preserve">ки </w:t>
      </w:r>
      <w:r w:rsidR="00341041" w:rsidRPr="008662BF">
        <w:rPr>
          <w:lang w:val="mk-MK"/>
        </w:rPr>
        <w:t xml:space="preserve">лаборатории, се поттикна развојот на перспективните лаборатории во најсеизмичките региони во Европа, се подготвија и се применија протоколи за квалификација на </w:t>
      </w:r>
      <w:r w:rsidR="00125935">
        <w:rPr>
          <w:lang w:val="mk-MK"/>
        </w:rPr>
        <w:t xml:space="preserve">истражувачките инфраструктури </w:t>
      </w:r>
      <w:r w:rsidR="00341041" w:rsidRPr="008662BF">
        <w:rPr>
          <w:lang w:val="mk-MK"/>
        </w:rPr>
        <w:t>и се вклучи целата европска заедница на земјотресното инженерство преку најдобрите можни инстанци: Европската асоцијација за земјотресно инженерство, креаторите на сеизмички кодови на ЕУ и нивните национални групи, европската градежна индустрија, како и сите релевантни научни и технички здруженија или мрежи.</w:t>
      </w:r>
    </w:p>
    <w:p w14:paraId="1820CDAA" w14:textId="77777777" w:rsidR="007947BF" w:rsidRPr="008662BF" w:rsidRDefault="007947BF" w:rsidP="007947BF">
      <w:pPr>
        <w:jc w:val="both"/>
        <w:rPr>
          <w:rFonts w:eastAsiaTheme="majorEastAsia" w:cstheme="majorBidi"/>
          <w:b/>
          <w:bCs/>
          <w:color w:val="4F81BD" w:themeColor="accent1"/>
          <w:sz w:val="26"/>
          <w:szCs w:val="26"/>
          <w:shd w:val="clear" w:color="auto" w:fill="FFFFFF"/>
          <w:lang w:val="mk-MK"/>
        </w:rPr>
      </w:pPr>
      <w:bookmarkStart w:id="34" w:name="_Toc61096334"/>
      <w:r w:rsidRPr="008662BF">
        <w:rPr>
          <w:shd w:val="clear" w:color="auto" w:fill="FFFFFF"/>
          <w:lang w:val="mk-MK"/>
        </w:rPr>
        <w:br w:type="page"/>
      </w:r>
    </w:p>
    <w:p w14:paraId="3D7EC27B" w14:textId="77777777" w:rsidR="007947BF" w:rsidRPr="008662BF" w:rsidRDefault="007947BF" w:rsidP="007947BF">
      <w:pPr>
        <w:pStyle w:val="Heading2"/>
        <w:spacing w:after="240"/>
        <w:rPr>
          <w:rFonts w:asciiTheme="minorHAnsi" w:hAnsiTheme="minorHAnsi"/>
          <w:shd w:val="clear" w:color="auto" w:fill="FFFFFF"/>
          <w:lang w:val="mk-MK"/>
        </w:rPr>
      </w:pPr>
      <w:bookmarkStart w:id="35" w:name="_Toc86916067"/>
      <w:r w:rsidRPr="008662BF">
        <w:rPr>
          <w:rFonts w:asciiTheme="minorHAnsi" w:hAnsiTheme="minorHAnsi"/>
          <w:shd w:val="clear" w:color="auto" w:fill="FFFFFF"/>
          <w:lang w:val="mk-MK"/>
        </w:rPr>
        <w:lastRenderedPageBreak/>
        <w:t xml:space="preserve">4.5. </w:t>
      </w:r>
      <w:bookmarkEnd w:id="34"/>
      <w:r w:rsidR="00341041" w:rsidRPr="008662BF">
        <w:rPr>
          <w:rFonts w:asciiTheme="minorHAnsi" w:hAnsiTheme="minorHAnsi"/>
          <w:shd w:val="clear" w:color="auto" w:fill="FFFFFF"/>
          <w:lang w:val="mk-MK"/>
        </w:rPr>
        <w:t xml:space="preserve">Членство во Патоказот на </w:t>
      </w:r>
      <w:r w:rsidR="00125935">
        <w:rPr>
          <w:rFonts w:asciiTheme="minorHAnsi" w:hAnsiTheme="minorHAnsi"/>
          <w:shd w:val="clear" w:color="auto" w:fill="FFFFFF"/>
        </w:rPr>
        <w:t xml:space="preserve">ESFRI </w:t>
      </w:r>
      <w:r w:rsidR="00341041" w:rsidRPr="008662BF">
        <w:rPr>
          <w:rFonts w:asciiTheme="minorHAnsi" w:hAnsiTheme="minorHAnsi"/>
          <w:shd w:val="clear" w:color="auto" w:fill="FFFFFF"/>
          <w:lang w:val="mk-MK"/>
        </w:rPr>
        <w:t xml:space="preserve">и </w:t>
      </w:r>
      <w:r w:rsidR="00F27186">
        <w:rPr>
          <w:rFonts w:asciiTheme="minorHAnsi" w:hAnsiTheme="minorHAnsi"/>
          <w:shd w:val="clear" w:color="auto" w:fill="FFFFFF"/>
          <w:lang w:val="mk-MK"/>
        </w:rPr>
        <w:t xml:space="preserve">во </w:t>
      </w:r>
      <w:r w:rsidR="00341041" w:rsidRPr="008662BF">
        <w:rPr>
          <w:rFonts w:asciiTheme="minorHAnsi" w:hAnsiTheme="minorHAnsi"/>
          <w:shd w:val="clear" w:color="auto" w:fill="FFFFFF"/>
          <w:lang w:val="mk-MK"/>
        </w:rPr>
        <w:t>други големи европски истражувачки инфраструктури</w:t>
      </w:r>
      <w:bookmarkEnd w:id="35"/>
    </w:p>
    <w:p w14:paraId="42F7CCB7" w14:textId="065AB5BF" w:rsidR="00341041" w:rsidRPr="008662BF" w:rsidRDefault="00341041" w:rsidP="00341041">
      <w:pPr>
        <w:jc w:val="both"/>
        <w:rPr>
          <w:lang w:val="mk-MK"/>
        </w:rPr>
      </w:pPr>
      <w:r w:rsidRPr="008662BF">
        <w:rPr>
          <w:lang w:val="mk-MK"/>
        </w:rPr>
        <w:t xml:space="preserve">Во согласност со ниските нивоа на јавни расходи за истражување и развој во текот на последната деценија, истражувачката заедница на </w:t>
      </w:r>
      <w:r w:rsidR="00417197">
        <w:rPr>
          <w:lang w:val="mk-MK"/>
        </w:rPr>
        <w:t>Република Северна Македонија</w:t>
      </w:r>
      <w:r w:rsidRPr="008662BF">
        <w:rPr>
          <w:lang w:val="mk-MK"/>
        </w:rPr>
        <w:t xml:space="preserve"> не</w:t>
      </w:r>
      <w:r w:rsidR="00125935">
        <w:rPr>
          <w:lang w:val="mk-MK"/>
        </w:rPr>
        <w:t xml:space="preserve">ма </w:t>
      </w:r>
      <w:r w:rsidRPr="008662BF">
        <w:rPr>
          <w:lang w:val="mk-MK"/>
        </w:rPr>
        <w:t xml:space="preserve">забележително присуство меѓу глобалните </w:t>
      </w:r>
      <w:r w:rsidR="00125935">
        <w:rPr>
          <w:lang w:val="mk-MK"/>
        </w:rPr>
        <w:t xml:space="preserve">истражувачки структури. </w:t>
      </w:r>
      <w:r w:rsidRPr="008662BF">
        <w:rPr>
          <w:lang w:val="mk-MK"/>
        </w:rPr>
        <w:t xml:space="preserve">Сепак, важно е да се нагласи дека и покрај неповолните општи услови, институциите од </w:t>
      </w:r>
      <w:r w:rsidR="00417197">
        <w:rPr>
          <w:lang w:val="mk-MK"/>
        </w:rPr>
        <w:t>Република Северна Македонија</w:t>
      </w:r>
      <w:r w:rsidRPr="008662BF">
        <w:rPr>
          <w:lang w:val="mk-MK"/>
        </w:rPr>
        <w:t xml:space="preserve"> се полноправни или придружни членки на неколку големи истражувачки инфраструктури во Европа.</w:t>
      </w:r>
    </w:p>
    <w:p w14:paraId="37754EC4" w14:textId="6E537442" w:rsidR="00341041" w:rsidRPr="008662BF" w:rsidRDefault="00417197" w:rsidP="00341041">
      <w:pPr>
        <w:jc w:val="both"/>
        <w:rPr>
          <w:lang w:val="mk-MK"/>
        </w:rPr>
      </w:pPr>
      <w:r>
        <w:rPr>
          <w:lang w:val="mk-MK"/>
        </w:rPr>
        <w:t>Република Северна Македонија</w:t>
      </w:r>
      <w:r w:rsidR="00341041" w:rsidRPr="008662BF">
        <w:rPr>
          <w:lang w:val="mk-MK"/>
        </w:rPr>
        <w:t xml:space="preserve"> е членка на Европскиот стратешки форум за истражувачки инфраструктури (ESFRI). Во моментов, </w:t>
      </w:r>
      <w:r>
        <w:rPr>
          <w:lang w:val="mk-MK"/>
        </w:rPr>
        <w:t>Република Северна Македонија</w:t>
      </w:r>
      <w:r w:rsidR="00341041" w:rsidRPr="008662BF">
        <w:rPr>
          <w:lang w:val="mk-MK"/>
        </w:rPr>
        <w:t xml:space="preserve"> учествува во еден проект на ESFRI за развој на истражувачка</w:t>
      </w:r>
      <w:r w:rsidR="00F27186">
        <w:rPr>
          <w:lang w:val="mk-MK"/>
        </w:rPr>
        <w:t>та</w:t>
      </w:r>
      <w:r w:rsidR="00341041" w:rsidRPr="008662BF">
        <w:rPr>
          <w:lang w:val="mk-MK"/>
        </w:rPr>
        <w:t xml:space="preserve"> инфраструктура </w:t>
      </w:r>
      <w:r w:rsidR="00F27186">
        <w:rPr>
          <w:rFonts w:cstheme="minorHAnsi"/>
          <w:lang w:val="mk-MK"/>
        </w:rPr>
        <w:t>–</w:t>
      </w:r>
      <w:r w:rsidR="00341041" w:rsidRPr="008662BF">
        <w:rPr>
          <w:lang w:val="mk-MK"/>
        </w:rPr>
        <w:t xml:space="preserve"> METROFOOD-RI Инфраструктура за промовирање на метрологијата во храната и исхраната. Повеќе информации за овој проект се дадени подолу.</w:t>
      </w:r>
    </w:p>
    <w:p w14:paraId="2A5B7737" w14:textId="77777777" w:rsidR="00CB2D25" w:rsidRPr="008662BF" w:rsidRDefault="00CB2D25" w:rsidP="007947BF">
      <w:pPr>
        <w:pStyle w:val="Heading3"/>
        <w:rPr>
          <w:rFonts w:asciiTheme="minorHAnsi" w:hAnsiTheme="minorHAnsi"/>
          <w:lang w:val="mk-MK"/>
        </w:rPr>
      </w:pPr>
      <w:bookmarkStart w:id="36" w:name="_Toc86916068"/>
      <w:r w:rsidRPr="008662BF">
        <w:rPr>
          <w:rFonts w:asciiTheme="minorHAnsi" w:hAnsiTheme="minorHAnsi"/>
          <w:lang w:val="mk-MK"/>
        </w:rPr>
        <w:t>METROFOOD-RI Инфраструктура за промовирање на метрологијата во храната и исхраната</w:t>
      </w:r>
      <w:bookmarkEnd w:id="36"/>
    </w:p>
    <w:p w14:paraId="11F953CC" w14:textId="77777777" w:rsidR="007947BF" w:rsidRPr="008662BF" w:rsidRDefault="002F6BCF" w:rsidP="007947BF">
      <w:pPr>
        <w:pStyle w:val="ListParagraph"/>
        <w:numPr>
          <w:ilvl w:val="0"/>
          <w:numId w:val="15"/>
        </w:numPr>
        <w:rPr>
          <w:lang w:val="mk-MK"/>
        </w:rPr>
      </w:pPr>
      <w:r w:rsidRPr="008662BF">
        <w:rPr>
          <w:b/>
          <w:lang w:val="mk-MK"/>
        </w:rPr>
        <w:t>Програми за финансирање</w:t>
      </w:r>
      <w:r w:rsidR="007947BF" w:rsidRPr="008662BF">
        <w:rPr>
          <w:b/>
          <w:lang w:val="mk-MK"/>
        </w:rPr>
        <w:t>:</w:t>
      </w:r>
      <w:r w:rsidR="007947BF" w:rsidRPr="008662BF">
        <w:rPr>
          <w:lang w:val="mk-MK"/>
        </w:rPr>
        <w:t xml:space="preserve"> H2020</w:t>
      </w:r>
    </w:p>
    <w:p w14:paraId="25107248" w14:textId="11CE4681" w:rsidR="007947BF" w:rsidRPr="008662BF" w:rsidRDefault="00B66096" w:rsidP="00287AFE">
      <w:pPr>
        <w:pStyle w:val="ListParagraph"/>
        <w:numPr>
          <w:ilvl w:val="0"/>
          <w:numId w:val="2"/>
        </w:numPr>
        <w:rPr>
          <w:lang w:val="mk-MK"/>
        </w:rPr>
      </w:pPr>
      <w:r w:rsidRPr="008662BF">
        <w:rPr>
          <w:b/>
          <w:lang w:val="mk-MK"/>
        </w:rPr>
        <w:t xml:space="preserve">Проектни партнери од </w:t>
      </w:r>
      <w:r w:rsidR="00417197">
        <w:rPr>
          <w:b/>
          <w:lang w:val="mk-MK"/>
        </w:rPr>
        <w:t>Република Северна Македонија</w:t>
      </w:r>
      <w:r w:rsidR="00287AFE" w:rsidRPr="008662BF">
        <w:rPr>
          <w:lang w:val="mk-MK"/>
        </w:rPr>
        <w:t>: Институт за јавно здравје н</w:t>
      </w:r>
      <w:r w:rsidR="00125935">
        <w:rPr>
          <w:lang w:val="mk-MK"/>
        </w:rPr>
        <w:t xml:space="preserve">а Република </w:t>
      </w:r>
      <w:r w:rsidR="00417197">
        <w:rPr>
          <w:lang w:val="mk-MK"/>
        </w:rPr>
        <w:t>Република Северна Македонија</w:t>
      </w:r>
      <w:r w:rsidR="00125935">
        <w:rPr>
          <w:lang w:val="mk-MK"/>
        </w:rPr>
        <w:t xml:space="preserve"> - </w:t>
      </w:r>
      <w:r w:rsidR="00287AFE" w:rsidRPr="008662BF">
        <w:rPr>
          <w:lang w:val="mk-MK"/>
        </w:rPr>
        <w:t>Скопје (100.</w:t>
      </w:r>
      <w:r w:rsidR="007947BF" w:rsidRPr="008662BF">
        <w:rPr>
          <w:lang w:val="mk-MK"/>
        </w:rPr>
        <w:t>762,50</w:t>
      </w:r>
      <w:r w:rsidR="00287AFE" w:rsidRPr="008662BF">
        <w:rPr>
          <w:lang w:val="mk-MK"/>
        </w:rPr>
        <w:t xml:space="preserve"> евра</w:t>
      </w:r>
      <w:r w:rsidR="007947BF" w:rsidRPr="008662BF">
        <w:rPr>
          <w:lang w:val="mk-MK"/>
        </w:rPr>
        <w:t>)</w:t>
      </w:r>
    </w:p>
    <w:p w14:paraId="02FCFE57" w14:textId="29B0BFEB" w:rsidR="007947BF" w:rsidRPr="008662BF" w:rsidRDefault="002F6BCF" w:rsidP="007947BF">
      <w:pPr>
        <w:pStyle w:val="ListParagraph"/>
        <w:numPr>
          <w:ilvl w:val="0"/>
          <w:numId w:val="2"/>
        </w:numPr>
        <w:rPr>
          <w:lang w:val="mk-MK"/>
        </w:rPr>
      </w:pPr>
      <w:r w:rsidRPr="008662BF">
        <w:rPr>
          <w:b/>
          <w:lang w:val="mk-MK"/>
        </w:rPr>
        <w:t xml:space="preserve">Вкупен </w:t>
      </w:r>
      <w:r w:rsidR="00F27186">
        <w:rPr>
          <w:b/>
          <w:lang w:val="mk-MK"/>
        </w:rPr>
        <w:t>број партнерски</w:t>
      </w:r>
      <w:r w:rsidRPr="008662BF">
        <w:rPr>
          <w:b/>
          <w:lang w:val="mk-MK"/>
        </w:rPr>
        <w:t xml:space="preserve"> организации</w:t>
      </w:r>
      <w:r w:rsidR="007947BF" w:rsidRPr="008662BF">
        <w:rPr>
          <w:lang w:val="mk-MK"/>
        </w:rPr>
        <w:t>: 20</w:t>
      </w:r>
    </w:p>
    <w:p w14:paraId="3EB5FC57" w14:textId="77777777" w:rsidR="007947BF" w:rsidRPr="008662BF" w:rsidRDefault="002F6BCF" w:rsidP="007947BF">
      <w:pPr>
        <w:pStyle w:val="ListParagraph"/>
        <w:numPr>
          <w:ilvl w:val="0"/>
          <w:numId w:val="2"/>
        </w:numPr>
        <w:rPr>
          <w:lang w:val="mk-MK"/>
        </w:rPr>
      </w:pPr>
      <w:r w:rsidRPr="008662BF">
        <w:rPr>
          <w:b/>
          <w:lang w:val="mk-MK"/>
        </w:rPr>
        <w:t>Период на спроведување на проектот</w:t>
      </w:r>
      <w:r w:rsidR="007947BF" w:rsidRPr="008662BF">
        <w:rPr>
          <w:lang w:val="mk-MK"/>
        </w:rPr>
        <w:t>: 01</w:t>
      </w:r>
      <w:r w:rsidR="00CB2D25" w:rsidRPr="008662BF">
        <w:rPr>
          <w:lang w:val="mk-MK"/>
        </w:rPr>
        <w:t>.</w:t>
      </w:r>
      <w:r w:rsidR="007947BF" w:rsidRPr="008662BF">
        <w:rPr>
          <w:lang w:val="mk-MK"/>
        </w:rPr>
        <w:t>12</w:t>
      </w:r>
      <w:r w:rsidR="00CB2D25" w:rsidRPr="008662BF">
        <w:rPr>
          <w:lang w:val="mk-MK"/>
        </w:rPr>
        <w:t>.</w:t>
      </w:r>
      <w:r w:rsidR="007947BF" w:rsidRPr="008662BF">
        <w:rPr>
          <w:lang w:val="mk-MK"/>
        </w:rPr>
        <w:t xml:space="preserve">2019 </w:t>
      </w:r>
      <w:r w:rsidR="00CB2D25" w:rsidRPr="008662BF">
        <w:rPr>
          <w:lang w:val="mk-MK"/>
        </w:rPr>
        <w:t>–</w:t>
      </w:r>
      <w:r w:rsidR="007947BF" w:rsidRPr="008662BF">
        <w:rPr>
          <w:lang w:val="mk-MK"/>
        </w:rPr>
        <w:t xml:space="preserve"> 31</w:t>
      </w:r>
      <w:r w:rsidR="00CB2D25" w:rsidRPr="008662BF">
        <w:rPr>
          <w:lang w:val="mk-MK"/>
        </w:rPr>
        <w:t>.</w:t>
      </w:r>
      <w:r w:rsidR="007947BF" w:rsidRPr="008662BF">
        <w:rPr>
          <w:lang w:val="mk-MK"/>
        </w:rPr>
        <w:t>05</w:t>
      </w:r>
      <w:r w:rsidR="00CB2D25" w:rsidRPr="008662BF">
        <w:rPr>
          <w:lang w:val="mk-MK"/>
        </w:rPr>
        <w:t>.</w:t>
      </w:r>
      <w:r w:rsidR="007947BF" w:rsidRPr="008662BF">
        <w:rPr>
          <w:lang w:val="mk-MK"/>
        </w:rPr>
        <w:t>2022</w:t>
      </w:r>
    </w:p>
    <w:p w14:paraId="669E59F1" w14:textId="77777777" w:rsidR="007947BF" w:rsidRPr="008662BF" w:rsidRDefault="002F6BCF" w:rsidP="007947BF">
      <w:pPr>
        <w:pStyle w:val="ListParagraph"/>
        <w:numPr>
          <w:ilvl w:val="0"/>
          <w:numId w:val="2"/>
        </w:numPr>
        <w:rPr>
          <w:lang w:val="mk-MK"/>
        </w:rPr>
      </w:pPr>
      <w:r w:rsidRPr="008662BF">
        <w:rPr>
          <w:b/>
          <w:lang w:val="mk-MK"/>
        </w:rPr>
        <w:t>Научна област</w:t>
      </w:r>
      <w:r w:rsidR="007947BF" w:rsidRPr="008662BF">
        <w:rPr>
          <w:lang w:val="mk-MK"/>
        </w:rPr>
        <w:t xml:space="preserve">: </w:t>
      </w:r>
      <w:r w:rsidR="00CB2D25" w:rsidRPr="008662BF">
        <w:rPr>
          <w:lang w:val="mk-MK"/>
        </w:rPr>
        <w:t>истражувачки инфраструктури</w:t>
      </w:r>
    </w:p>
    <w:p w14:paraId="63ED5634" w14:textId="49BD6CD4" w:rsidR="00287AFE" w:rsidRPr="008662BF" w:rsidRDefault="00287AFE" w:rsidP="00287AFE">
      <w:pPr>
        <w:jc w:val="both"/>
        <w:rPr>
          <w:lang w:val="mk-MK"/>
        </w:rPr>
      </w:pPr>
      <w:r w:rsidRPr="008662BF">
        <w:rPr>
          <w:lang w:val="mk-MK"/>
        </w:rPr>
        <w:t>METROFOOD-RI Инфраструктура</w:t>
      </w:r>
      <w:r w:rsidR="00F27186">
        <w:rPr>
          <w:lang w:val="mk-MK"/>
        </w:rPr>
        <w:t>та</w:t>
      </w:r>
      <w:r w:rsidRPr="008662BF">
        <w:rPr>
          <w:lang w:val="mk-MK"/>
        </w:rPr>
        <w:t xml:space="preserve"> за промовирање на метрологијата во храната и исхраната е паневропска истражувачка инфраструктура чија цел е да промовира научна извонредност во областа на квалитетот и </w:t>
      </w:r>
      <w:r w:rsidR="00F27186">
        <w:rPr>
          <w:lang w:val="mk-MK"/>
        </w:rPr>
        <w:t xml:space="preserve">на </w:t>
      </w:r>
      <w:r w:rsidRPr="008662BF">
        <w:rPr>
          <w:lang w:val="mk-MK"/>
        </w:rPr>
        <w:t xml:space="preserve">безбедноста на храната. Обезбедува висококвалитетни метролошки услуги во храната и исхраната, </w:t>
      </w:r>
      <w:r w:rsidR="00125935">
        <w:rPr>
          <w:lang w:val="mk-MK"/>
        </w:rPr>
        <w:t xml:space="preserve">опфаќајќи </w:t>
      </w:r>
      <w:r w:rsidRPr="008662BF">
        <w:rPr>
          <w:lang w:val="mk-MK"/>
        </w:rPr>
        <w:t xml:space="preserve">важен пресек на високоинтердисциплинарни и меѓусебно поврзани </w:t>
      </w:r>
      <w:r w:rsidR="005C06A9">
        <w:rPr>
          <w:lang w:val="mk-MK"/>
        </w:rPr>
        <w:t xml:space="preserve">области </w:t>
      </w:r>
      <w:r w:rsidR="00125935">
        <w:rPr>
          <w:lang w:val="mk-MK"/>
        </w:rPr>
        <w:t xml:space="preserve">во целиот </w:t>
      </w:r>
      <w:r w:rsidRPr="008662BF">
        <w:rPr>
          <w:lang w:val="mk-MK"/>
        </w:rPr>
        <w:t xml:space="preserve">синџир на вредност на храната, </w:t>
      </w:r>
      <w:r w:rsidR="00125935">
        <w:rPr>
          <w:lang w:val="mk-MK"/>
        </w:rPr>
        <w:t xml:space="preserve">вклучително и </w:t>
      </w:r>
      <w:r w:rsidR="005C06A9">
        <w:rPr>
          <w:lang w:val="mk-MK"/>
        </w:rPr>
        <w:t xml:space="preserve">области како </w:t>
      </w:r>
      <w:r w:rsidR="00125935">
        <w:rPr>
          <w:lang w:val="mk-MK"/>
        </w:rPr>
        <w:t>земјоделско-прехрамбен</w:t>
      </w:r>
      <w:r w:rsidR="005C06A9">
        <w:rPr>
          <w:lang w:val="mk-MK"/>
        </w:rPr>
        <w:t xml:space="preserve">иот </w:t>
      </w:r>
      <w:r w:rsidR="00125935">
        <w:rPr>
          <w:lang w:val="mk-MK"/>
        </w:rPr>
        <w:t>сектор</w:t>
      </w:r>
      <w:r w:rsidRPr="008662BF">
        <w:rPr>
          <w:lang w:val="mk-MK"/>
        </w:rPr>
        <w:t>, одржлив</w:t>
      </w:r>
      <w:r w:rsidR="00F27186">
        <w:rPr>
          <w:lang w:val="mk-MK"/>
        </w:rPr>
        <w:t>иот</w:t>
      </w:r>
      <w:r w:rsidRPr="008662BF">
        <w:rPr>
          <w:lang w:val="mk-MK"/>
        </w:rPr>
        <w:t xml:space="preserve"> развој, безбедност</w:t>
      </w:r>
      <w:r w:rsidR="00F27186">
        <w:rPr>
          <w:lang w:val="mk-MK"/>
        </w:rPr>
        <w:t>а</w:t>
      </w:r>
      <w:r w:rsidRPr="008662BF">
        <w:rPr>
          <w:lang w:val="mk-MK"/>
        </w:rPr>
        <w:t xml:space="preserve"> на храна, квалитет</w:t>
      </w:r>
      <w:r w:rsidR="00F27186">
        <w:rPr>
          <w:lang w:val="mk-MK"/>
        </w:rPr>
        <w:t>от</w:t>
      </w:r>
      <w:r w:rsidRPr="008662BF">
        <w:rPr>
          <w:lang w:val="mk-MK"/>
        </w:rPr>
        <w:t>, следливост</w:t>
      </w:r>
      <w:r w:rsidR="00F27186">
        <w:rPr>
          <w:lang w:val="mk-MK"/>
        </w:rPr>
        <w:t>а</w:t>
      </w:r>
      <w:r w:rsidRPr="008662BF">
        <w:rPr>
          <w:lang w:val="mk-MK"/>
        </w:rPr>
        <w:t xml:space="preserve"> и автентичност</w:t>
      </w:r>
      <w:r w:rsidR="00F27186">
        <w:rPr>
          <w:lang w:val="mk-MK"/>
        </w:rPr>
        <w:t>а</w:t>
      </w:r>
      <w:r w:rsidRPr="008662BF">
        <w:rPr>
          <w:lang w:val="mk-MK"/>
        </w:rPr>
        <w:t>, безбедност</w:t>
      </w:r>
      <w:r w:rsidR="00F27186">
        <w:rPr>
          <w:lang w:val="mk-MK"/>
        </w:rPr>
        <w:t>а</w:t>
      </w:r>
      <w:r w:rsidRPr="008662BF">
        <w:rPr>
          <w:lang w:val="mk-MK"/>
        </w:rPr>
        <w:t xml:space="preserve"> на животната средина и човековото здравје.</w:t>
      </w:r>
      <w:r w:rsidR="00F27186">
        <w:rPr>
          <w:lang w:val="mk-MK"/>
        </w:rPr>
        <w:t xml:space="preserve"> </w:t>
      </w:r>
      <w:r w:rsidRPr="008662BF">
        <w:rPr>
          <w:lang w:val="mk-MK"/>
        </w:rPr>
        <w:t>METROFOOD-RI е избран за Патоказот на ESFRI 2018 како доволно зрел</w:t>
      </w:r>
      <w:r w:rsidR="009E4863">
        <w:rPr>
          <w:lang w:val="mk-MK"/>
        </w:rPr>
        <w:t xml:space="preserve">а инфраструктура </w:t>
      </w:r>
      <w:r w:rsidR="005C06A9">
        <w:rPr>
          <w:lang w:val="mk-MK"/>
        </w:rPr>
        <w:t xml:space="preserve">за спроведување </w:t>
      </w:r>
      <w:r w:rsidRPr="008662BF">
        <w:rPr>
          <w:lang w:val="mk-MK"/>
        </w:rPr>
        <w:t>во следните десет години. Активностите имаат цел да обезбедат поддршка METROFOOD-RI да прерасне од сегашниот статус (мрежа на капацитети и вештини за истражувања) во зрела, централно</w:t>
      </w:r>
      <w:r w:rsidR="00793C9C">
        <w:rPr>
          <w:lang w:val="mk-MK"/>
        </w:rPr>
        <w:t xml:space="preserve"> </w:t>
      </w:r>
      <w:r w:rsidRPr="008662BF">
        <w:rPr>
          <w:lang w:val="mk-MK"/>
        </w:rPr>
        <w:t xml:space="preserve">координирана, интегрирана истражувачка инфраструктура, со правна, финансиска и </w:t>
      </w:r>
      <w:r w:rsidR="00793C9C">
        <w:rPr>
          <w:lang w:val="mk-MK"/>
        </w:rPr>
        <w:t xml:space="preserve">со </w:t>
      </w:r>
      <w:r w:rsidRPr="008662BF">
        <w:rPr>
          <w:lang w:val="mk-MK"/>
        </w:rPr>
        <w:t xml:space="preserve">техничка зрелост </w:t>
      </w:r>
      <w:r w:rsidR="00793C9C">
        <w:rPr>
          <w:lang w:val="mk-MK"/>
        </w:rPr>
        <w:t>што</w:t>
      </w:r>
      <w:r w:rsidR="00793C9C" w:rsidRPr="008662BF">
        <w:rPr>
          <w:lang w:val="mk-MK"/>
        </w:rPr>
        <w:t xml:space="preserve"> </w:t>
      </w:r>
      <w:r w:rsidRPr="008662BF">
        <w:rPr>
          <w:lang w:val="mk-MK"/>
        </w:rPr>
        <w:t xml:space="preserve">е потребна за нејзиното спроведување. Главната цел е да се развие организациската, оперативната и стратешката рамка на METROFOOD-RI. Активностите содржат правни, управни, финансиски, технички, стратешки и административни аспекти </w:t>
      </w:r>
      <w:r w:rsidR="00793C9C">
        <w:rPr>
          <w:lang w:val="mk-MK"/>
        </w:rPr>
        <w:t>што</w:t>
      </w:r>
      <w:r w:rsidRPr="008662BF">
        <w:rPr>
          <w:lang w:val="mk-MK"/>
        </w:rPr>
        <w:t xml:space="preserve"> се спроведуваат во 15 работни пакети, организирани во 3 блока посветени соодветно на: организацијата на правното лице кое ќе управува со идната истражувачка инфраструктура, т.е. ERIC; дефинирање на работните и</w:t>
      </w:r>
      <w:r w:rsidR="00793C9C">
        <w:rPr>
          <w:lang w:val="mk-MK"/>
        </w:rPr>
        <w:t xml:space="preserve"> на</w:t>
      </w:r>
      <w:r w:rsidRPr="008662BF">
        <w:rPr>
          <w:lang w:val="mk-MK"/>
        </w:rPr>
        <w:t xml:space="preserve"> оперативните стандарди на ниво на целата истражувачка инфраструктура и за националните јазли, како и улогата на истражувачката инфраструктура како организација ориентирана кон услуги; дефинирање на долгорочните активности за идната истражувачка инфраструктура и ажурирање на стратешката агенда за истражување и иновации, како одговор на актуелните и </w:t>
      </w:r>
      <w:r w:rsidR="00793C9C">
        <w:rPr>
          <w:lang w:val="mk-MK"/>
        </w:rPr>
        <w:t xml:space="preserve">на </w:t>
      </w:r>
      <w:r w:rsidRPr="008662BF">
        <w:rPr>
          <w:lang w:val="mk-MK"/>
        </w:rPr>
        <w:t xml:space="preserve">идните предизвици во земјоделско-прехранбениот сектор и </w:t>
      </w:r>
      <w:r w:rsidR="009E4863">
        <w:rPr>
          <w:lang w:val="mk-MK"/>
        </w:rPr>
        <w:t xml:space="preserve">во </w:t>
      </w:r>
      <w:r w:rsidRPr="008662BF">
        <w:rPr>
          <w:lang w:val="mk-MK"/>
        </w:rPr>
        <w:t xml:space="preserve">општеството. Главниот исход ќе биде воспоставување правна и </w:t>
      </w:r>
      <w:r w:rsidRPr="008662BF">
        <w:rPr>
          <w:lang w:val="mk-MK"/>
        </w:rPr>
        <w:lastRenderedPageBreak/>
        <w:t>финансиска обврска за идниот ERIC, со што ќе се обезбеди долгорочна</w:t>
      </w:r>
      <w:r w:rsidR="00793C9C">
        <w:rPr>
          <w:lang w:val="mk-MK"/>
        </w:rPr>
        <w:t xml:space="preserve"> </w:t>
      </w:r>
      <w:r w:rsidRPr="008662BF">
        <w:rPr>
          <w:lang w:val="mk-MK"/>
        </w:rPr>
        <w:t>заедничка посветеност,</w:t>
      </w:r>
      <w:r w:rsidR="00793C9C">
        <w:rPr>
          <w:lang w:val="mk-MK"/>
        </w:rPr>
        <w:t xml:space="preserve"> долгорочно</w:t>
      </w:r>
      <w:r w:rsidRPr="008662BF">
        <w:rPr>
          <w:lang w:val="mk-MK"/>
        </w:rPr>
        <w:t xml:space="preserve"> </w:t>
      </w:r>
      <w:r w:rsidR="0009120B">
        <w:rPr>
          <w:lang w:val="mk-MK"/>
        </w:rPr>
        <w:t xml:space="preserve">носење </w:t>
      </w:r>
      <w:r w:rsidRPr="008662BF">
        <w:rPr>
          <w:lang w:val="mk-MK"/>
        </w:rPr>
        <w:t xml:space="preserve">одлуки и финансирање. Ќе се одржуваат постојани односи со засегнатите страни и </w:t>
      </w:r>
      <w:r w:rsidR="00793C9C">
        <w:rPr>
          <w:lang w:val="mk-MK"/>
        </w:rPr>
        <w:t xml:space="preserve">со </w:t>
      </w:r>
      <w:r w:rsidRPr="008662BF">
        <w:rPr>
          <w:lang w:val="mk-MK"/>
        </w:rPr>
        <w:t>заедницата на корисници за</w:t>
      </w:r>
      <w:r w:rsidR="00793C9C">
        <w:rPr>
          <w:lang w:val="mk-MK"/>
        </w:rPr>
        <w:t>ради</w:t>
      </w:r>
      <w:r w:rsidRPr="008662BF">
        <w:rPr>
          <w:lang w:val="mk-MK"/>
        </w:rPr>
        <w:t xml:space="preserve"> сигур</w:t>
      </w:r>
      <w:r w:rsidR="00793C9C">
        <w:rPr>
          <w:lang w:val="mk-MK"/>
        </w:rPr>
        <w:t>ност</w:t>
      </w:r>
      <w:r w:rsidR="0009120B">
        <w:rPr>
          <w:lang w:val="mk-MK"/>
        </w:rPr>
        <w:t xml:space="preserve"> </w:t>
      </w:r>
      <w:r w:rsidRPr="008662BF">
        <w:rPr>
          <w:lang w:val="mk-MK"/>
        </w:rPr>
        <w:t>дека на нивните потреби се одговара на најдобр</w:t>
      </w:r>
      <w:r w:rsidR="00793C9C">
        <w:rPr>
          <w:lang w:val="mk-MK"/>
        </w:rPr>
        <w:t>иот</w:t>
      </w:r>
      <w:r w:rsidRPr="008662BF">
        <w:rPr>
          <w:lang w:val="mk-MK"/>
        </w:rPr>
        <w:t xml:space="preserve"> начин, како и за насочување на стратегиите и </w:t>
      </w:r>
      <w:r w:rsidR="00793C9C">
        <w:rPr>
          <w:lang w:val="mk-MK"/>
        </w:rPr>
        <w:t xml:space="preserve">на </w:t>
      </w:r>
      <w:r w:rsidRPr="008662BF">
        <w:rPr>
          <w:lang w:val="mk-MK"/>
        </w:rPr>
        <w:t>планираните услуги.</w:t>
      </w:r>
    </w:p>
    <w:p w14:paraId="2310F90F" w14:textId="35649B38" w:rsidR="00287AFE" w:rsidRPr="008662BF" w:rsidRDefault="00417197" w:rsidP="009E69D0">
      <w:pPr>
        <w:spacing w:after="0"/>
        <w:jc w:val="both"/>
        <w:rPr>
          <w:lang w:val="mk-MK"/>
        </w:rPr>
      </w:pPr>
      <w:r>
        <w:rPr>
          <w:lang w:val="mk-MK"/>
        </w:rPr>
        <w:t>Република Северна Македонија</w:t>
      </w:r>
      <w:r w:rsidR="00287AFE" w:rsidRPr="008662BF">
        <w:rPr>
          <w:lang w:val="mk-MK"/>
        </w:rPr>
        <w:t xml:space="preserve"> учествува во работата на неколку големи европски </w:t>
      </w:r>
      <w:r w:rsidR="0009120B">
        <w:rPr>
          <w:lang w:val="mk-MK"/>
        </w:rPr>
        <w:t xml:space="preserve">истражувачки инфраструктури </w:t>
      </w:r>
      <w:r w:rsidR="00793C9C">
        <w:rPr>
          <w:lang w:val="mk-MK"/>
        </w:rPr>
        <w:t>што</w:t>
      </w:r>
      <w:r w:rsidR="00287AFE" w:rsidRPr="008662BF">
        <w:rPr>
          <w:lang w:val="mk-MK"/>
        </w:rPr>
        <w:t xml:space="preserve"> не се вклучени во Патоказот на ESFRI, но се многу важни за развојот на европската и </w:t>
      </w:r>
      <w:r w:rsidR="00793C9C">
        <w:rPr>
          <w:lang w:val="mk-MK"/>
        </w:rPr>
        <w:t xml:space="preserve">на </w:t>
      </w:r>
      <w:r w:rsidR="00287AFE" w:rsidRPr="008662BF">
        <w:rPr>
          <w:lang w:val="mk-MK"/>
        </w:rPr>
        <w:t xml:space="preserve">регионалната истражувачка инфраструктура: </w:t>
      </w:r>
    </w:p>
    <w:p w14:paraId="5D2F8B11" w14:textId="77777777" w:rsidR="00A808EA" w:rsidRPr="008662BF" w:rsidRDefault="00A808EA" w:rsidP="00A808EA">
      <w:pPr>
        <w:pStyle w:val="ListParagraph"/>
        <w:numPr>
          <w:ilvl w:val="0"/>
          <w:numId w:val="19"/>
        </w:numPr>
        <w:rPr>
          <w:lang w:val="mk-MK"/>
        </w:rPr>
      </w:pPr>
      <w:r w:rsidRPr="008662BF">
        <w:rPr>
          <w:lang w:val="mk-MK"/>
        </w:rPr>
        <w:t>Паневропска мрежа GEANT</w:t>
      </w:r>
    </w:p>
    <w:p w14:paraId="03F6E41F" w14:textId="77777777" w:rsidR="00A808EA" w:rsidRPr="008662BF" w:rsidRDefault="00A808EA" w:rsidP="00A808EA">
      <w:pPr>
        <w:pStyle w:val="ListParagraph"/>
        <w:numPr>
          <w:ilvl w:val="0"/>
          <w:numId w:val="19"/>
        </w:numPr>
        <w:rPr>
          <w:lang w:val="mk-MK"/>
        </w:rPr>
      </w:pPr>
      <w:r w:rsidRPr="008662BF">
        <w:rPr>
          <w:lang w:val="mk-MK"/>
        </w:rPr>
        <w:t>Асоцијација EOSC - Европски облак за отворена наука</w:t>
      </w:r>
    </w:p>
    <w:p w14:paraId="319A1DAE" w14:textId="77777777" w:rsidR="00A808EA" w:rsidRPr="008662BF" w:rsidRDefault="00A808EA" w:rsidP="00CD59BD">
      <w:pPr>
        <w:pStyle w:val="ListParagraph"/>
        <w:numPr>
          <w:ilvl w:val="0"/>
          <w:numId w:val="19"/>
        </w:numPr>
        <w:rPr>
          <w:lang w:val="mk-MK"/>
        </w:rPr>
      </w:pPr>
      <w:r w:rsidRPr="008662BF">
        <w:rPr>
          <w:lang w:val="mk-MK"/>
        </w:rPr>
        <w:t>CEESDA - Конзорциум на европски архиви на податоци за општествени науки</w:t>
      </w:r>
    </w:p>
    <w:p w14:paraId="00715A55" w14:textId="77777777" w:rsidR="00A808EA" w:rsidRPr="008662BF" w:rsidRDefault="00A808EA" w:rsidP="00A808EA">
      <w:pPr>
        <w:pStyle w:val="ListParagraph"/>
        <w:numPr>
          <w:ilvl w:val="0"/>
          <w:numId w:val="19"/>
        </w:numPr>
        <w:rPr>
          <w:lang w:val="mk-MK"/>
        </w:rPr>
      </w:pPr>
      <w:r w:rsidRPr="008662BF">
        <w:rPr>
          <w:lang w:val="mk-MK"/>
        </w:rPr>
        <w:t>EGI</w:t>
      </w:r>
      <w:r w:rsidR="0009120B">
        <w:rPr>
          <w:lang w:val="mk-MK"/>
        </w:rPr>
        <w:t xml:space="preserve"> - </w:t>
      </w:r>
      <w:r w:rsidRPr="008662BF">
        <w:rPr>
          <w:lang w:val="mk-MK"/>
        </w:rPr>
        <w:t xml:space="preserve">Напредно </w:t>
      </w:r>
      <w:r w:rsidR="00A9001D">
        <w:rPr>
          <w:lang w:val="mk-MK"/>
        </w:rPr>
        <w:t xml:space="preserve">компјутерско </w:t>
      </w:r>
      <w:r w:rsidR="00D61E89">
        <w:rPr>
          <w:lang w:val="mk-MK"/>
        </w:rPr>
        <w:t>пресметување за истражувања</w:t>
      </w:r>
    </w:p>
    <w:p w14:paraId="17A3123F" w14:textId="77777777" w:rsidR="007947BF" w:rsidRPr="008662BF" w:rsidRDefault="007947BF" w:rsidP="007947BF">
      <w:pPr>
        <w:pStyle w:val="ListParagraph"/>
        <w:numPr>
          <w:ilvl w:val="0"/>
          <w:numId w:val="19"/>
        </w:numPr>
        <w:rPr>
          <w:lang w:val="mk-MK"/>
        </w:rPr>
      </w:pPr>
      <w:r w:rsidRPr="008662BF">
        <w:rPr>
          <w:lang w:val="mk-MK"/>
        </w:rPr>
        <w:t>OpenAIRE AMKE</w:t>
      </w:r>
    </w:p>
    <w:p w14:paraId="65FFCA89" w14:textId="77777777" w:rsidR="007947BF" w:rsidRPr="008662BF" w:rsidRDefault="007947BF" w:rsidP="00A808EA">
      <w:pPr>
        <w:pStyle w:val="ListParagraph"/>
        <w:numPr>
          <w:ilvl w:val="0"/>
          <w:numId w:val="19"/>
        </w:numPr>
        <w:rPr>
          <w:lang w:val="mk-MK"/>
        </w:rPr>
      </w:pPr>
      <w:r w:rsidRPr="008662BF">
        <w:rPr>
          <w:lang w:val="mk-MK"/>
        </w:rPr>
        <w:t>EuroHPC JU</w:t>
      </w:r>
      <w:r w:rsidR="00A808EA" w:rsidRPr="008662BF">
        <w:rPr>
          <w:lang w:val="mk-MK"/>
        </w:rPr>
        <w:t xml:space="preserve"> - Европско заедничко претпријатие за пресметување со високи перформанси</w:t>
      </w:r>
    </w:p>
    <w:p w14:paraId="2109D256" w14:textId="6ADFC5A7" w:rsidR="00A808EA" w:rsidRPr="008662BF" w:rsidRDefault="007947BF" w:rsidP="007947BF">
      <w:pPr>
        <w:pStyle w:val="ListParagraph"/>
        <w:numPr>
          <w:ilvl w:val="0"/>
          <w:numId w:val="19"/>
        </w:numPr>
        <w:rPr>
          <w:lang w:val="mk-MK"/>
        </w:rPr>
      </w:pPr>
      <w:r w:rsidRPr="008662BF">
        <w:rPr>
          <w:lang w:val="mk-MK"/>
        </w:rPr>
        <w:t xml:space="preserve">ESS </w:t>
      </w:r>
      <w:r w:rsidR="00793C9C">
        <w:rPr>
          <w:lang w:val="mk-MK"/>
        </w:rPr>
        <w:t xml:space="preserve">- </w:t>
      </w:r>
      <w:r w:rsidR="00A808EA" w:rsidRPr="008662BF">
        <w:rPr>
          <w:lang w:val="mk-MK"/>
        </w:rPr>
        <w:t>Европско општествено истражување</w:t>
      </w:r>
    </w:p>
    <w:p w14:paraId="10D6DFE6" w14:textId="77777777" w:rsidR="007947BF" w:rsidRPr="008662BF" w:rsidRDefault="007947BF" w:rsidP="00A808EA">
      <w:pPr>
        <w:pStyle w:val="ListParagraph"/>
        <w:numPr>
          <w:ilvl w:val="0"/>
          <w:numId w:val="19"/>
        </w:numPr>
        <w:rPr>
          <w:lang w:val="mk-MK"/>
        </w:rPr>
      </w:pPr>
      <w:r w:rsidRPr="008662BF">
        <w:rPr>
          <w:lang w:val="mk-MK"/>
        </w:rPr>
        <w:t>SEEIST</w:t>
      </w:r>
      <w:r w:rsidR="00A808EA" w:rsidRPr="008662BF">
        <w:rPr>
          <w:lang w:val="mk-MK"/>
        </w:rPr>
        <w:t xml:space="preserve"> - Меѓународен институт за одржливи технологии на Југоисточна Европа</w:t>
      </w:r>
    </w:p>
    <w:p w14:paraId="1E5825F1" w14:textId="77777777" w:rsidR="00A808EA" w:rsidRPr="008662BF" w:rsidRDefault="00A808EA" w:rsidP="007947BF">
      <w:pPr>
        <w:jc w:val="both"/>
        <w:rPr>
          <w:lang w:val="mk-MK"/>
        </w:rPr>
      </w:pPr>
      <w:r w:rsidRPr="008662BF">
        <w:rPr>
          <w:lang w:val="mk-MK"/>
        </w:rPr>
        <w:t xml:space="preserve">Повеќе информации за секоја голема </w:t>
      </w:r>
      <w:r w:rsidR="0009120B">
        <w:rPr>
          <w:lang w:val="mk-MK"/>
        </w:rPr>
        <w:t xml:space="preserve">истражувачка инфраструктура </w:t>
      </w:r>
      <w:r w:rsidRPr="008662BF">
        <w:rPr>
          <w:lang w:val="mk-MK"/>
        </w:rPr>
        <w:t>се дадени подолу.</w:t>
      </w:r>
    </w:p>
    <w:p w14:paraId="36B4488C" w14:textId="77777777" w:rsidR="00BC082B" w:rsidRPr="008662BF" w:rsidRDefault="00BC082B" w:rsidP="007947BF">
      <w:pPr>
        <w:pStyle w:val="Heading3"/>
        <w:rPr>
          <w:rFonts w:asciiTheme="minorHAnsi" w:hAnsiTheme="minorHAnsi"/>
          <w:lang w:val="mk-MK"/>
        </w:rPr>
      </w:pPr>
      <w:bookmarkStart w:id="37" w:name="_Toc86916069"/>
      <w:r w:rsidRPr="008662BF">
        <w:rPr>
          <w:rFonts w:asciiTheme="minorHAnsi" w:hAnsiTheme="minorHAnsi"/>
          <w:lang w:val="mk-MK"/>
        </w:rPr>
        <w:t>Паневропска мрежа GEANT</w:t>
      </w:r>
      <w:bookmarkEnd w:id="37"/>
    </w:p>
    <w:p w14:paraId="3D4FECF7" w14:textId="77777777" w:rsidR="00380DE2" w:rsidRPr="008662BF" w:rsidRDefault="00380DE2" w:rsidP="00380DE2">
      <w:pPr>
        <w:jc w:val="both"/>
        <w:rPr>
          <w:lang w:val="mk-MK"/>
        </w:rPr>
      </w:pPr>
      <w:r w:rsidRPr="008662BF">
        <w:rPr>
          <w:lang w:val="mk-MK"/>
        </w:rPr>
        <w:t>Македонската академска истражувачка мрежа (МАРНет) е членка на GEANT.</w:t>
      </w:r>
    </w:p>
    <w:p w14:paraId="3E428BDC" w14:textId="15E398CD" w:rsidR="00380DE2" w:rsidRPr="008662BF" w:rsidRDefault="009B307A" w:rsidP="00380DE2">
      <w:pPr>
        <w:jc w:val="both"/>
        <w:rPr>
          <w:lang w:val="mk-MK"/>
        </w:rPr>
      </w:pPr>
      <w:r>
        <w:rPr>
          <w:lang w:val="mk-MK"/>
        </w:rPr>
        <w:t>GEANT е пан</w:t>
      </w:r>
      <w:r w:rsidR="00380DE2" w:rsidRPr="008662BF">
        <w:rPr>
          <w:lang w:val="mk-MK"/>
        </w:rPr>
        <w:t xml:space="preserve">европска </w:t>
      </w:r>
      <w:r w:rsidR="00793C9C">
        <w:rPr>
          <w:rFonts w:cstheme="minorHAnsi"/>
          <w:lang w:val="mk-MK"/>
        </w:rPr>
        <w:t>’</w:t>
      </w:r>
      <w:r w:rsidR="00380DE2" w:rsidRPr="008662BF">
        <w:rPr>
          <w:lang w:val="mk-MK"/>
        </w:rPr>
        <w:t xml:space="preserve">рбетна мрежа </w:t>
      </w:r>
      <w:r w:rsidR="00CB2785">
        <w:rPr>
          <w:lang w:val="mk-MK"/>
        </w:rPr>
        <w:t xml:space="preserve">за истражување и образование </w:t>
      </w:r>
      <w:r w:rsidR="00380DE2" w:rsidRPr="008662BF">
        <w:rPr>
          <w:lang w:val="mk-MK"/>
        </w:rPr>
        <w:t xml:space="preserve">со висок пропусен опсег што меѓусебно поврзува 42 национални истражувачки и образовни мрежи (NREN) и достигнува над 50 милиони корисници во 10.000 институции низ Европа и </w:t>
      </w:r>
      <w:r w:rsidR="00793C9C">
        <w:rPr>
          <w:lang w:val="mk-MK"/>
        </w:rPr>
        <w:t xml:space="preserve">во </w:t>
      </w:r>
      <w:r w:rsidR="00380DE2" w:rsidRPr="008662BF">
        <w:rPr>
          <w:lang w:val="mk-MK"/>
        </w:rPr>
        <w:t xml:space="preserve">повеќе од 100 економии ширум светот преку врски со други региони. Основната </w:t>
      </w:r>
      <w:r w:rsidR="00793C9C">
        <w:rPr>
          <w:rFonts w:cstheme="minorHAnsi"/>
          <w:lang w:val="mk-MK"/>
        </w:rPr>
        <w:t>’</w:t>
      </w:r>
      <w:r w:rsidR="00380DE2" w:rsidRPr="008662BF">
        <w:rPr>
          <w:lang w:val="mk-MK"/>
        </w:rPr>
        <w:t xml:space="preserve">рбетна мрежа е способна за повеќекратен пренос од 100 Gbps преку секоја врска со влакна, а терабитно поврзување може да се постигне со еден јазол. Основата на партнерството </w:t>
      </w:r>
      <w:r w:rsidR="006B0BC7">
        <w:rPr>
          <w:lang w:val="mk-MK"/>
        </w:rPr>
        <w:t xml:space="preserve">на </w:t>
      </w:r>
      <w:r w:rsidR="00380DE2" w:rsidRPr="008662BF">
        <w:rPr>
          <w:lang w:val="mk-MK"/>
        </w:rPr>
        <w:t>GÉANT ја формира безбедното и брзо</w:t>
      </w:r>
      <w:r w:rsidR="00793C9C">
        <w:rPr>
          <w:lang w:val="mk-MK"/>
        </w:rPr>
        <w:t xml:space="preserve"> меѓусебно</w:t>
      </w:r>
      <w:r w:rsidR="00380DE2" w:rsidRPr="008662BF">
        <w:rPr>
          <w:lang w:val="mk-MK"/>
        </w:rPr>
        <w:t xml:space="preserve"> поврзување на корисниците, со зголемените количини на податоци </w:t>
      </w:r>
      <w:r w:rsidR="00793C9C">
        <w:rPr>
          <w:lang w:val="mk-MK"/>
        </w:rPr>
        <w:t>што</w:t>
      </w:r>
      <w:r>
        <w:rPr>
          <w:lang w:val="mk-MK"/>
        </w:rPr>
        <w:t xml:space="preserve"> се </w:t>
      </w:r>
      <w:r w:rsidR="00380DE2" w:rsidRPr="008662BF">
        <w:rPr>
          <w:lang w:val="mk-MK"/>
        </w:rPr>
        <w:t>генерира</w:t>
      </w:r>
      <w:r>
        <w:rPr>
          <w:lang w:val="mk-MK"/>
        </w:rPr>
        <w:t xml:space="preserve">ат </w:t>
      </w:r>
      <w:r w:rsidR="00380DE2" w:rsidRPr="008662BF">
        <w:rPr>
          <w:lang w:val="mk-MK"/>
        </w:rPr>
        <w:t>од истражувањ</w:t>
      </w:r>
      <w:r>
        <w:rPr>
          <w:lang w:val="mk-MK"/>
        </w:rPr>
        <w:t xml:space="preserve">ата </w:t>
      </w:r>
      <w:r w:rsidR="00380DE2" w:rsidRPr="008662BF">
        <w:rPr>
          <w:lang w:val="mk-MK"/>
        </w:rPr>
        <w:t xml:space="preserve">и со капацитетите за пресметување со високи перформанси што </w:t>
      </w:r>
      <w:r>
        <w:rPr>
          <w:lang w:val="mk-MK"/>
        </w:rPr>
        <w:t xml:space="preserve">се </w:t>
      </w:r>
      <w:r w:rsidR="00380DE2" w:rsidRPr="008662BF">
        <w:rPr>
          <w:lang w:val="mk-MK"/>
        </w:rPr>
        <w:t>потребн</w:t>
      </w:r>
      <w:r>
        <w:rPr>
          <w:lang w:val="mk-MK"/>
        </w:rPr>
        <w:t xml:space="preserve">и </w:t>
      </w:r>
      <w:r w:rsidR="00380DE2" w:rsidRPr="008662BF">
        <w:rPr>
          <w:lang w:val="mk-MK"/>
        </w:rPr>
        <w:t>за заедничк</w:t>
      </w:r>
      <w:r>
        <w:rPr>
          <w:lang w:val="mk-MK"/>
        </w:rPr>
        <w:t>ите истражувања</w:t>
      </w:r>
      <w:r w:rsidR="00380DE2" w:rsidRPr="008662BF">
        <w:rPr>
          <w:lang w:val="mk-MK"/>
        </w:rPr>
        <w:t xml:space="preserve">. Услугите на GÉANT нудат лесен, брз и доверлив пристап до европските капацитети за пресметување со високи перформанси, услуги во облак за истражувачката и образовна заедница, </w:t>
      </w:r>
      <w:r w:rsidR="00793C9C">
        <w:rPr>
          <w:lang w:val="mk-MK"/>
        </w:rPr>
        <w:t xml:space="preserve">со </w:t>
      </w:r>
      <w:r w:rsidR="00380DE2" w:rsidRPr="008662BF">
        <w:rPr>
          <w:lang w:val="mk-MK"/>
        </w:rPr>
        <w:t>пристап до научни податоци и публикации и други услуги од европските даватели на е-инфраструктура, кога и да е потребно</w:t>
      </w:r>
      <w:r w:rsidR="00793C9C">
        <w:rPr>
          <w:lang w:val="mk-MK"/>
        </w:rPr>
        <w:t xml:space="preserve"> и каде што е потребно</w:t>
      </w:r>
      <w:r w:rsidR="00380DE2" w:rsidRPr="008662BF">
        <w:rPr>
          <w:lang w:val="mk-MK"/>
        </w:rPr>
        <w:t>.</w:t>
      </w:r>
    </w:p>
    <w:p w14:paraId="19FC3F61" w14:textId="77777777" w:rsidR="00380DE2" w:rsidRPr="008662BF" w:rsidRDefault="00380DE2" w:rsidP="007947BF">
      <w:pPr>
        <w:pStyle w:val="Heading3"/>
        <w:rPr>
          <w:rFonts w:asciiTheme="minorHAnsi" w:hAnsiTheme="minorHAnsi"/>
          <w:lang w:val="mk-MK"/>
        </w:rPr>
      </w:pPr>
      <w:bookmarkStart w:id="38" w:name="_Toc86916070"/>
      <w:r w:rsidRPr="008662BF">
        <w:rPr>
          <w:rFonts w:asciiTheme="minorHAnsi" w:hAnsiTheme="minorHAnsi"/>
          <w:lang w:val="mk-MK"/>
        </w:rPr>
        <w:t>Асоцијација EOSC – Европски облак за отворена наука</w:t>
      </w:r>
      <w:bookmarkEnd w:id="38"/>
    </w:p>
    <w:p w14:paraId="7D183883" w14:textId="6E1ED041" w:rsidR="00380DE2" w:rsidRPr="008662BF" w:rsidRDefault="00380DE2" w:rsidP="007947BF">
      <w:pPr>
        <w:jc w:val="both"/>
        <w:rPr>
          <w:lang w:val="mk-MK"/>
        </w:rPr>
      </w:pPr>
      <w:r w:rsidRPr="008662BF">
        <w:rPr>
          <w:lang w:val="mk-MK"/>
        </w:rPr>
        <w:t xml:space="preserve">Член на Асоцијацијата EOSC од </w:t>
      </w:r>
      <w:r w:rsidR="00417197">
        <w:rPr>
          <w:lang w:val="mk-MK"/>
        </w:rPr>
        <w:t>Република Северна Македонија</w:t>
      </w:r>
      <w:r w:rsidRPr="008662BF">
        <w:rPr>
          <w:lang w:val="mk-MK"/>
        </w:rPr>
        <w:t xml:space="preserve"> е Факултет</w:t>
      </w:r>
      <w:r w:rsidR="006B0BC7">
        <w:rPr>
          <w:lang w:val="mk-MK"/>
        </w:rPr>
        <w:t>от</w:t>
      </w:r>
      <w:r w:rsidRPr="008662BF">
        <w:rPr>
          <w:lang w:val="mk-MK"/>
        </w:rPr>
        <w:t xml:space="preserve"> за информатички науки и компјутерско инженерство, при Универзитетот „Св. Кирил и Методиј“ во Скопје.</w:t>
      </w:r>
    </w:p>
    <w:p w14:paraId="253CF659" w14:textId="096A8279" w:rsidR="00F4554B" w:rsidRPr="008662BF" w:rsidRDefault="00F4554B" w:rsidP="007947BF">
      <w:pPr>
        <w:jc w:val="both"/>
        <w:rPr>
          <w:lang w:val="mk-MK"/>
        </w:rPr>
      </w:pPr>
      <w:r w:rsidRPr="008662BF">
        <w:rPr>
          <w:lang w:val="mk-MK"/>
        </w:rPr>
        <w:t xml:space="preserve">Асоцијацијата EOSC како правен субјект </w:t>
      </w:r>
      <w:r w:rsidR="004B009D" w:rsidRPr="008662BF">
        <w:rPr>
          <w:lang w:val="mk-MK"/>
        </w:rPr>
        <w:t xml:space="preserve">е основана </w:t>
      </w:r>
      <w:r w:rsidRPr="008662BF">
        <w:rPr>
          <w:lang w:val="mk-MK"/>
        </w:rPr>
        <w:t>на 29 јули 2020 година со четири основачи: GÉANT, Конференција</w:t>
      </w:r>
      <w:r w:rsidR="006B0BC7">
        <w:rPr>
          <w:lang w:val="mk-MK"/>
        </w:rPr>
        <w:t>та</w:t>
      </w:r>
      <w:r w:rsidRPr="008662BF">
        <w:rPr>
          <w:lang w:val="mk-MK"/>
        </w:rPr>
        <w:t xml:space="preserve"> на европски училишта за напредно инженерско образование и истражување (CESAER), Шпански</w:t>
      </w:r>
      <w:r w:rsidR="006B0BC7">
        <w:rPr>
          <w:lang w:val="mk-MK"/>
        </w:rPr>
        <w:t>от</w:t>
      </w:r>
      <w:r w:rsidRPr="008662BF">
        <w:rPr>
          <w:lang w:val="mk-MK"/>
        </w:rPr>
        <w:t xml:space="preserve"> национален истражувачки совет (CSIC) и Италијанска</w:t>
      </w:r>
      <w:r w:rsidR="006B0BC7">
        <w:rPr>
          <w:lang w:val="mk-MK"/>
        </w:rPr>
        <w:t>та</w:t>
      </w:r>
      <w:r w:rsidRPr="008662BF">
        <w:rPr>
          <w:lang w:val="mk-MK"/>
        </w:rPr>
        <w:t xml:space="preserve"> национална компјутерска мрежа за универзитети и истражувањ</w:t>
      </w:r>
      <w:r w:rsidR="006B0BC7">
        <w:rPr>
          <w:lang w:val="mk-MK"/>
        </w:rPr>
        <w:t>а</w:t>
      </w:r>
      <w:r w:rsidRPr="008662BF">
        <w:rPr>
          <w:lang w:val="mk-MK"/>
        </w:rPr>
        <w:t xml:space="preserve"> (GARR). Асоцијацијата ќе потпише Меморандум за разбирање со Европската комисија за напредок на партнерството на EOSC, </w:t>
      </w:r>
      <w:r w:rsidR="004B009D">
        <w:rPr>
          <w:lang w:val="mk-MK"/>
        </w:rPr>
        <w:t>што</w:t>
      </w:r>
      <w:r w:rsidR="004B009D" w:rsidRPr="008662BF">
        <w:rPr>
          <w:lang w:val="mk-MK"/>
        </w:rPr>
        <w:t xml:space="preserve"> </w:t>
      </w:r>
      <w:r w:rsidRPr="008662BF">
        <w:rPr>
          <w:lang w:val="mk-MK"/>
        </w:rPr>
        <w:t xml:space="preserve">ќе ги вклучи сите релевантни засегнати страни за заеднички да ги </w:t>
      </w:r>
      <w:r w:rsidR="006B0BC7">
        <w:rPr>
          <w:lang w:val="mk-MK"/>
        </w:rPr>
        <w:t xml:space="preserve">осмислат </w:t>
      </w:r>
      <w:r w:rsidRPr="008662BF">
        <w:rPr>
          <w:lang w:val="mk-MK"/>
        </w:rPr>
        <w:t xml:space="preserve">и распоредат европскте заеднички ресурси на истражувачки податоци </w:t>
      </w:r>
      <w:r w:rsidR="00E6229E">
        <w:t>(</w:t>
      </w:r>
      <w:r w:rsidRPr="00E6229E">
        <w:rPr>
          <w:lang w:val="mk-MK"/>
        </w:rPr>
        <w:t xml:space="preserve">European Research Data </w:t>
      </w:r>
      <w:r w:rsidRPr="00E6229E">
        <w:rPr>
          <w:lang w:val="mk-MK"/>
        </w:rPr>
        <w:lastRenderedPageBreak/>
        <w:t>Commons</w:t>
      </w:r>
      <w:r w:rsidR="00E6229E">
        <w:rPr>
          <w:lang w:val="mk-MK"/>
        </w:rPr>
        <w:t>)</w:t>
      </w:r>
      <w:r w:rsidR="004B009D">
        <w:rPr>
          <w:lang w:val="mk-MK"/>
        </w:rPr>
        <w:t xml:space="preserve"> </w:t>
      </w:r>
      <w:r w:rsidR="006B0BC7">
        <w:rPr>
          <w:lang w:val="mk-MK"/>
        </w:rPr>
        <w:t xml:space="preserve">во кои </w:t>
      </w:r>
      <w:r w:rsidRPr="008662BF">
        <w:rPr>
          <w:lang w:val="mk-MK"/>
        </w:rPr>
        <w:t xml:space="preserve">податоците можат да се пронајдат, </w:t>
      </w:r>
      <w:r w:rsidR="004B009D">
        <w:rPr>
          <w:lang w:val="mk-MK"/>
        </w:rPr>
        <w:t xml:space="preserve">каде што </w:t>
      </w:r>
      <w:r w:rsidRPr="008662BF">
        <w:rPr>
          <w:lang w:val="mk-MK"/>
        </w:rPr>
        <w:t>се достапни, интероперабилни и повторно употребливи (FAIR), а исто така и што е можно поотворени.</w:t>
      </w:r>
    </w:p>
    <w:p w14:paraId="2EC37871" w14:textId="77777777" w:rsidR="00F4554B" w:rsidRPr="008662BF" w:rsidRDefault="00F4554B" w:rsidP="00F4554B">
      <w:pPr>
        <w:jc w:val="both"/>
        <w:rPr>
          <w:lang w:val="mk-MK"/>
        </w:rPr>
      </w:pPr>
      <w:r w:rsidRPr="008662BF">
        <w:rPr>
          <w:lang w:val="mk-MK"/>
        </w:rPr>
        <w:t xml:space="preserve">Иницијативата за Европски облак за отворена наука (EOSC) ќе им овозможи на истражувачите виртуелна средина со отворени и </w:t>
      </w:r>
      <w:r w:rsidR="004B009D">
        <w:rPr>
          <w:lang w:val="mk-MK"/>
        </w:rPr>
        <w:t xml:space="preserve">со </w:t>
      </w:r>
      <w:r w:rsidRPr="008662BF">
        <w:rPr>
          <w:lang w:val="mk-MK"/>
        </w:rPr>
        <w:t xml:space="preserve">непрекинати услуги за складирање, управување, анализа и </w:t>
      </w:r>
      <w:r w:rsidR="004B009D">
        <w:rPr>
          <w:lang w:val="mk-MK"/>
        </w:rPr>
        <w:t xml:space="preserve">со </w:t>
      </w:r>
      <w:r w:rsidRPr="008662BF">
        <w:rPr>
          <w:lang w:val="mk-MK"/>
        </w:rPr>
        <w:t>повторна употреба на податоци</w:t>
      </w:r>
      <w:r w:rsidR="004B009D">
        <w:rPr>
          <w:lang w:val="mk-MK"/>
        </w:rPr>
        <w:t>те</w:t>
      </w:r>
      <w:r w:rsidR="006B0BC7">
        <w:rPr>
          <w:lang w:val="mk-MK"/>
        </w:rPr>
        <w:t xml:space="preserve"> од истражувањата, преку граници/ограничувања, </w:t>
      </w:r>
      <w:r w:rsidRPr="008662BF">
        <w:rPr>
          <w:lang w:val="mk-MK"/>
        </w:rPr>
        <w:t>и научни дисциплини преку федерација на постојните инфраструктури на податоци.</w:t>
      </w:r>
    </w:p>
    <w:p w14:paraId="1BF0652A" w14:textId="77777777" w:rsidR="00F4554B" w:rsidRPr="008662BF" w:rsidRDefault="00F4554B" w:rsidP="00F4554B">
      <w:pPr>
        <w:jc w:val="both"/>
        <w:rPr>
          <w:lang w:val="mk-MK"/>
        </w:rPr>
      </w:pPr>
      <w:r w:rsidRPr="008662BF">
        <w:rPr>
          <w:lang w:val="mk-MK"/>
        </w:rPr>
        <w:t xml:space="preserve">EOSC се креира заеднички преку серија финансирани проекти и иницијативи </w:t>
      </w:r>
      <w:r w:rsidR="000333B4">
        <w:rPr>
          <w:lang w:val="mk-MK"/>
        </w:rPr>
        <w:t xml:space="preserve">на </w:t>
      </w:r>
      <w:r w:rsidRPr="008662BF">
        <w:rPr>
          <w:lang w:val="mk-MK"/>
        </w:rPr>
        <w:t xml:space="preserve">земјите членки и </w:t>
      </w:r>
      <w:r w:rsidR="004B009D">
        <w:rPr>
          <w:lang w:val="mk-MK"/>
        </w:rPr>
        <w:t xml:space="preserve">на </w:t>
      </w:r>
      <w:r w:rsidRPr="008662BF">
        <w:rPr>
          <w:lang w:val="mk-MK"/>
        </w:rPr>
        <w:t>придружните земји.</w:t>
      </w:r>
    </w:p>
    <w:p w14:paraId="7065B520" w14:textId="77777777" w:rsidR="007947BF" w:rsidRPr="008662BF" w:rsidRDefault="007947BF" w:rsidP="007947BF">
      <w:pPr>
        <w:pStyle w:val="Heading3"/>
        <w:rPr>
          <w:rFonts w:asciiTheme="minorHAnsi" w:hAnsiTheme="minorHAnsi"/>
          <w:lang w:val="mk-MK"/>
        </w:rPr>
      </w:pPr>
      <w:bookmarkStart w:id="39" w:name="_Toc86916071"/>
      <w:r w:rsidRPr="008662BF">
        <w:rPr>
          <w:rFonts w:asciiTheme="minorHAnsi" w:hAnsiTheme="minorHAnsi"/>
          <w:lang w:val="mk-MK"/>
        </w:rPr>
        <w:t>CEESDA</w:t>
      </w:r>
      <w:bookmarkEnd w:id="39"/>
    </w:p>
    <w:p w14:paraId="08E287A9" w14:textId="384F5BE6" w:rsidR="00FB7FF7" w:rsidRPr="008662BF" w:rsidRDefault="00FB7FF7" w:rsidP="00FB7FF7">
      <w:pPr>
        <w:jc w:val="both"/>
        <w:rPr>
          <w:lang w:val="mk-MK"/>
        </w:rPr>
      </w:pPr>
      <w:r w:rsidRPr="008662BF">
        <w:rPr>
          <w:lang w:val="mk-MK"/>
        </w:rPr>
        <w:t xml:space="preserve">Членка на CEESDA од </w:t>
      </w:r>
      <w:r w:rsidR="00417197">
        <w:rPr>
          <w:lang w:val="mk-MK"/>
        </w:rPr>
        <w:t>Република Северна Македонија</w:t>
      </w:r>
      <w:r w:rsidRPr="008662BF">
        <w:rPr>
          <w:lang w:val="mk-MK"/>
        </w:rPr>
        <w:t xml:space="preserve"> е Архивата на податоци за општествени науки на Македонија (</w:t>
      </w:r>
      <w:r w:rsidR="007E6127">
        <w:t>MK DASS</w:t>
      </w:r>
      <w:r w:rsidRPr="008662BF">
        <w:rPr>
          <w:lang w:val="mk-MK"/>
        </w:rPr>
        <w:t xml:space="preserve">). </w:t>
      </w:r>
      <w:r w:rsidR="007E6127">
        <w:rPr>
          <w:lang w:val="mk-MK"/>
        </w:rPr>
        <w:t xml:space="preserve">Архивата </w:t>
      </w:r>
      <w:r w:rsidRPr="008662BF">
        <w:rPr>
          <w:lang w:val="mk-MK"/>
        </w:rPr>
        <w:t>е организациона единица на Институтот за социолошки, политички и правни истражувања (ИСППИ) на Универзитетот Св. Кирил и Методиј во Скопје. Таа е национален давател на услуги</w:t>
      </w:r>
      <w:r w:rsidR="004B009D">
        <w:rPr>
          <w:lang w:val="mk-MK"/>
        </w:rPr>
        <w:t xml:space="preserve"> што е</w:t>
      </w:r>
      <w:r w:rsidRPr="008662BF">
        <w:rPr>
          <w:lang w:val="mk-MK"/>
        </w:rPr>
        <w:t xml:space="preserve"> назначен од Министерството за образование и наука во април 2019 година.</w:t>
      </w:r>
    </w:p>
    <w:p w14:paraId="757B1BC2" w14:textId="561C0AC9" w:rsidR="00FB7FF7" w:rsidRPr="008662BF" w:rsidRDefault="00FB7FF7" w:rsidP="00FB7FF7">
      <w:pPr>
        <w:jc w:val="both"/>
        <w:rPr>
          <w:lang w:val="mk-MK"/>
        </w:rPr>
      </w:pPr>
      <w:r w:rsidRPr="008662BF">
        <w:rPr>
          <w:lang w:val="mk-MK"/>
        </w:rPr>
        <w:t xml:space="preserve">Конзорциумот на европските архиви на податоци за општествени науки (CESSDA) обезбедува обемни, интегрирани и одржливи услуги за податоци за општествените науки. Тој ги обединува архивите на податоци за општествени науки во Европа, </w:t>
      </w:r>
      <w:r w:rsidR="004B009D">
        <w:rPr>
          <w:lang w:val="mk-MK"/>
        </w:rPr>
        <w:t>заради</w:t>
      </w:r>
      <w:r w:rsidRPr="008662BF">
        <w:rPr>
          <w:lang w:val="mk-MK"/>
        </w:rPr>
        <w:t xml:space="preserve"> промовирање на резултатите од истражувањата во областа на општествените науки и</w:t>
      </w:r>
      <w:r w:rsidR="004B009D">
        <w:rPr>
          <w:lang w:val="mk-MK"/>
        </w:rPr>
        <w:t xml:space="preserve"> за</w:t>
      </w:r>
      <w:r w:rsidRPr="008662BF">
        <w:rPr>
          <w:lang w:val="mk-MK"/>
        </w:rPr>
        <w:t xml:space="preserve"> обезбедување поддршка на националните и меѓународните истражувања и соработка. CESSDA обезбедува непрекинати услуги за архива</w:t>
      </w:r>
      <w:r w:rsidR="004B009D">
        <w:rPr>
          <w:lang w:val="mk-MK"/>
        </w:rPr>
        <w:t>та</w:t>
      </w:r>
      <w:r w:rsidRPr="008662BF">
        <w:rPr>
          <w:lang w:val="mk-MK"/>
        </w:rPr>
        <w:t xml:space="preserve"> на податоци за општествени науки за целата </w:t>
      </w:r>
      <w:r w:rsidR="007E6127">
        <w:rPr>
          <w:lang w:val="mk-MK"/>
        </w:rPr>
        <w:t>Европска истражувачка област</w:t>
      </w:r>
      <w:r w:rsidRPr="008662BF">
        <w:rPr>
          <w:lang w:val="mk-MK"/>
        </w:rPr>
        <w:t>, кои</w:t>
      </w:r>
      <w:r w:rsidR="004B009D">
        <w:rPr>
          <w:lang w:val="mk-MK"/>
        </w:rPr>
        <w:t>што</w:t>
      </w:r>
      <w:r w:rsidRPr="008662BF">
        <w:rPr>
          <w:lang w:val="mk-MK"/>
        </w:rPr>
        <w:t xml:space="preserve"> можат да ги поддржат истражувачките потреби на следната генерација на научници во областа на општествените науки</w:t>
      </w:r>
      <w:r w:rsidR="004B009D">
        <w:rPr>
          <w:lang w:val="mk-MK"/>
        </w:rPr>
        <w:t>,</w:t>
      </w:r>
      <w:r w:rsidRPr="008662BF">
        <w:rPr>
          <w:lang w:val="mk-MK"/>
        </w:rPr>
        <w:t xml:space="preserve"> каде и да се </w:t>
      </w:r>
      <w:r w:rsidR="007E6127">
        <w:rPr>
          <w:lang w:val="mk-MK"/>
        </w:rPr>
        <w:t xml:space="preserve">наоѓаат </w:t>
      </w:r>
      <w:r w:rsidRPr="008662BF">
        <w:rPr>
          <w:lang w:val="mk-MK"/>
        </w:rPr>
        <w:t>во Европа или пошироко. Конзорциумот CESSDA во моментов е составен од 21 член и</w:t>
      </w:r>
      <w:r w:rsidR="004B009D">
        <w:rPr>
          <w:lang w:val="mk-MK"/>
        </w:rPr>
        <w:t xml:space="preserve"> од</w:t>
      </w:r>
      <w:r w:rsidRPr="008662BF">
        <w:rPr>
          <w:lang w:val="mk-MK"/>
        </w:rPr>
        <w:t xml:space="preserve"> еден набљудувач. CESSDA исто така има партнери во голем број земји надвор од Конзорциумот.</w:t>
      </w:r>
    </w:p>
    <w:p w14:paraId="0EE4D89E" w14:textId="301553CA" w:rsidR="005E3922" w:rsidRPr="008662BF" w:rsidRDefault="005E3922" w:rsidP="007947BF">
      <w:pPr>
        <w:spacing w:after="0"/>
        <w:jc w:val="both"/>
        <w:rPr>
          <w:lang w:val="mk-MK"/>
        </w:rPr>
      </w:pPr>
      <w:r w:rsidRPr="008662BF">
        <w:rPr>
          <w:lang w:val="mk-MK"/>
        </w:rPr>
        <w:t xml:space="preserve">Придобивките од членството во CESSDA за научната заедница во </w:t>
      </w:r>
      <w:r w:rsidR="00417197">
        <w:rPr>
          <w:lang w:val="mk-MK"/>
        </w:rPr>
        <w:t>Република Северна Македонија</w:t>
      </w:r>
      <w:r w:rsidRPr="008662BF">
        <w:rPr>
          <w:lang w:val="mk-MK"/>
        </w:rPr>
        <w:t xml:space="preserve"> се:</w:t>
      </w:r>
    </w:p>
    <w:p w14:paraId="7C56D1AD" w14:textId="77777777" w:rsidR="005E3922" w:rsidRPr="008662BF" w:rsidRDefault="005E3922" w:rsidP="005E3922">
      <w:pPr>
        <w:pStyle w:val="ListParagraph"/>
        <w:numPr>
          <w:ilvl w:val="0"/>
          <w:numId w:val="1"/>
        </w:numPr>
        <w:jc w:val="both"/>
        <w:rPr>
          <w:lang w:val="mk-MK"/>
        </w:rPr>
      </w:pPr>
      <w:r w:rsidRPr="008662BF">
        <w:rPr>
          <w:lang w:val="mk-MK"/>
        </w:rPr>
        <w:t>Пристап до каталогот на податоци на CESSDA (21 000 студии на англиски јазик и 9</w:t>
      </w:r>
      <w:r w:rsidR="004B009D">
        <w:rPr>
          <w:lang w:val="mk-MK"/>
        </w:rPr>
        <w:t xml:space="preserve"> </w:t>
      </w:r>
      <w:r w:rsidRPr="008662BF">
        <w:rPr>
          <w:lang w:val="mk-MK"/>
        </w:rPr>
        <w:t>000 на други јазици од цела Европа);</w:t>
      </w:r>
    </w:p>
    <w:p w14:paraId="29B6E777" w14:textId="77777777" w:rsidR="005E3922" w:rsidRPr="008662BF" w:rsidRDefault="005E3922" w:rsidP="005E3922">
      <w:pPr>
        <w:pStyle w:val="ListParagraph"/>
        <w:numPr>
          <w:ilvl w:val="0"/>
          <w:numId w:val="1"/>
        </w:numPr>
        <w:jc w:val="both"/>
        <w:rPr>
          <w:lang w:val="mk-MK"/>
        </w:rPr>
      </w:pPr>
      <w:r w:rsidRPr="008662BF">
        <w:rPr>
          <w:lang w:val="mk-MK"/>
        </w:rPr>
        <w:t>Учество во активностите за обука на CESSDA;</w:t>
      </w:r>
    </w:p>
    <w:p w14:paraId="68DA7F65" w14:textId="77777777" w:rsidR="005E3922" w:rsidRPr="008662BF" w:rsidRDefault="005E3922" w:rsidP="005E3922">
      <w:pPr>
        <w:pStyle w:val="ListParagraph"/>
        <w:numPr>
          <w:ilvl w:val="0"/>
          <w:numId w:val="1"/>
        </w:numPr>
        <w:jc w:val="both"/>
        <w:rPr>
          <w:lang w:val="mk-MK"/>
        </w:rPr>
      </w:pPr>
      <w:r w:rsidRPr="008662BF">
        <w:rPr>
          <w:lang w:val="mk-MK"/>
        </w:rPr>
        <w:t>Следење и спроведување на меѓународните стандарди;</w:t>
      </w:r>
    </w:p>
    <w:p w14:paraId="21562441" w14:textId="77777777" w:rsidR="005E3922" w:rsidRPr="008662BF" w:rsidRDefault="005E3922" w:rsidP="005E3922">
      <w:pPr>
        <w:pStyle w:val="ListParagraph"/>
        <w:numPr>
          <w:ilvl w:val="0"/>
          <w:numId w:val="1"/>
        </w:numPr>
        <w:jc w:val="both"/>
        <w:rPr>
          <w:lang w:val="mk-MK"/>
        </w:rPr>
      </w:pPr>
      <w:r w:rsidRPr="008662BF">
        <w:rPr>
          <w:lang w:val="mk-MK"/>
        </w:rPr>
        <w:t>Учество во меѓународни проекти.</w:t>
      </w:r>
    </w:p>
    <w:p w14:paraId="00B98DEF" w14:textId="77777777" w:rsidR="00ED70FB" w:rsidRPr="008662BF" w:rsidRDefault="00ED70FB" w:rsidP="007947BF">
      <w:pPr>
        <w:pStyle w:val="Heading3"/>
        <w:rPr>
          <w:rFonts w:asciiTheme="minorHAnsi" w:hAnsiTheme="minorHAnsi"/>
          <w:lang w:val="mk-MK"/>
        </w:rPr>
      </w:pPr>
      <w:bookmarkStart w:id="40" w:name="_Toc86916072"/>
      <w:r w:rsidRPr="008662BF">
        <w:rPr>
          <w:rFonts w:asciiTheme="minorHAnsi" w:hAnsiTheme="minorHAnsi"/>
          <w:lang w:val="mk-MK"/>
        </w:rPr>
        <w:t xml:space="preserve">EGI: Напредно </w:t>
      </w:r>
      <w:r w:rsidR="00A9001D">
        <w:rPr>
          <w:rFonts w:asciiTheme="minorHAnsi" w:hAnsiTheme="minorHAnsi"/>
          <w:lang w:val="mk-MK"/>
        </w:rPr>
        <w:t xml:space="preserve">компјутерско </w:t>
      </w:r>
      <w:r w:rsidRPr="008662BF">
        <w:rPr>
          <w:rFonts w:asciiTheme="minorHAnsi" w:hAnsiTheme="minorHAnsi"/>
          <w:lang w:val="mk-MK"/>
        </w:rPr>
        <w:t>пресметување за истражувањ</w:t>
      </w:r>
      <w:r w:rsidR="00D61E89">
        <w:rPr>
          <w:rFonts w:asciiTheme="minorHAnsi" w:hAnsiTheme="minorHAnsi"/>
          <w:lang w:val="mk-MK"/>
        </w:rPr>
        <w:t>а</w:t>
      </w:r>
      <w:bookmarkEnd w:id="40"/>
    </w:p>
    <w:p w14:paraId="6986C5C4" w14:textId="4CE5E44D" w:rsidR="004B7BF5" w:rsidRPr="008662BF" w:rsidRDefault="004B7BF5" w:rsidP="004B7BF5">
      <w:pPr>
        <w:jc w:val="both"/>
        <w:rPr>
          <w:lang w:val="mk-MK"/>
        </w:rPr>
      </w:pPr>
      <w:r w:rsidRPr="008662BF">
        <w:rPr>
          <w:lang w:val="mk-MK"/>
        </w:rPr>
        <w:t xml:space="preserve">Член на EGI од </w:t>
      </w:r>
      <w:r w:rsidR="00417197">
        <w:rPr>
          <w:lang w:val="mk-MK"/>
        </w:rPr>
        <w:t>Република Северна Македонија</w:t>
      </w:r>
      <w:r w:rsidRPr="008662BF">
        <w:rPr>
          <w:lang w:val="mk-MK"/>
        </w:rPr>
        <w:t xml:space="preserve"> е Факултет</w:t>
      </w:r>
      <w:r w:rsidR="007E6127">
        <w:rPr>
          <w:lang w:val="mk-MK"/>
        </w:rPr>
        <w:t>от</w:t>
      </w:r>
      <w:r w:rsidRPr="008662BF">
        <w:rPr>
          <w:lang w:val="mk-MK"/>
        </w:rPr>
        <w:t xml:space="preserve"> за информатички науки и компјутерско инженерство при Универзитетот „Св. Кирил и Методиј“ во Скопје.</w:t>
      </w:r>
    </w:p>
    <w:p w14:paraId="725DD607" w14:textId="29DE6871" w:rsidR="007947BF" w:rsidRPr="008662BF" w:rsidRDefault="004B7BF5" w:rsidP="007947BF">
      <w:pPr>
        <w:jc w:val="both"/>
        <w:rPr>
          <w:color w:val="FF0000"/>
          <w:lang w:val="mk-MK"/>
        </w:rPr>
      </w:pPr>
      <w:r w:rsidRPr="008662BF">
        <w:rPr>
          <w:lang w:val="mk-MK"/>
        </w:rPr>
        <w:t>Федерацијата EGI е меѓународна е-инфраструктура формирана за</w:t>
      </w:r>
      <w:r w:rsidR="004B009D">
        <w:rPr>
          <w:lang w:val="mk-MK"/>
        </w:rPr>
        <w:t>ради</w:t>
      </w:r>
      <w:r w:rsidRPr="008662BF">
        <w:rPr>
          <w:lang w:val="mk-MK"/>
        </w:rPr>
        <w:t xml:space="preserve"> обезбед</w:t>
      </w:r>
      <w:r w:rsidR="004B009D">
        <w:rPr>
          <w:lang w:val="mk-MK"/>
        </w:rPr>
        <w:t>ување</w:t>
      </w:r>
      <w:r w:rsidRPr="008662BF">
        <w:rPr>
          <w:lang w:val="mk-MK"/>
        </w:rPr>
        <w:t xml:space="preserve"> напредни услуги за пресметување и анализа на податоци за истражувањ</w:t>
      </w:r>
      <w:r w:rsidR="00D61E89">
        <w:rPr>
          <w:lang w:val="mk-MK"/>
        </w:rPr>
        <w:t>а</w:t>
      </w:r>
      <w:r w:rsidRPr="008662BF">
        <w:rPr>
          <w:lang w:val="mk-MK"/>
        </w:rPr>
        <w:t xml:space="preserve"> и иновации. Е-инфраструктурата EGI е финансирана со јавни средства и опфаќа стотици центри за податоци и даватели на услуги за облак </w:t>
      </w:r>
      <w:r w:rsidR="004B009D">
        <w:rPr>
          <w:lang w:val="mk-MK"/>
        </w:rPr>
        <w:t>што</w:t>
      </w:r>
      <w:r w:rsidRPr="008662BF">
        <w:rPr>
          <w:lang w:val="mk-MK"/>
        </w:rPr>
        <w:t xml:space="preserve"> се наоѓаат во цела Европа и ширум светот. Обезбедува напредни компјутерски услуги за поддршка на научници, мултинационални проекти и </w:t>
      </w:r>
      <w:r w:rsidR="004B009D">
        <w:rPr>
          <w:lang w:val="mk-MK"/>
        </w:rPr>
        <w:t xml:space="preserve">на </w:t>
      </w:r>
      <w:r w:rsidRPr="008662BF">
        <w:rPr>
          <w:lang w:val="mk-MK"/>
        </w:rPr>
        <w:t>истражувачки инфраструктури. Услугите на EGI се обезбед</w:t>
      </w:r>
      <w:r w:rsidR="007E6127">
        <w:rPr>
          <w:lang w:val="mk-MK"/>
        </w:rPr>
        <w:t xml:space="preserve">уваат </w:t>
      </w:r>
      <w:r w:rsidRPr="008662BF">
        <w:rPr>
          <w:lang w:val="mk-MK"/>
        </w:rPr>
        <w:t>од федеративните даватели на услуги за облак и</w:t>
      </w:r>
      <w:r w:rsidR="004B009D">
        <w:rPr>
          <w:lang w:val="mk-MK"/>
        </w:rPr>
        <w:t xml:space="preserve"> од</w:t>
      </w:r>
      <w:r w:rsidRPr="008662BF">
        <w:rPr>
          <w:lang w:val="mk-MK"/>
        </w:rPr>
        <w:t xml:space="preserve"> центри</w:t>
      </w:r>
      <w:r w:rsidR="007E6127">
        <w:rPr>
          <w:lang w:val="mk-MK"/>
        </w:rPr>
        <w:t>те</w:t>
      </w:r>
      <w:r w:rsidRPr="008662BF">
        <w:rPr>
          <w:lang w:val="mk-MK"/>
        </w:rPr>
        <w:t xml:space="preserve"> за </w:t>
      </w:r>
      <w:r w:rsidRPr="008662BF">
        <w:rPr>
          <w:lang w:val="mk-MK"/>
        </w:rPr>
        <w:lastRenderedPageBreak/>
        <w:t xml:space="preserve">податоци на EGI. Услуги може да побара секој </w:t>
      </w:r>
      <w:r w:rsidR="004B009D">
        <w:rPr>
          <w:lang w:val="mk-MK"/>
        </w:rPr>
        <w:t>што</w:t>
      </w:r>
      <w:r w:rsidRPr="008662BF">
        <w:rPr>
          <w:lang w:val="mk-MK"/>
        </w:rPr>
        <w:t xml:space="preserve"> се занимава со академски истражувања и </w:t>
      </w:r>
      <w:r w:rsidR="004B009D">
        <w:rPr>
          <w:lang w:val="mk-MK"/>
        </w:rPr>
        <w:t xml:space="preserve">со </w:t>
      </w:r>
      <w:r w:rsidRPr="008662BF">
        <w:rPr>
          <w:lang w:val="mk-MK"/>
        </w:rPr>
        <w:t>бизниси преку пазарот на EGI (</w:t>
      </w:r>
      <w:r w:rsidR="007947BF" w:rsidRPr="008662BF">
        <w:rPr>
          <w:lang w:val="mk-MK"/>
        </w:rPr>
        <w:t>EGI Marketplace</w:t>
      </w:r>
      <w:r w:rsidRPr="008662BF">
        <w:rPr>
          <w:lang w:val="mk-MK"/>
        </w:rPr>
        <w:t>)</w:t>
      </w:r>
      <w:r w:rsidR="007947BF" w:rsidRPr="008662BF">
        <w:rPr>
          <w:lang w:val="mk-MK"/>
        </w:rPr>
        <w:t>.</w:t>
      </w:r>
    </w:p>
    <w:p w14:paraId="14E8D071" w14:textId="77777777" w:rsidR="007947BF" w:rsidRPr="008662BF" w:rsidRDefault="007947BF" w:rsidP="007947BF">
      <w:pPr>
        <w:pStyle w:val="Heading3"/>
        <w:rPr>
          <w:rFonts w:asciiTheme="minorHAnsi" w:hAnsiTheme="minorHAnsi"/>
          <w:lang w:val="mk-MK"/>
        </w:rPr>
      </w:pPr>
      <w:bookmarkStart w:id="41" w:name="_Toc86916073"/>
      <w:r w:rsidRPr="008662BF">
        <w:rPr>
          <w:rFonts w:asciiTheme="minorHAnsi" w:hAnsiTheme="minorHAnsi"/>
          <w:lang w:val="mk-MK"/>
        </w:rPr>
        <w:t>OpenAIRE</w:t>
      </w:r>
      <w:bookmarkEnd w:id="41"/>
    </w:p>
    <w:p w14:paraId="4291494E" w14:textId="4734DC3E" w:rsidR="00312CD6" w:rsidRPr="008662BF" w:rsidRDefault="00312CD6" w:rsidP="00312CD6">
      <w:pPr>
        <w:jc w:val="both"/>
        <w:rPr>
          <w:lang w:val="mk-MK"/>
        </w:rPr>
      </w:pPr>
      <w:r w:rsidRPr="008662BF">
        <w:rPr>
          <w:lang w:val="mk-MK"/>
        </w:rPr>
        <w:t xml:space="preserve">Член на OpenAIRE од </w:t>
      </w:r>
      <w:r w:rsidR="00417197">
        <w:rPr>
          <w:lang w:val="mk-MK"/>
        </w:rPr>
        <w:t>Република Северна Македонија</w:t>
      </w:r>
      <w:r w:rsidRPr="008662BF">
        <w:rPr>
          <w:lang w:val="mk-MK"/>
        </w:rPr>
        <w:t xml:space="preserve"> е Универзитетот „Св. Кирил и Методиј“ во Скопје.</w:t>
      </w:r>
    </w:p>
    <w:p w14:paraId="5AB60F66" w14:textId="63B4D147" w:rsidR="00312CD6" w:rsidRPr="008662BF" w:rsidRDefault="00312CD6" w:rsidP="00312CD6">
      <w:pPr>
        <w:jc w:val="both"/>
        <w:rPr>
          <w:lang w:val="mk-MK"/>
        </w:rPr>
      </w:pPr>
      <w:r w:rsidRPr="008662BF">
        <w:rPr>
          <w:lang w:val="mk-MK"/>
        </w:rPr>
        <w:t>OpenAIRE има голема мрежа во секоја земја членка и пошироко. Се состои од експерти за отворена наука во високообразовните институции,</w:t>
      </w:r>
      <w:r w:rsidR="004B009D">
        <w:rPr>
          <w:lang w:val="mk-MK"/>
        </w:rPr>
        <w:t xml:space="preserve"> од</w:t>
      </w:r>
      <w:r w:rsidRPr="008662BF">
        <w:rPr>
          <w:lang w:val="mk-MK"/>
        </w:rPr>
        <w:t xml:space="preserve"> центри за податоци и инфраструктурни конзорциуми </w:t>
      </w:r>
      <w:r w:rsidR="004B009D">
        <w:rPr>
          <w:lang w:val="mk-MK"/>
        </w:rPr>
        <w:t>што</w:t>
      </w:r>
      <w:r w:rsidRPr="008662BF">
        <w:rPr>
          <w:lang w:val="mk-MK"/>
        </w:rPr>
        <w:t xml:space="preserve"> обезбедуваат редовна обука и </w:t>
      </w:r>
      <w:r w:rsidR="004B009D">
        <w:rPr>
          <w:lang w:val="mk-MK"/>
        </w:rPr>
        <w:t xml:space="preserve">од </w:t>
      </w:r>
      <w:r w:rsidRPr="008662BF">
        <w:rPr>
          <w:lang w:val="mk-MK"/>
        </w:rPr>
        <w:t>совети на национално ниво за сите аспекти на отворената наука. Активно го промовира концептот на отворена наука и поддржува нови начини на комуникација на науката</w:t>
      </w:r>
      <w:r w:rsidR="004B009D">
        <w:rPr>
          <w:lang w:val="mk-MK"/>
        </w:rPr>
        <w:t>,</w:t>
      </w:r>
      <w:r w:rsidRPr="008662BF">
        <w:rPr>
          <w:lang w:val="mk-MK"/>
        </w:rPr>
        <w:t xml:space="preserve"> и </w:t>
      </w:r>
      <w:r w:rsidR="004B009D">
        <w:rPr>
          <w:lang w:val="mk-MK"/>
        </w:rPr>
        <w:t xml:space="preserve">на </w:t>
      </w:r>
      <w:r w:rsidRPr="008662BF">
        <w:rPr>
          <w:lang w:val="mk-MK"/>
        </w:rPr>
        <w:t>вградување нови работни текови во секојдневната пракса. Во 2018 година, OpenAIRE основа</w:t>
      </w:r>
      <w:r w:rsidR="007E6127">
        <w:rPr>
          <w:lang w:val="mk-MK"/>
        </w:rPr>
        <w:t>ше</w:t>
      </w:r>
      <w:r w:rsidRPr="008662BF">
        <w:rPr>
          <w:lang w:val="mk-MK"/>
        </w:rPr>
        <w:t xml:space="preserve"> правно лице наречено OpenAIRE A.M.K.Ε. </w:t>
      </w:r>
      <w:r w:rsidR="007E6127">
        <w:rPr>
          <w:lang w:val="mk-MK"/>
        </w:rPr>
        <w:t>за</w:t>
      </w:r>
      <w:r w:rsidR="004B009D">
        <w:rPr>
          <w:lang w:val="mk-MK"/>
        </w:rPr>
        <w:t>ради</w:t>
      </w:r>
      <w:r w:rsidR="007E6127">
        <w:rPr>
          <w:lang w:val="mk-MK"/>
        </w:rPr>
        <w:t xml:space="preserve"> </w:t>
      </w:r>
      <w:r w:rsidRPr="008662BF">
        <w:rPr>
          <w:lang w:val="mk-MK"/>
        </w:rPr>
        <w:t>обезбед</w:t>
      </w:r>
      <w:r w:rsidR="004B009D">
        <w:rPr>
          <w:lang w:val="mk-MK"/>
        </w:rPr>
        <w:t>ување</w:t>
      </w:r>
      <w:r w:rsidRPr="008662BF">
        <w:rPr>
          <w:lang w:val="mk-MK"/>
        </w:rPr>
        <w:t xml:space="preserve"> трајно присуство и структура за национална</w:t>
      </w:r>
      <w:r w:rsidR="007E6127">
        <w:rPr>
          <w:lang w:val="mk-MK"/>
        </w:rPr>
        <w:t xml:space="preserve">та </w:t>
      </w:r>
      <w:r w:rsidRPr="008662BF">
        <w:rPr>
          <w:lang w:val="mk-MK"/>
        </w:rPr>
        <w:t>политика на ниво на Европа</w:t>
      </w:r>
      <w:r w:rsidR="007E6127">
        <w:rPr>
          <w:lang w:val="mk-MK"/>
        </w:rPr>
        <w:t>, како</w:t>
      </w:r>
      <w:r w:rsidRPr="008662BF">
        <w:rPr>
          <w:lang w:val="mk-MK"/>
        </w:rPr>
        <w:t xml:space="preserve"> и </w:t>
      </w:r>
      <w:r w:rsidR="004B009D">
        <w:rPr>
          <w:lang w:val="mk-MK"/>
        </w:rPr>
        <w:t xml:space="preserve">за </w:t>
      </w:r>
      <w:r w:rsidRPr="008662BF">
        <w:rPr>
          <w:lang w:val="mk-MK"/>
        </w:rPr>
        <w:t>отворена научна комуникациска инфраструктура.</w:t>
      </w:r>
    </w:p>
    <w:p w14:paraId="1579A2A2" w14:textId="77777777" w:rsidR="00312CD6" w:rsidRPr="008662BF" w:rsidRDefault="00312CD6" w:rsidP="009E69D0">
      <w:pPr>
        <w:spacing w:after="0"/>
        <w:jc w:val="both"/>
        <w:rPr>
          <w:lang w:val="mk-MK"/>
        </w:rPr>
      </w:pPr>
      <w:r w:rsidRPr="008662BF">
        <w:rPr>
          <w:lang w:val="mk-MK"/>
        </w:rPr>
        <w:t>Услугите што се обезбедуваат опфаќаат:</w:t>
      </w:r>
    </w:p>
    <w:p w14:paraId="7660EDE0" w14:textId="2ACD79C5" w:rsidR="00312CD6" w:rsidRPr="008662BF" w:rsidRDefault="00312CD6" w:rsidP="00312CD6">
      <w:pPr>
        <w:pStyle w:val="ListParagraph"/>
        <w:numPr>
          <w:ilvl w:val="0"/>
          <w:numId w:val="1"/>
        </w:numPr>
        <w:jc w:val="both"/>
        <w:rPr>
          <w:lang w:val="mk-MK"/>
        </w:rPr>
      </w:pPr>
      <w:r w:rsidRPr="008662BF">
        <w:rPr>
          <w:b/>
          <w:lang w:val="mk-MK"/>
        </w:rPr>
        <w:t xml:space="preserve">Усогласување на политиките: </w:t>
      </w:r>
      <w:r w:rsidRPr="008662BF">
        <w:rPr>
          <w:lang w:val="mk-MK"/>
        </w:rPr>
        <w:t xml:space="preserve">OpenAIRE AMKE го поттикнува дијалогот за </w:t>
      </w:r>
      <w:r w:rsidR="0088600B">
        <w:rPr>
          <w:lang w:val="mk-MK"/>
        </w:rPr>
        <w:t xml:space="preserve">политиките за </w:t>
      </w:r>
      <w:r w:rsidRPr="008662BF">
        <w:rPr>
          <w:lang w:val="mk-MK"/>
        </w:rPr>
        <w:t>отворена наука и нивното спроведување во Европа и пошироко. Мрежата од 34 Национални бироа за отворен пристап (NOADs) управува со Европско</w:t>
      </w:r>
      <w:r w:rsidR="004B009D">
        <w:rPr>
          <w:lang w:val="mk-MK"/>
        </w:rPr>
        <w:t>то</w:t>
      </w:r>
      <w:r w:rsidRPr="008662BF">
        <w:rPr>
          <w:lang w:val="mk-MK"/>
        </w:rPr>
        <w:t xml:space="preserve"> биро за помош што </w:t>
      </w:r>
      <w:r w:rsidR="0088600B">
        <w:rPr>
          <w:lang w:val="mk-MK"/>
        </w:rPr>
        <w:t xml:space="preserve">обезбедува поддршка за </w:t>
      </w:r>
      <w:r w:rsidRPr="008662BF">
        <w:rPr>
          <w:lang w:val="mk-MK"/>
        </w:rPr>
        <w:t>координирана транзиција кон отворена наука.</w:t>
      </w:r>
    </w:p>
    <w:p w14:paraId="7F92A015" w14:textId="27C54067" w:rsidR="00CD59BD" w:rsidRPr="008662BF" w:rsidRDefault="00CD59BD" w:rsidP="00CD59BD">
      <w:pPr>
        <w:pStyle w:val="ListParagraph"/>
        <w:numPr>
          <w:ilvl w:val="0"/>
          <w:numId w:val="1"/>
        </w:numPr>
        <w:jc w:val="both"/>
        <w:rPr>
          <w:lang w:val="mk-MK"/>
        </w:rPr>
      </w:pPr>
      <w:r w:rsidRPr="008662BF">
        <w:rPr>
          <w:b/>
          <w:lang w:val="mk-MK"/>
        </w:rPr>
        <w:t>Обезбедување услуги за отворена наука:</w:t>
      </w:r>
      <w:r w:rsidRPr="008662BF">
        <w:rPr>
          <w:lang w:val="mk-MK"/>
        </w:rPr>
        <w:t xml:space="preserve"> OpenAIRE AMKE обезбедува услуги за интероперабилност </w:t>
      </w:r>
      <w:r w:rsidR="004B009D">
        <w:rPr>
          <w:lang w:val="mk-MK"/>
        </w:rPr>
        <w:t>што</w:t>
      </w:r>
      <w:r w:rsidRPr="008662BF">
        <w:rPr>
          <w:lang w:val="mk-MK"/>
        </w:rPr>
        <w:t xml:space="preserve"> ги поврзуваат истражувањата и</w:t>
      </w:r>
      <w:r w:rsidR="004B009D">
        <w:rPr>
          <w:lang w:val="mk-MK"/>
        </w:rPr>
        <w:t xml:space="preserve"> што</w:t>
      </w:r>
      <w:r w:rsidRPr="008662BF">
        <w:rPr>
          <w:lang w:val="mk-MK"/>
        </w:rPr>
        <w:t xml:space="preserve"> им овозможуваат на истражувачите, </w:t>
      </w:r>
      <w:r w:rsidR="004B009D">
        <w:rPr>
          <w:lang w:val="mk-MK"/>
        </w:rPr>
        <w:t xml:space="preserve">на </w:t>
      </w:r>
      <w:r w:rsidRPr="008662BF">
        <w:rPr>
          <w:lang w:val="mk-MK"/>
        </w:rPr>
        <w:t>давателите на содржини,</w:t>
      </w:r>
      <w:r w:rsidR="004B009D">
        <w:rPr>
          <w:lang w:val="mk-MK"/>
        </w:rPr>
        <w:t xml:space="preserve"> на</w:t>
      </w:r>
      <w:r w:rsidRPr="008662BF">
        <w:rPr>
          <w:lang w:val="mk-MK"/>
        </w:rPr>
        <w:t xml:space="preserve"> финансиерите и</w:t>
      </w:r>
      <w:r w:rsidR="004B009D">
        <w:rPr>
          <w:lang w:val="mk-MK"/>
        </w:rPr>
        <w:t xml:space="preserve"> на</w:t>
      </w:r>
      <w:r w:rsidRPr="008662BF">
        <w:rPr>
          <w:lang w:val="mk-MK"/>
        </w:rPr>
        <w:t xml:space="preserve"> администраторите на истражувањата лесно да ја усвојат отворената наука.</w:t>
      </w:r>
    </w:p>
    <w:p w14:paraId="3714539E" w14:textId="77777777" w:rsidR="00CD59BD" w:rsidRPr="008662BF" w:rsidRDefault="00CD59BD" w:rsidP="00CD59BD">
      <w:pPr>
        <w:pStyle w:val="ListParagraph"/>
        <w:numPr>
          <w:ilvl w:val="0"/>
          <w:numId w:val="1"/>
        </w:numPr>
        <w:jc w:val="both"/>
        <w:rPr>
          <w:lang w:val="mk-MK"/>
        </w:rPr>
      </w:pPr>
      <w:r w:rsidRPr="008662BF">
        <w:rPr>
          <w:b/>
          <w:lang w:val="mk-MK"/>
        </w:rPr>
        <w:t>Градење глобални заеднички стандарди за поврзување на истражувањата:</w:t>
      </w:r>
      <w:r w:rsidRPr="008662BF">
        <w:rPr>
          <w:lang w:val="mk-MK"/>
        </w:rPr>
        <w:t xml:space="preserve"> OpenAIRE AMKE ги поврзува резултатите од истражувањето (на пр. публикации, податоци, софтвер) со нивните креатори (на пр. истражувачи, институции, финансиери), со што се овозможува откривање, транспарентност, репродуктивност и обезбедување квалитет на истражувањето.</w:t>
      </w:r>
    </w:p>
    <w:p w14:paraId="21D8B655" w14:textId="77777777" w:rsidR="00CD59BD" w:rsidRPr="008662BF" w:rsidRDefault="00CD59BD" w:rsidP="00CD59BD">
      <w:pPr>
        <w:pStyle w:val="ListParagraph"/>
        <w:numPr>
          <w:ilvl w:val="0"/>
          <w:numId w:val="1"/>
        </w:numPr>
        <w:jc w:val="both"/>
        <w:rPr>
          <w:lang w:val="mk-MK"/>
        </w:rPr>
      </w:pPr>
      <w:r w:rsidRPr="008662BF">
        <w:rPr>
          <w:b/>
          <w:lang w:val="mk-MK"/>
        </w:rPr>
        <w:t>Следење на (отворена</w:t>
      </w:r>
      <w:r w:rsidR="0088600B">
        <w:rPr>
          <w:b/>
          <w:lang w:val="mk-MK"/>
        </w:rPr>
        <w:t>та</w:t>
      </w:r>
      <w:r w:rsidRPr="008662BF">
        <w:rPr>
          <w:b/>
          <w:lang w:val="mk-MK"/>
        </w:rPr>
        <w:t>) наука:</w:t>
      </w:r>
      <w:r w:rsidRPr="008662BF">
        <w:rPr>
          <w:lang w:val="mk-MK"/>
        </w:rPr>
        <w:t xml:space="preserve"> Олеснување на транспарентноста во проценката на влијанието на истражувањ</w:t>
      </w:r>
      <w:r w:rsidR="0088600B">
        <w:rPr>
          <w:lang w:val="mk-MK"/>
        </w:rPr>
        <w:t>ата</w:t>
      </w:r>
      <w:r w:rsidRPr="008662BF">
        <w:rPr>
          <w:lang w:val="mk-MK"/>
        </w:rPr>
        <w:t xml:space="preserve">. OpenAIRE AMKE го гради европскиот информациски систем за истражувања што ги опфаќа сите истражувања и </w:t>
      </w:r>
      <w:r w:rsidR="00372CE9">
        <w:rPr>
          <w:lang w:val="mk-MK"/>
        </w:rPr>
        <w:t xml:space="preserve">што </w:t>
      </w:r>
      <w:r w:rsidRPr="008662BF">
        <w:rPr>
          <w:lang w:val="mk-MK"/>
        </w:rPr>
        <w:t>овозможува готови известувања, следење и анализи.</w:t>
      </w:r>
    </w:p>
    <w:p w14:paraId="11D79DDE" w14:textId="77777777" w:rsidR="004B447E" w:rsidRPr="008662BF" w:rsidRDefault="004B447E" w:rsidP="004B447E">
      <w:pPr>
        <w:pStyle w:val="ListParagraph"/>
        <w:numPr>
          <w:ilvl w:val="0"/>
          <w:numId w:val="1"/>
        </w:numPr>
        <w:jc w:val="both"/>
        <w:rPr>
          <w:lang w:val="mk-MK"/>
        </w:rPr>
      </w:pPr>
      <w:r w:rsidRPr="008662BF">
        <w:rPr>
          <w:b/>
          <w:lang w:val="mk-MK"/>
        </w:rPr>
        <w:t>Обука за отворена наука:</w:t>
      </w:r>
      <w:r w:rsidRPr="008662BF">
        <w:rPr>
          <w:lang w:val="mk-MK"/>
        </w:rPr>
        <w:t xml:space="preserve"> Поттикнување на промена во културата за практикување на отворена наука.</w:t>
      </w:r>
    </w:p>
    <w:p w14:paraId="17D00FF6" w14:textId="77777777" w:rsidR="004B447E" w:rsidRPr="008662BF" w:rsidRDefault="004B447E" w:rsidP="004B447E">
      <w:pPr>
        <w:pStyle w:val="ListParagraph"/>
        <w:numPr>
          <w:ilvl w:val="0"/>
          <w:numId w:val="1"/>
        </w:numPr>
        <w:jc w:val="both"/>
        <w:rPr>
          <w:lang w:val="mk-MK"/>
        </w:rPr>
      </w:pPr>
      <w:r w:rsidRPr="008662BF">
        <w:rPr>
          <w:b/>
          <w:lang w:val="mk-MK"/>
        </w:rPr>
        <w:t>Градење глобални мостови:</w:t>
      </w:r>
      <w:r w:rsidRPr="008662BF">
        <w:rPr>
          <w:lang w:val="mk-MK"/>
        </w:rPr>
        <w:t xml:space="preserve"> Поврзување на Европа со глобалната отворена истражувачка средина. Соработ</w:t>
      </w:r>
      <w:r w:rsidR="0088600B">
        <w:rPr>
          <w:lang w:val="mk-MK"/>
        </w:rPr>
        <w:t xml:space="preserve">ка </w:t>
      </w:r>
      <w:r w:rsidRPr="008662BF">
        <w:rPr>
          <w:lang w:val="mk-MK"/>
        </w:rPr>
        <w:t>со слични иницијативи ширум светот за промовирање и споделување на заеднички</w:t>
      </w:r>
      <w:r w:rsidR="00372CE9">
        <w:rPr>
          <w:lang w:val="mk-MK"/>
        </w:rPr>
        <w:t>те</w:t>
      </w:r>
      <w:r w:rsidRPr="008662BF">
        <w:rPr>
          <w:lang w:val="mk-MK"/>
        </w:rPr>
        <w:t xml:space="preserve"> политики и протоколи за пристап </w:t>
      </w:r>
      <w:r w:rsidR="0088600B">
        <w:rPr>
          <w:lang w:val="mk-MK"/>
        </w:rPr>
        <w:t xml:space="preserve">до </w:t>
      </w:r>
      <w:r w:rsidRPr="008662BF">
        <w:rPr>
          <w:lang w:val="mk-MK"/>
        </w:rPr>
        <w:t>сите резултати од истражувања</w:t>
      </w:r>
      <w:r w:rsidR="0088600B">
        <w:rPr>
          <w:lang w:val="mk-MK"/>
        </w:rPr>
        <w:t>та</w:t>
      </w:r>
      <w:r w:rsidRPr="008662BF">
        <w:rPr>
          <w:lang w:val="mk-MK"/>
        </w:rPr>
        <w:t>.</w:t>
      </w:r>
    </w:p>
    <w:p w14:paraId="240120B1" w14:textId="55446DFB" w:rsidR="004B447E" w:rsidRPr="008662BF" w:rsidRDefault="004B447E" w:rsidP="004B447E">
      <w:pPr>
        <w:pStyle w:val="ListParagraph"/>
        <w:numPr>
          <w:ilvl w:val="0"/>
          <w:numId w:val="1"/>
        </w:numPr>
        <w:jc w:val="both"/>
        <w:rPr>
          <w:lang w:val="mk-MK"/>
        </w:rPr>
      </w:pPr>
      <w:r w:rsidRPr="008662BF">
        <w:rPr>
          <w:b/>
          <w:lang w:val="mk-MK"/>
        </w:rPr>
        <w:t>Олеснување на отворени иновации:</w:t>
      </w:r>
      <w:r w:rsidRPr="008662BF">
        <w:rPr>
          <w:lang w:val="mk-MK"/>
        </w:rPr>
        <w:t xml:space="preserve"> Олеснување на иновациите за</w:t>
      </w:r>
      <w:r w:rsidR="00372CE9">
        <w:rPr>
          <w:lang w:val="mk-MK"/>
        </w:rPr>
        <w:t>ради</w:t>
      </w:r>
      <w:r w:rsidRPr="008662BF">
        <w:rPr>
          <w:lang w:val="mk-MK"/>
        </w:rPr>
        <w:t xml:space="preserve"> </w:t>
      </w:r>
      <w:r w:rsidR="0088600B">
        <w:rPr>
          <w:lang w:val="mk-MK"/>
        </w:rPr>
        <w:t xml:space="preserve">овозможување на </w:t>
      </w:r>
      <w:r w:rsidRPr="008662BF">
        <w:rPr>
          <w:lang w:val="mk-MK"/>
        </w:rPr>
        <w:t>научна</w:t>
      </w:r>
      <w:r w:rsidR="00372CE9">
        <w:rPr>
          <w:lang w:val="mk-MK"/>
        </w:rPr>
        <w:t>та</w:t>
      </w:r>
      <w:r w:rsidRPr="008662BF">
        <w:rPr>
          <w:lang w:val="mk-MK"/>
        </w:rPr>
        <w:t xml:space="preserve"> комуникација</w:t>
      </w:r>
      <w:r w:rsidR="00372CE9">
        <w:rPr>
          <w:lang w:val="mk-MK"/>
        </w:rPr>
        <w:t xml:space="preserve"> и за</w:t>
      </w:r>
      <w:r w:rsidRPr="008662BF">
        <w:rPr>
          <w:lang w:val="mk-MK"/>
        </w:rPr>
        <w:t xml:space="preserve"> отвора</w:t>
      </w:r>
      <w:r w:rsidR="0088600B">
        <w:rPr>
          <w:lang w:val="mk-MK"/>
        </w:rPr>
        <w:t>ње</w:t>
      </w:r>
      <w:r w:rsidR="00372CE9">
        <w:rPr>
          <w:lang w:val="mk-MK"/>
        </w:rPr>
        <w:t>то</w:t>
      </w:r>
      <w:r w:rsidR="0088600B">
        <w:rPr>
          <w:lang w:val="mk-MK"/>
        </w:rPr>
        <w:t xml:space="preserve"> нови хоризонти за истражувања</w:t>
      </w:r>
      <w:r w:rsidRPr="008662BF">
        <w:rPr>
          <w:lang w:val="mk-MK"/>
        </w:rPr>
        <w:t>.</w:t>
      </w:r>
    </w:p>
    <w:p w14:paraId="5A4FF559" w14:textId="77777777" w:rsidR="007947BF" w:rsidRPr="008662BF" w:rsidRDefault="007947BF" w:rsidP="007947BF">
      <w:pPr>
        <w:pStyle w:val="Heading3"/>
        <w:rPr>
          <w:rFonts w:asciiTheme="minorHAnsi" w:hAnsiTheme="minorHAnsi"/>
          <w:lang w:val="mk-MK"/>
        </w:rPr>
      </w:pPr>
      <w:bookmarkStart w:id="42" w:name="_Toc86916074"/>
      <w:r w:rsidRPr="008662BF">
        <w:rPr>
          <w:rFonts w:asciiTheme="minorHAnsi" w:hAnsiTheme="minorHAnsi"/>
          <w:lang w:val="mk-MK"/>
        </w:rPr>
        <w:t>EuroHPC JU</w:t>
      </w:r>
      <w:bookmarkEnd w:id="42"/>
    </w:p>
    <w:p w14:paraId="4884495F" w14:textId="503F1C60" w:rsidR="0018091C" w:rsidRPr="008662BF" w:rsidRDefault="00417197" w:rsidP="0018091C">
      <w:pPr>
        <w:jc w:val="both"/>
        <w:rPr>
          <w:lang w:val="mk-MK"/>
        </w:rPr>
      </w:pPr>
      <w:r>
        <w:rPr>
          <w:lang w:val="mk-MK"/>
        </w:rPr>
        <w:t>Република Северна Македонија</w:t>
      </w:r>
      <w:r w:rsidR="0018091C" w:rsidRPr="008662BF">
        <w:rPr>
          <w:lang w:val="mk-MK"/>
        </w:rPr>
        <w:t xml:space="preserve"> е членка на EuroHPC JU, пре</w:t>
      </w:r>
      <w:r w:rsidR="00372CE9">
        <w:rPr>
          <w:lang w:val="mk-MK"/>
        </w:rPr>
        <w:t>ку</w:t>
      </w:r>
      <w:r w:rsidR="0018091C" w:rsidRPr="008662BF">
        <w:rPr>
          <w:lang w:val="mk-MK"/>
        </w:rPr>
        <w:t xml:space="preserve"> Факултетот за информатички науки и компјутерско инженерство при Универзитетот „Св. Кирил и Методиј“ во Скопје.</w:t>
      </w:r>
    </w:p>
    <w:p w14:paraId="15FFACE3" w14:textId="77A0EDCF" w:rsidR="0018091C" w:rsidRDefault="0018091C" w:rsidP="0018091C">
      <w:pPr>
        <w:jc w:val="both"/>
        <w:rPr>
          <w:lang w:val="mk-MK"/>
        </w:rPr>
      </w:pPr>
      <w:r w:rsidRPr="008662BF">
        <w:rPr>
          <w:lang w:val="mk-MK"/>
        </w:rPr>
        <w:lastRenderedPageBreak/>
        <w:t xml:space="preserve">Европското заедничко претпријатие за пресметување со високи перформанси (EuroHPC JU) е правен и финансиски субјект основан со Регулативата (ЕУ) 2018/1488 на Советот, а со седиште во Луксембург. </w:t>
      </w:r>
      <w:r w:rsidR="00372CE9">
        <w:rPr>
          <w:lang w:val="mk-MK"/>
        </w:rPr>
        <w:t>В</w:t>
      </w:r>
      <w:r w:rsidR="00372CE9" w:rsidRPr="008662BF">
        <w:rPr>
          <w:lang w:val="mk-MK"/>
        </w:rPr>
        <w:t>о моментов</w:t>
      </w:r>
      <w:r w:rsidR="00372CE9">
        <w:rPr>
          <w:lang w:val="mk-MK"/>
        </w:rPr>
        <w:t>,</w:t>
      </w:r>
      <w:r w:rsidR="00372CE9" w:rsidRPr="008662BF">
        <w:rPr>
          <w:lang w:val="mk-MK"/>
        </w:rPr>
        <w:t xml:space="preserve"> </w:t>
      </w:r>
      <w:r w:rsidR="00372CE9">
        <w:rPr>
          <w:lang w:val="mk-MK"/>
        </w:rPr>
        <w:t>в</w:t>
      </w:r>
      <w:r w:rsidRPr="008662BF">
        <w:rPr>
          <w:lang w:val="mk-MK"/>
        </w:rPr>
        <w:t>купно 32 европски земји учествуваат во иницијативата и ги здружуваат своите ресурси со ЕУ и</w:t>
      </w:r>
      <w:r w:rsidR="00372CE9">
        <w:rPr>
          <w:lang w:val="mk-MK"/>
        </w:rPr>
        <w:t xml:space="preserve"> со</w:t>
      </w:r>
      <w:r w:rsidRPr="008662BF">
        <w:rPr>
          <w:lang w:val="mk-MK"/>
        </w:rPr>
        <w:t xml:space="preserve"> приватните партнери за да овозможат ЕУ да стане светски лидер во областа на суперкомпјутерите. EuroHPC JU им овозможува на ЕУ и на учесниците во EuroHPC да ги координираат своите напори и да ги здружат своите ресурси </w:t>
      </w:r>
      <w:r w:rsidR="00372CE9">
        <w:rPr>
          <w:lang w:val="mk-MK"/>
        </w:rPr>
        <w:t>со што</w:t>
      </w:r>
      <w:r w:rsidRPr="008662BF">
        <w:rPr>
          <w:lang w:val="mk-MK"/>
        </w:rPr>
        <w:t xml:space="preserve"> во Европа </w:t>
      </w:r>
      <w:r w:rsidR="00372CE9">
        <w:rPr>
          <w:lang w:val="mk-MK"/>
        </w:rPr>
        <w:t>ќе</w:t>
      </w:r>
      <w:r w:rsidR="00372CE9" w:rsidRPr="008662BF">
        <w:rPr>
          <w:lang w:val="mk-MK"/>
        </w:rPr>
        <w:t xml:space="preserve"> </w:t>
      </w:r>
      <w:r w:rsidRPr="008662BF">
        <w:rPr>
          <w:lang w:val="mk-MK"/>
        </w:rPr>
        <w:t>се распределат ексаскаларни суперкомпјутери од светска класа, кои</w:t>
      </w:r>
      <w:r w:rsidR="00372CE9">
        <w:rPr>
          <w:lang w:val="mk-MK"/>
        </w:rPr>
        <w:t>што</w:t>
      </w:r>
      <w:r w:rsidRPr="008662BF">
        <w:rPr>
          <w:lang w:val="mk-MK"/>
        </w:rPr>
        <w:t xml:space="preserve"> можат да вршат повеќе од еден трилион (1018) операции во секунда, како и да се развијат иновативни суперкомпјутерски технологии и апликации. </w:t>
      </w:r>
    </w:p>
    <w:p w14:paraId="0C983F1C" w14:textId="0EE3CCEE" w:rsidR="0088600B" w:rsidRDefault="00774B7A" w:rsidP="0088600B">
      <w:pPr>
        <w:spacing w:after="0"/>
        <w:jc w:val="both"/>
        <w:rPr>
          <w:lang w:val="mk-MK"/>
        </w:rPr>
      </w:pPr>
      <w:r w:rsidRPr="008662BF">
        <w:rPr>
          <w:lang w:val="mk-MK"/>
        </w:rPr>
        <w:t xml:space="preserve">EuroHPC JU се стреми да обезбеди решенија за пресметување, </w:t>
      </w:r>
      <w:r w:rsidR="005404E9">
        <w:rPr>
          <w:lang w:val="mk-MK"/>
        </w:rPr>
        <w:t xml:space="preserve">истовремено </w:t>
      </w:r>
      <w:r w:rsidRPr="008662BF">
        <w:rPr>
          <w:lang w:val="mk-MK"/>
        </w:rPr>
        <w:t>подобрува</w:t>
      </w:r>
      <w:r w:rsidR="0088600B">
        <w:rPr>
          <w:lang w:val="mk-MK"/>
        </w:rPr>
        <w:t xml:space="preserve">јќи ја </w:t>
      </w:r>
      <w:r w:rsidRPr="008662BF">
        <w:rPr>
          <w:lang w:val="mk-MK"/>
        </w:rPr>
        <w:t xml:space="preserve">соработката во напредните научни истражувања, </w:t>
      </w:r>
      <w:r w:rsidR="0088600B">
        <w:rPr>
          <w:lang w:val="mk-MK"/>
        </w:rPr>
        <w:t xml:space="preserve">зголемувајќи ја </w:t>
      </w:r>
      <w:r w:rsidRPr="008662BF">
        <w:rPr>
          <w:lang w:val="mk-MK"/>
        </w:rPr>
        <w:t>индустриската конкурентност и обезбедува</w:t>
      </w:r>
      <w:r w:rsidR="0088600B">
        <w:rPr>
          <w:lang w:val="mk-MK"/>
        </w:rPr>
        <w:t xml:space="preserve">јќи ја европската </w:t>
      </w:r>
      <w:r w:rsidRPr="008662BF">
        <w:rPr>
          <w:lang w:val="mk-MK"/>
        </w:rPr>
        <w:t>технолошка и дигитална автономија</w:t>
      </w:r>
      <w:r w:rsidR="0088600B">
        <w:rPr>
          <w:lang w:val="mk-MK"/>
        </w:rPr>
        <w:t xml:space="preserve">, </w:t>
      </w:r>
      <w:r w:rsidR="00372CE9">
        <w:rPr>
          <w:lang w:val="mk-MK"/>
        </w:rPr>
        <w:t xml:space="preserve">со што </w:t>
      </w:r>
      <w:r w:rsidR="0088600B" w:rsidRPr="008662BF">
        <w:rPr>
          <w:lang w:val="mk-MK"/>
        </w:rPr>
        <w:t xml:space="preserve">Европа </w:t>
      </w:r>
      <w:r w:rsidR="00372CE9">
        <w:rPr>
          <w:lang w:val="mk-MK"/>
        </w:rPr>
        <w:t>ќе</w:t>
      </w:r>
      <w:r w:rsidR="0088600B">
        <w:rPr>
          <w:lang w:val="mk-MK"/>
        </w:rPr>
        <w:t xml:space="preserve"> биде </w:t>
      </w:r>
      <w:r w:rsidR="0088600B" w:rsidRPr="008662BF">
        <w:rPr>
          <w:lang w:val="mk-MK"/>
        </w:rPr>
        <w:t>светски лидер во пресметување</w:t>
      </w:r>
      <w:r w:rsidR="0088600B">
        <w:rPr>
          <w:lang w:val="mk-MK"/>
        </w:rPr>
        <w:t>то со високи перформанси (HPC).</w:t>
      </w:r>
    </w:p>
    <w:p w14:paraId="47B9C2F4" w14:textId="77777777" w:rsidR="00774B7A" w:rsidRPr="008662BF" w:rsidRDefault="00774B7A" w:rsidP="00774B7A">
      <w:pPr>
        <w:spacing w:after="0"/>
        <w:jc w:val="both"/>
        <w:rPr>
          <w:lang w:val="mk-MK"/>
        </w:rPr>
      </w:pPr>
    </w:p>
    <w:p w14:paraId="3C78E3CE" w14:textId="77777777" w:rsidR="00774B7A" w:rsidRPr="008662BF" w:rsidRDefault="00774B7A" w:rsidP="00774B7A">
      <w:pPr>
        <w:spacing w:after="0"/>
        <w:jc w:val="both"/>
        <w:rPr>
          <w:lang w:val="mk-MK"/>
        </w:rPr>
      </w:pPr>
      <w:r w:rsidRPr="008662BF">
        <w:rPr>
          <w:lang w:val="mk-MK"/>
        </w:rPr>
        <w:t xml:space="preserve">EuroHPC JU </w:t>
      </w:r>
      <w:r w:rsidR="005404E9">
        <w:rPr>
          <w:lang w:val="mk-MK"/>
        </w:rPr>
        <w:t xml:space="preserve">го сочинуваат </w:t>
      </w:r>
      <w:r w:rsidRPr="008662BF">
        <w:rPr>
          <w:lang w:val="mk-MK"/>
        </w:rPr>
        <w:t>јавни и приватни членови:</w:t>
      </w:r>
    </w:p>
    <w:p w14:paraId="04C83586" w14:textId="77777777" w:rsidR="00774B7A" w:rsidRPr="008662BF" w:rsidRDefault="00774B7A" w:rsidP="00774B7A">
      <w:pPr>
        <w:pStyle w:val="ListParagraph"/>
        <w:numPr>
          <w:ilvl w:val="0"/>
          <w:numId w:val="20"/>
        </w:numPr>
        <w:jc w:val="both"/>
        <w:rPr>
          <w:lang w:val="mk-MK"/>
        </w:rPr>
      </w:pPr>
      <w:r w:rsidRPr="008662BF">
        <w:rPr>
          <w:lang w:val="mk-MK"/>
        </w:rPr>
        <w:t>Јавни членови: Европската Унија (претставувана од Комисијата на ЕУ).</w:t>
      </w:r>
    </w:p>
    <w:p w14:paraId="0FBA076F" w14:textId="7EEE4677" w:rsidR="00D723ED" w:rsidRDefault="00774B7A" w:rsidP="00774B7A">
      <w:pPr>
        <w:pStyle w:val="ListParagraph"/>
        <w:numPr>
          <w:ilvl w:val="0"/>
          <w:numId w:val="20"/>
        </w:numPr>
        <w:jc w:val="both"/>
        <w:rPr>
          <w:lang w:val="mk-MK"/>
        </w:rPr>
      </w:pPr>
      <w:r w:rsidRPr="008662BF">
        <w:rPr>
          <w:lang w:val="mk-MK"/>
        </w:rPr>
        <w:t xml:space="preserve">Земјите членки и придружните земји </w:t>
      </w:r>
      <w:r w:rsidR="00372CE9">
        <w:rPr>
          <w:lang w:val="mk-MK"/>
        </w:rPr>
        <w:t>што</w:t>
      </w:r>
      <w:r w:rsidRPr="008662BF">
        <w:rPr>
          <w:lang w:val="mk-MK"/>
        </w:rPr>
        <w:t xml:space="preserve"> одлучиле да станат членки на Заедничкото претпријатие: Австрија, Белгија, Бугарија, Хрватска, Кипар, Чешка, Данска, Естонија, Финска, Франција, Германија, Грција, Унгарија, Исланд, Ирска, Италија, Латвија, Литванија, Луксембург, Црна Гора, Холандија, </w:t>
      </w:r>
      <w:r w:rsidR="00417197">
        <w:rPr>
          <w:lang w:val="mk-MK"/>
        </w:rPr>
        <w:t>Република Северна Македонија</w:t>
      </w:r>
      <w:r w:rsidRPr="008662BF">
        <w:rPr>
          <w:lang w:val="mk-MK"/>
        </w:rPr>
        <w:t>, Норвешка, Полска, Португалија, Романија, Словачка, Словенија, Шпанија, Шведска, Швајцарија и Турција.</w:t>
      </w:r>
    </w:p>
    <w:p w14:paraId="6EBBF82D" w14:textId="3F211A2A" w:rsidR="00774B7A" w:rsidRPr="00D723ED" w:rsidRDefault="00774B7A" w:rsidP="00774B7A">
      <w:pPr>
        <w:pStyle w:val="ListParagraph"/>
        <w:numPr>
          <w:ilvl w:val="0"/>
          <w:numId w:val="20"/>
        </w:numPr>
        <w:jc w:val="both"/>
        <w:rPr>
          <w:lang w:val="mk-MK"/>
        </w:rPr>
      </w:pPr>
      <w:r w:rsidRPr="00D723ED">
        <w:rPr>
          <w:lang w:val="mk-MK"/>
        </w:rPr>
        <w:t>Приватни членови: претставници од двата приватни партнери</w:t>
      </w:r>
      <w:r w:rsidR="00372CE9">
        <w:rPr>
          <w:lang w:val="mk-MK"/>
        </w:rPr>
        <w:t>-</w:t>
      </w:r>
      <w:r w:rsidRPr="00D723ED">
        <w:rPr>
          <w:lang w:val="mk-MK"/>
        </w:rPr>
        <w:t>учесници, Европската технолошка платформа за пресметување со високи перформанси (ETP4HPC) и Здруженијата за вредност на големите количини податоци (BDVA).</w:t>
      </w:r>
    </w:p>
    <w:p w14:paraId="3C2CC1CC" w14:textId="77777777" w:rsidR="00774B7A" w:rsidRPr="008662BF" w:rsidRDefault="00774B7A" w:rsidP="00774B7A">
      <w:pPr>
        <w:jc w:val="both"/>
        <w:rPr>
          <w:lang w:val="mk-MK"/>
        </w:rPr>
      </w:pPr>
      <w:r w:rsidRPr="008662BF">
        <w:rPr>
          <w:lang w:val="mk-MK"/>
        </w:rPr>
        <w:t>Со финанси</w:t>
      </w:r>
      <w:r w:rsidR="00E2336B">
        <w:rPr>
          <w:lang w:val="mk-MK"/>
        </w:rPr>
        <w:t xml:space="preserve">ските средства </w:t>
      </w:r>
      <w:r w:rsidRPr="008662BF">
        <w:rPr>
          <w:lang w:val="mk-MK"/>
        </w:rPr>
        <w:t xml:space="preserve">од EuroHPC JU, </w:t>
      </w:r>
      <w:r w:rsidR="00E2336B">
        <w:rPr>
          <w:lang w:val="mk-MK"/>
        </w:rPr>
        <w:t>во рамки</w:t>
      </w:r>
      <w:r w:rsidR="00372CE9">
        <w:rPr>
          <w:lang w:val="mk-MK"/>
        </w:rPr>
        <w:t>те</w:t>
      </w:r>
      <w:r w:rsidR="00E2336B">
        <w:rPr>
          <w:lang w:val="mk-MK"/>
        </w:rPr>
        <w:t xml:space="preserve"> на проектите </w:t>
      </w:r>
      <w:r w:rsidR="00E2336B" w:rsidRPr="008662BF">
        <w:rPr>
          <w:lang w:val="mk-MK"/>
        </w:rPr>
        <w:t xml:space="preserve">EuroCC и CASTIEL </w:t>
      </w:r>
      <w:r w:rsidRPr="008662BF">
        <w:rPr>
          <w:lang w:val="mk-MK"/>
        </w:rPr>
        <w:t xml:space="preserve">H2020 ќе се изгради европска мрежа од 33 национални центри за компетентност за HPC. </w:t>
      </w:r>
      <w:r w:rsidR="00E2336B">
        <w:rPr>
          <w:lang w:val="mk-MK"/>
        </w:rPr>
        <w:t xml:space="preserve">Со двата </w:t>
      </w:r>
      <w:r w:rsidRPr="008662BF">
        <w:rPr>
          <w:lang w:val="mk-MK"/>
        </w:rPr>
        <w:t xml:space="preserve">проекти ќе </w:t>
      </w:r>
      <w:r w:rsidR="00E2336B">
        <w:rPr>
          <w:lang w:val="mk-MK"/>
        </w:rPr>
        <w:t xml:space="preserve">се </w:t>
      </w:r>
      <w:r w:rsidRPr="008662BF">
        <w:rPr>
          <w:lang w:val="mk-MK"/>
        </w:rPr>
        <w:t xml:space="preserve">премостат постојните празнини во вештините за HPC, </w:t>
      </w:r>
      <w:r w:rsidR="00E2336B">
        <w:rPr>
          <w:lang w:val="mk-MK"/>
        </w:rPr>
        <w:t xml:space="preserve">а </w:t>
      </w:r>
      <w:r w:rsidRPr="008662BF">
        <w:rPr>
          <w:lang w:val="mk-MK"/>
        </w:rPr>
        <w:t xml:space="preserve">истовремено </w:t>
      </w:r>
      <w:r w:rsidR="00E2336B">
        <w:rPr>
          <w:lang w:val="mk-MK"/>
        </w:rPr>
        <w:t xml:space="preserve">ќе се </w:t>
      </w:r>
      <w:r w:rsidRPr="008662BF">
        <w:rPr>
          <w:lang w:val="mk-MK"/>
        </w:rPr>
        <w:t>промовира</w:t>
      </w:r>
      <w:r w:rsidR="00372CE9">
        <w:rPr>
          <w:lang w:val="mk-MK"/>
        </w:rPr>
        <w:t xml:space="preserve"> </w:t>
      </w:r>
      <w:r w:rsidRPr="008662BF">
        <w:rPr>
          <w:lang w:val="mk-MK"/>
        </w:rPr>
        <w:t>соработката и имплементацијата на најдобрите пракси во Европа.</w:t>
      </w:r>
    </w:p>
    <w:p w14:paraId="1C1374DF" w14:textId="77777777" w:rsidR="00774B7A" w:rsidRPr="008662BF" w:rsidRDefault="007947BF" w:rsidP="007947BF">
      <w:pPr>
        <w:pStyle w:val="Heading3"/>
        <w:rPr>
          <w:rFonts w:asciiTheme="minorHAnsi" w:hAnsiTheme="minorHAnsi"/>
          <w:lang w:val="mk-MK"/>
        </w:rPr>
      </w:pPr>
      <w:bookmarkStart w:id="43" w:name="_Toc86916075"/>
      <w:r w:rsidRPr="008662BF">
        <w:rPr>
          <w:rFonts w:asciiTheme="minorHAnsi" w:hAnsiTheme="minorHAnsi"/>
          <w:lang w:val="mk-MK"/>
        </w:rPr>
        <w:t xml:space="preserve">ESS - </w:t>
      </w:r>
      <w:r w:rsidR="00774B7A" w:rsidRPr="008662BF">
        <w:rPr>
          <w:rFonts w:asciiTheme="minorHAnsi" w:hAnsiTheme="minorHAnsi"/>
          <w:lang w:val="mk-MK"/>
        </w:rPr>
        <w:t>Европско општествено истражување</w:t>
      </w:r>
      <w:bookmarkEnd w:id="43"/>
    </w:p>
    <w:p w14:paraId="3177469C" w14:textId="31A69541" w:rsidR="00774B7A" w:rsidRPr="008662BF" w:rsidRDefault="00774B7A" w:rsidP="007947BF">
      <w:pPr>
        <w:jc w:val="both"/>
        <w:rPr>
          <w:lang w:val="mk-MK"/>
        </w:rPr>
      </w:pPr>
      <w:r w:rsidRPr="008662BF">
        <w:rPr>
          <w:lang w:val="mk-MK"/>
        </w:rPr>
        <w:t>ЕSS е меѓунационално истражување водено од академијата</w:t>
      </w:r>
      <w:r w:rsidR="00372CE9">
        <w:rPr>
          <w:lang w:val="mk-MK"/>
        </w:rPr>
        <w:t>,</w:t>
      </w:r>
      <w:r w:rsidRPr="008662BF">
        <w:rPr>
          <w:lang w:val="mk-MK"/>
        </w:rPr>
        <w:t xml:space="preserve"> </w:t>
      </w:r>
      <w:r w:rsidR="00372CE9">
        <w:rPr>
          <w:lang w:val="mk-MK"/>
        </w:rPr>
        <w:t>што</w:t>
      </w:r>
      <w:r w:rsidR="00372CE9" w:rsidRPr="008662BF">
        <w:rPr>
          <w:lang w:val="mk-MK"/>
        </w:rPr>
        <w:t xml:space="preserve"> во Европа </w:t>
      </w:r>
      <w:r w:rsidRPr="008662BF">
        <w:rPr>
          <w:lang w:val="mk-MK"/>
        </w:rPr>
        <w:t>се спроведува од не</w:t>
      </w:r>
      <w:r w:rsidR="00E2336B">
        <w:rPr>
          <w:lang w:val="mk-MK"/>
        </w:rPr>
        <w:t xml:space="preserve">говото воспоставување </w:t>
      </w:r>
      <w:r w:rsidRPr="008662BF">
        <w:rPr>
          <w:lang w:val="mk-MK"/>
        </w:rPr>
        <w:t xml:space="preserve">во 2001 година. На секои две години се спроведуваат интервјуа </w:t>
      </w:r>
      <w:r w:rsidR="00E2336B">
        <w:rPr>
          <w:lang w:val="mk-MK"/>
        </w:rPr>
        <w:t>„</w:t>
      </w:r>
      <w:r w:rsidRPr="008662BF">
        <w:rPr>
          <w:lang w:val="mk-MK"/>
        </w:rPr>
        <w:t>лице в лице</w:t>
      </w:r>
      <w:r w:rsidR="00E2336B">
        <w:rPr>
          <w:lang w:val="mk-MK"/>
        </w:rPr>
        <w:t>“</w:t>
      </w:r>
      <w:r w:rsidRPr="008662BF">
        <w:rPr>
          <w:lang w:val="mk-MK"/>
        </w:rPr>
        <w:t xml:space="preserve"> со новоизбрани, трансверзални примероци. На ESS му беше доделен статус на Европски конзорциум за истражувачка инфраструктура (ERIC) на 30 ноември 2013 година.</w:t>
      </w:r>
    </w:p>
    <w:p w14:paraId="47DC9FF8" w14:textId="00E02649" w:rsidR="00CB055C" w:rsidRPr="008662BF" w:rsidRDefault="00417197" w:rsidP="007947BF">
      <w:pPr>
        <w:jc w:val="both"/>
        <w:rPr>
          <w:lang w:val="mk-MK"/>
        </w:rPr>
      </w:pPr>
      <w:r>
        <w:rPr>
          <w:lang w:val="mk-MK"/>
        </w:rPr>
        <w:t>Република Северна Македонија</w:t>
      </w:r>
      <w:r w:rsidR="00CB055C" w:rsidRPr="008662BF">
        <w:rPr>
          <w:lang w:val="mk-MK"/>
        </w:rPr>
        <w:t xml:space="preserve"> прв пат се приклучи на Европското општествено истражување (ESS) во 10-тиот круг. Оваа иницијатива беше поддржана од главните јавни и приватни универзитети со катедри за општествени науки во земја</w:t>
      </w:r>
      <w:r w:rsidR="00372CE9">
        <w:rPr>
          <w:lang w:val="mk-MK"/>
        </w:rPr>
        <w:t>в</w:t>
      </w:r>
      <w:r w:rsidR="00CB055C" w:rsidRPr="008662BF">
        <w:rPr>
          <w:lang w:val="mk-MK"/>
        </w:rPr>
        <w:t>а, кои</w:t>
      </w:r>
      <w:r w:rsidR="00372CE9">
        <w:rPr>
          <w:lang w:val="mk-MK"/>
        </w:rPr>
        <w:t>што</w:t>
      </w:r>
      <w:r w:rsidR="00CB055C" w:rsidRPr="008662BF">
        <w:rPr>
          <w:lang w:val="mk-MK"/>
        </w:rPr>
        <w:t xml:space="preserve"> назначија свои претставници за Националната мрежа на ESS во </w:t>
      </w:r>
      <w:r>
        <w:rPr>
          <w:lang w:val="mk-MK"/>
        </w:rPr>
        <w:t>Република Северна Македонија</w:t>
      </w:r>
      <w:r w:rsidR="00CB055C" w:rsidRPr="008662BF">
        <w:rPr>
          <w:lang w:val="mk-MK"/>
        </w:rPr>
        <w:t xml:space="preserve">. Учеството во ESS е од големо значење за истражувачката заедница во </w:t>
      </w:r>
      <w:r w:rsidR="00E2336B">
        <w:rPr>
          <w:lang w:val="mk-MK"/>
        </w:rPr>
        <w:t xml:space="preserve">областа на </w:t>
      </w:r>
      <w:r w:rsidR="00CB055C" w:rsidRPr="008662BF">
        <w:rPr>
          <w:lang w:val="mk-MK"/>
        </w:rPr>
        <w:t xml:space="preserve">општествените науки што </w:t>
      </w:r>
      <w:r w:rsidR="00E2336B">
        <w:rPr>
          <w:rFonts w:cstheme="minorHAnsi"/>
          <w:lang w:val="mk-MK"/>
        </w:rPr>
        <w:t xml:space="preserve">ѝ </w:t>
      </w:r>
      <w:r w:rsidR="00CB055C" w:rsidRPr="008662BF">
        <w:rPr>
          <w:lang w:val="mk-MK"/>
        </w:rPr>
        <w:t xml:space="preserve">овозможува да има отворен пристап до базата на податоци со споредливи податоци за голем број теми од општествените науки во европските земји. Со користењето на овие податоци ќе се зголеми квалитетот на научните публикации и ќе дојде до зголемување на </w:t>
      </w:r>
      <w:r w:rsidR="00E2336B">
        <w:rPr>
          <w:lang w:val="mk-MK"/>
        </w:rPr>
        <w:t xml:space="preserve">бројот на </w:t>
      </w:r>
      <w:r w:rsidR="00CB055C" w:rsidRPr="008662BF">
        <w:rPr>
          <w:lang w:val="mk-MK"/>
        </w:rPr>
        <w:lastRenderedPageBreak/>
        <w:t xml:space="preserve">интердисциплинарни истражувања </w:t>
      </w:r>
      <w:r w:rsidR="00E2336B">
        <w:rPr>
          <w:lang w:val="mk-MK"/>
        </w:rPr>
        <w:t xml:space="preserve">на </w:t>
      </w:r>
      <w:r w:rsidR="00CB055C" w:rsidRPr="008662BF">
        <w:rPr>
          <w:lang w:val="mk-MK"/>
        </w:rPr>
        <w:t>истражувачите во високообразовните институции и во земјата.</w:t>
      </w:r>
    </w:p>
    <w:p w14:paraId="75F1CA00" w14:textId="7BFB6A50" w:rsidR="00124EEA" w:rsidRPr="008662BF" w:rsidRDefault="00124EEA" w:rsidP="007947BF">
      <w:pPr>
        <w:jc w:val="both"/>
        <w:rPr>
          <w:lang w:val="mk-MK"/>
        </w:rPr>
      </w:pPr>
      <w:bookmarkStart w:id="44" w:name="_Toc61096335"/>
      <w:r w:rsidRPr="008662BF">
        <w:rPr>
          <w:lang w:val="mk-MK"/>
        </w:rPr>
        <w:t xml:space="preserve">Десеттиот круг на </w:t>
      </w:r>
      <w:r w:rsidR="00874D8E" w:rsidRPr="008662BF">
        <w:rPr>
          <w:lang w:val="mk-MK"/>
        </w:rPr>
        <w:t xml:space="preserve">ESS </w:t>
      </w:r>
      <w:r w:rsidRPr="008662BF">
        <w:rPr>
          <w:lang w:val="mk-MK"/>
        </w:rPr>
        <w:t xml:space="preserve">во </w:t>
      </w:r>
      <w:r w:rsidR="00417197">
        <w:rPr>
          <w:lang w:val="mk-MK"/>
        </w:rPr>
        <w:t>Република Северна Македонија</w:t>
      </w:r>
      <w:r w:rsidRPr="008662BF">
        <w:rPr>
          <w:lang w:val="mk-MK"/>
        </w:rPr>
        <w:t xml:space="preserve"> ќе го спроведе Институтот за социолошки, политички и правни истражувања во Скопје. Како резултат на пандемијата на КОВИД-19, не беше можно да се спроведе теренската работа во рамки на 10-от круг, што првично требаше да се спроведе преку лични интервјуа </w:t>
      </w:r>
      <w:r w:rsidR="00E2336B">
        <w:rPr>
          <w:lang w:val="mk-MK"/>
        </w:rPr>
        <w:t xml:space="preserve">почнувајќи </w:t>
      </w:r>
      <w:r w:rsidRPr="008662BF">
        <w:rPr>
          <w:lang w:val="mk-MK"/>
        </w:rPr>
        <w:t>од крајот на 2020 година. Доколку дозволат здравствените услови, теренската работа ќе се спроведе во 2021 година.</w:t>
      </w:r>
    </w:p>
    <w:p w14:paraId="57DF6B31" w14:textId="77777777" w:rsidR="00124EEA" w:rsidRPr="00E2336B" w:rsidRDefault="00124EEA" w:rsidP="00E6229E">
      <w:pPr>
        <w:pStyle w:val="Heading3"/>
        <w:spacing w:before="0" w:line="240" w:lineRule="auto"/>
        <w:rPr>
          <w:rFonts w:asciiTheme="minorHAnsi" w:eastAsia="Calibri" w:hAnsiTheme="minorHAnsi" w:cstheme="minorHAnsi"/>
          <w:lang w:val="mk-MK"/>
        </w:rPr>
      </w:pPr>
      <w:bookmarkStart w:id="45" w:name="_Toc86916076"/>
      <w:r w:rsidRPr="00E2336B">
        <w:rPr>
          <w:rFonts w:asciiTheme="minorHAnsi" w:eastAsia="Calibri" w:hAnsiTheme="minorHAnsi" w:cstheme="minorHAnsi"/>
          <w:lang w:val="mk-MK"/>
        </w:rPr>
        <w:t>SEEIST- Меѓународен институт за одржливи технологии на Југоисточна Европа</w:t>
      </w:r>
      <w:bookmarkEnd w:id="45"/>
    </w:p>
    <w:p w14:paraId="3120271F" w14:textId="77777777" w:rsidR="00E6229E" w:rsidRDefault="00E6229E" w:rsidP="00E6229E">
      <w:pPr>
        <w:spacing w:after="0" w:line="240" w:lineRule="auto"/>
        <w:jc w:val="both"/>
        <w:rPr>
          <w:lang w:val="mk-MK"/>
        </w:rPr>
      </w:pPr>
    </w:p>
    <w:p w14:paraId="39898E74" w14:textId="35488B01" w:rsidR="00874D8E" w:rsidRPr="008662BF" w:rsidRDefault="00874D8E" w:rsidP="00E6229E">
      <w:pPr>
        <w:spacing w:line="240" w:lineRule="auto"/>
        <w:jc w:val="both"/>
        <w:rPr>
          <w:lang w:val="mk-MK"/>
        </w:rPr>
      </w:pPr>
      <w:r w:rsidRPr="008662BF">
        <w:rPr>
          <w:lang w:val="mk-MK"/>
        </w:rPr>
        <w:t>Меѓународниот институт за одржливи технологии на Југоисточна Европа (SEEIIST) е регионален проект во кој учествуваат следните страни: Албанија, Босна и Херцеговина, Бугарија, Косово</w:t>
      </w:r>
      <w:r w:rsidRPr="008662BF">
        <w:rPr>
          <w:rStyle w:val="FootnoteReference"/>
          <w:lang w:val="mk-MK"/>
        </w:rPr>
        <w:footnoteReference w:id="6"/>
      </w:r>
      <w:r w:rsidRPr="008662BF">
        <w:rPr>
          <w:lang w:val="mk-MK"/>
        </w:rPr>
        <w:t xml:space="preserve">, </w:t>
      </w:r>
      <w:r w:rsidR="00417197">
        <w:rPr>
          <w:lang w:val="mk-MK"/>
        </w:rPr>
        <w:t>Република Северна Македонија</w:t>
      </w:r>
      <w:r w:rsidRPr="008662BF">
        <w:rPr>
          <w:lang w:val="mk-MK"/>
        </w:rPr>
        <w:t>, Црна Гора, Србија и Словенија.</w:t>
      </w:r>
    </w:p>
    <w:p w14:paraId="6D2AC8D6" w14:textId="77777777" w:rsidR="00874D8E" w:rsidRPr="008662BF" w:rsidRDefault="00874D8E" w:rsidP="007947BF">
      <w:pPr>
        <w:spacing w:after="0" w:line="240" w:lineRule="auto"/>
        <w:jc w:val="both"/>
        <w:rPr>
          <w:rFonts w:ascii="Calibri" w:eastAsia="Calibri" w:hAnsi="Calibri" w:cs="Times New Roman"/>
          <w:lang w:val="mk-MK"/>
        </w:rPr>
      </w:pPr>
      <w:r w:rsidRPr="008662BF">
        <w:rPr>
          <w:rFonts w:ascii="Calibri" w:eastAsia="Calibri" w:hAnsi="Calibri" w:cs="Times New Roman"/>
          <w:lang w:val="mk-MK"/>
        </w:rPr>
        <w:t>Главните мисии на проектот SEEIIST се:</w:t>
      </w:r>
    </w:p>
    <w:p w14:paraId="1D67ABA3"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Наука за мир</w:t>
      </w:r>
    </w:p>
    <w:p w14:paraId="2D30434A"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Научна извонредност</w:t>
      </w:r>
    </w:p>
    <w:p w14:paraId="2F9234C4"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Меѓународна соработка</w:t>
      </w:r>
    </w:p>
    <w:p w14:paraId="16FF169A"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Одржлив развој на општеството</w:t>
      </w:r>
    </w:p>
    <w:p w14:paraId="5312CBCA"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Образование</w:t>
      </w:r>
    </w:p>
    <w:p w14:paraId="1320E6EB"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Трансфер на технологија</w:t>
      </w:r>
    </w:p>
    <w:p w14:paraId="70477360" w14:textId="77777777" w:rsidR="00874D8E" w:rsidRPr="008662BF"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Развој на моќна дигитална мрежа</w:t>
      </w:r>
    </w:p>
    <w:p w14:paraId="002217F3" w14:textId="77777777" w:rsidR="009F3B36" w:rsidRDefault="00874D8E" w:rsidP="00874D8E">
      <w:pPr>
        <w:pStyle w:val="ListParagraph"/>
        <w:numPr>
          <w:ilvl w:val="0"/>
          <w:numId w:val="44"/>
        </w:numPr>
        <w:spacing w:after="0" w:line="240" w:lineRule="auto"/>
        <w:jc w:val="both"/>
        <w:rPr>
          <w:rFonts w:ascii="Calibri" w:eastAsia="Calibri" w:hAnsi="Calibri" w:cs="Times New Roman"/>
          <w:lang w:val="mk-MK"/>
        </w:rPr>
      </w:pPr>
      <w:r w:rsidRPr="008662BF">
        <w:rPr>
          <w:rFonts w:ascii="Calibri" w:eastAsia="Calibri" w:hAnsi="Calibri" w:cs="Times New Roman"/>
          <w:lang w:val="mk-MK"/>
        </w:rPr>
        <w:t>Пресметување со високи перформанси и ракување со големи податоци</w:t>
      </w:r>
    </w:p>
    <w:p w14:paraId="36FD724F" w14:textId="77777777" w:rsidR="009F3B36" w:rsidRDefault="009F3B36" w:rsidP="009F3B36">
      <w:pPr>
        <w:spacing w:after="0" w:line="240" w:lineRule="auto"/>
        <w:jc w:val="both"/>
        <w:rPr>
          <w:lang w:val="mk-MK"/>
        </w:rPr>
      </w:pPr>
    </w:p>
    <w:p w14:paraId="341720E9" w14:textId="542EACF2" w:rsidR="00874D8E" w:rsidRPr="009F3B36" w:rsidRDefault="00874D8E" w:rsidP="009E69D0">
      <w:pPr>
        <w:spacing w:after="0"/>
        <w:jc w:val="both"/>
        <w:rPr>
          <w:rFonts w:ascii="Calibri" w:eastAsia="Calibri" w:hAnsi="Calibri" w:cs="Times New Roman"/>
          <w:lang w:val="mk-MK"/>
        </w:rPr>
      </w:pPr>
      <w:r w:rsidRPr="009F3B36">
        <w:rPr>
          <w:lang w:val="mk-MK"/>
        </w:rPr>
        <w:t xml:space="preserve">На 28 мај 2020 година беше објавен </w:t>
      </w:r>
      <w:r w:rsidR="00574561" w:rsidRPr="00417197">
        <w:rPr>
          <w:i/>
          <w:lang w:val="mk-MK"/>
        </w:rPr>
        <w:t>п</w:t>
      </w:r>
      <w:r w:rsidRPr="00417197">
        <w:rPr>
          <w:i/>
          <w:lang w:val="mk-MK"/>
        </w:rPr>
        <w:t xml:space="preserve">овик за изразување интерес за учество </w:t>
      </w:r>
      <w:r w:rsidRPr="009F3B36">
        <w:rPr>
          <w:lang w:val="mk-MK"/>
        </w:rPr>
        <w:t xml:space="preserve">во процесот на основање на Институтот (конкретно во Биомедицинскиот центар што работи на лекување на рак со хадронска терапија). На 9 септември 2020 година, тимот на научници </w:t>
      </w:r>
      <w:r w:rsidR="00574561">
        <w:rPr>
          <w:lang w:val="mk-MK"/>
        </w:rPr>
        <w:t>што</w:t>
      </w:r>
      <w:r w:rsidRPr="009F3B36">
        <w:rPr>
          <w:lang w:val="mk-MK"/>
        </w:rPr>
        <w:t xml:space="preserve"> работат на развојниот проект SEEIIST поднесоа апликација за Патоказот на ESFRI и побараа 240 милиони евра финансиска помош од Европската комисија за изградба и опремување на SEEIIST.</w:t>
      </w:r>
    </w:p>
    <w:p w14:paraId="76565532" w14:textId="73202510" w:rsidR="00874D8E" w:rsidRDefault="00417197" w:rsidP="00874D8E">
      <w:pPr>
        <w:jc w:val="both"/>
        <w:rPr>
          <w:lang w:val="mk-MK"/>
        </w:rPr>
      </w:pPr>
      <w:r>
        <w:rPr>
          <w:lang w:val="mk-MK"/>
        </w:rPr>
        <w:t>Република Северна Македонија</w:t>
      </w:r>
      <w:r w:rsidR="00874D8E" w:rsidRPr="008662BF">
        <w:rPr>
          <w:lang w:val="mk-MK"/>
        </w:rPr>
        <w:t xml:space="preserve"> е меѓу ретките земји од Југоисточна Европа што одлучи да учествува на меѓународниот јавен повик за локацијата за изградба на Меѓународниот институт за одржливи технологии (SEEIIST) на нејзина територија. Одлуката е донесена во декември 2020 година</w:t>
      </w:r>
      <w:r w:rsidR="00E2336B">
        <w:rPr>
          <w:lang w:val="mk-MK"/>
        </w:rPr>
        <w:t xml:space="preserve"> и </w:t>
      </w:r>
      <w:r w:rsidR="00574561" w:rsidRPr="008662BF">
        <w:rPr>
          <w:lang w:val="mk-MK"/>
        </w:rPr>
        <w:t xml:space="preserve">е </w:t>
      </w:r>
      <w:r w:rsidR="00874D8E" w:rsidRPr="008662BF">
        <w:rPr>
          <w:lang w:val="mk-MK"/>
        </w:rPr>
        <w:t>формиран стручен тим за подготовка на апликација</w:t>
      </w:r>
      <w:r w:rsidR="00E2336B">
        <w:rPr>
          <w:lang w:val="mk-MK"/>
        </w:rPr>
        <w:t>та</w:t>
      </w:r>
      <w:r w:rsidR="00874D8E" w:rsidRPr="008662BF">
        <w:rPr>
          <w:lang w:val="mk-MK"/>
        </w:rPr>
        <w:t>/кандидатура</w:t>
      </w:r>
      <w:r w:rsidR="00E2336B">
        <w:rPr>
          <w:lang w:val="mk-MK"/>
        </w:rPr>
        <w:t>та</w:t>
      </w:r>
      <w:r w:rsidR="00874D8E" w:rsidRPr="008662BF">
        <w:rPr>
          <w:lang w:val="mk-MK"/>
        </w:rPr>
        <w:t xml:space="preserve"> со која земјата ќе учествува на меѓународниот јавен повик.</w:t>
      </w:r>
    </w:p>
    <w:p w14:paraId="690F5519" w14:textId="77777777" w:rsidR="00E2336B" w:rsidRDefault="00E2336B" w:rsidP="00874D8E">
      <w:pPr>
        <w:jc w:val="both"/>
        <w:rPr>
          <w:lang w:val="mk-MK"/>
        </w:rPr>
      </w:pPr>
    </w:p>
    <w:p w14:paraId="0C409CB1" w14:textId="77777777" w:rsidR="00E2336B" w:rsidRDefault="00E2336B" w:rsidP="00874D8E">
      <w:pPr>
        <w:jc w:val="both"/>
        <w:rPr>
          <w:lang w:val="mk-MK"/>
        </w:rPr>
      </w:pPr>
    </w:p>
    <w:p w14:paraId="25C7E867" w14:textId="77777777" w:rsidR="00E2336B" w:rsidRDefault="00E2336B" w:rsidP="00874D8E">
      <w:pPr>
        <w:jc w:val="both"/>
        <w:rPr>
          <w:lang w:val="mk-MK"/>
        </w:rPr>
      </w:pPr>
    </w:p>
    <w:p w14:paraId="012B7071" w14:textId="77777777" w:rsidR="00E2336B" w:rsidRDefault="00E2336B" w:rsidP="00874D8E">
      <w:pPr>
        <w:jc w:val="both"/>
        <w:rPr>
          <w:lang w:val="mk-MK"/>
        </w:rPr>
      </w:pPr>
    </w:p>
    <w:p w14:paraId="7A855B4A" w14:textId="77777777" w:rsidR="00B424EB" w:rsidRDefault="00B424EB" w:rsidP="00874D8E">
      <w:pPr>
        <w:jc w:val="both"/>
        <w:rPr>
          <w:lang w:val="mk-MK"/>
        </w:rPr>
      </w:pPr>
    </w:p>
    <w:p w14:paraId="690C2795" w14:textId="77777777" w:rsidR="00B424EB" w:rsidRDefault="00B424EB" w:rsidP="00874D8E">
      <w:pPr>
        <w:jc w:val="both"/>
        <w:rPr>
          <w:lang w:val="mk-MK"/>
        </w:rPr>
      </w:pPr>
    </w:p>
    <w:p w14:paraId="125774B2" w14:textId="77777777" w:rsidR="00B424EB" w:rsidRPr="008662BF" w:rsidRDefault="00B424EB" w:rsidP="00874D8E">
      <w:pPr>
        <w:jc w:val="both"/>
        <w:rPr>
          <w:lang w:val="mk-MK"/>
        </w:rPr>
      </w:pPr>
    </w:p>
    <w:p w14:paraId="402483EA" w14:textId="77777777" w:rsidR="00874D8E" w:rsidRPr="008662BF" w:rsidRDefault="00874D8E" w:rsidP="00874D8E">
      <w:pPr>
        <w:pStyle w:val="Heading1"/>
        <w:numPr>
          <w:ilvl w:val="0"/>
          <w:numId w:val="16"/>
        </w:numPr>
        <w:spacing w:after="240"/>
        <w:rPr>
          <w:rFonts w:asciiTheme="minorHAnsi" w:hAnsiTheme="minorHAnsi"/>
          <w:shd w:val="clear" w:color="auto" w:fill="FFFFFF"/>
          <w:lang w:val="mk-MK"/>
        </w:rPr>
      </w:pPr>
      <w:bookmarkStart w:id="46" w:name="_Toc86916077"/>
      <w:r w:rsidRPr="008662BF">
        <w:rPr>
          <w:rFonts w:asciiTheme="minorHAnsi" w:hAnsiTheme="minorHAnsi"/>
          <w:shd w:val="clear" w:color="auto" w:fill="FFFFFF"/>
          <w:lang w:val="mk-MK"/>
        </w:rPr>
        <w:t>Заклучни напомени и препораки за политики</w:t>
      </w:r>
      <w:bookmarkEnd w:id="46"/>
    </w:p>
    <w:bookmarkEnd w:id="44"/>
    <w:p w14:paraId="53E58B23" w14:textId="03BEBEEC" w:rsidR="005922FB" w:rsidRPr="008662BF" w:rsidRDefault="005922FB" w:rsidP="005922FB">
      <w:pPr>
        <w:jc w:val="both"/>
        <w:rPr>
          <w:lang w:val="mk-MK"/>
        </w:rPr>
      </w:pPr>
      <w:r w:rsidRPr="008662BF">
        <w:rPr>
          <w:lang w:val="mk-MK"/>
        </w:rPr>
        <w:t>За успешно да се интегрира во Е</w:t>
      </w:r>
      <w:r w:rsidR="00E2336B">
        <w:rPr>
          <w:lang w:val="mk-MK"/>
        </w:rPr>
        <w:t>вропската истражувачка област</w:t>
      </w:r>
      <w:r w:rsidRPr="008662BF">
        <w:rPr>
          <w:lang w:val="mk-MK"/>
        </w:rPr>
        <w:t xml:space="preserve">, </w:t>
      </w:r>
      <w:r w:rsidR="00417197">
        <w:rPr>
          <w:lang w:val="mk-MK"/>
        </w:rPr>
        <w:t>Република Северна Македонија</w:t>
      </w:r>
      <w:r w:rsidRPr="008662BF">
        <w:rPr>
          <w:lang w:val="mk-MK"/>
        </w:rPr>
        <w:t xml:space="preserve"> треба да ја препознае стратешката важност на истражувачките инфраструктури за економскиот развој. Видливоста и квалитетот на </w:t>
      </w:r>
      <w:r w:rsidR="00E2336B">
        <w:rPr>
          <w:lang w:val="mk-MK"/>
        </w:rPr>
        <w:t xml:space="preserve">истражувачките инфраструктури </w:t>
      </w:r>
      <w:r w:rsidRPr="008662BF">
        <w:rPr>
          <w:lang w:val="mk-MK"/>
        </w:rPr>
        <w:t xml:space="preserve">во поширокиот европски истражувачки опсег треба дополнително да се подобрат, како и да се зајакне врската со општеството на знаење. Координацијата на политиките е најважна на овој пат, додека силните врски со приоритетите за истражување и развој претставуваат неопходни услови за </w:t>
      </w:r>
      <w:r w:rsidR="00574561" w:rsidRPr="008662BF">
        <w:rPr>
          <w:lang w:val="mk-MK"/>
        </w:rPr>
        <w:t>насоч</w:t>
      </w:r>
      <w:r w:rsidR="00574561">
        <w:rPr>
          <w:lang w:val="mk-MK"/>
        </w:rPr>
        <w:t>ување на</w:t>
      </w:r>
      <w:r w:rsidRPr="008662BF">
        <w:rPr>
          <w:lang w:val="mk-MK"/>
        </w:rPr>
        <w:t xml:space="preserve"> финансиите кон истражувачките капацитети кои</w:t>
      </w:r>
      <w:r w:rsidR="00574561">
        <w:rPr>
          <w:lang w:val="mk-MK"/>
        </w:rPr>
        <w:t>што ги</w:t>
      </w:r>
      <w:r w:rsidRPr="008662BF">
        <w:rPr>
          <w:lang w:val="mk-MK"/>
        </w:rPr>
        <w:t xml:space="preserve"> спроведуваат најдобри</w:t>
      </w:r>
      <w:r w:rsidR="00574561">
        <w:rPr>
          <w:lang w:val="mk-MK"/>
        </w:rPr>
        <w:t>те</w:t>
      </w:r>
      <w:r w:rsidRPr="008662BF">
        <w:rPr>
          <w:lang w:val="mk-MK"/>
        </w:rPr>
        <w:t xml:space="preserve"> истражувања и </w:t>
      </w:r>
      <w:r w:rsidR="00574561">
        <w:rPr>
          <w:lang w:val="mk-MK"/>
        </w:rPr>
        <w:t xml:space="preserve">што ги </w:t>
      </w:r>
      <w:r w:rsidR="00E2336B">
        <w:rPr>
          <w:lang w:val="mk-MK"/>
        </w:rPr>
        <w:t xml:space="preserve">постигнуваат </w:t>
      </w:r>
      <w:r w:rsidRPr="008662BF">
        <w:rPr>
          <w:lang w:val="mk-MK"/>
        </w:rPr>
        <w:t>најважни</w:t>
      </w:r>
      <w:r w:rsidR="00574561">
        <w:rPr>
          <w:lang w:val="mk-MK"/>
        </w:rPr>
        <w:t>те</w:t>
      </w:r>
      <w:r w:rsidRPr="008662BF">
        <w:rPr>
          <w:lang w:val="mk-MK"/>
        </w:rPr>
        <w:t xml:space="preserve"> социоекономски придобивки.</w:t>
      </w:r>
    </w:p>
    <w:p w14:paraId="2817A378" w14:textId="75763248" w:rsidR="005922FB" w:rsidRPr="008662BF" w:rsidRDefault="005922FB" w:rsidP="005922FB">
      <w:pPr>
        <w:jc w:val="both"/>
        <w:rPr>
          <w:lang w:val="mk-MK"/>
        </w:rPr>
      </w:pPr>
      <w:r w:rsidRPr="008662BF">
        <w:rPr>
          <w:lang w:val="mk-MK"/>
        </w:rPr>
        <w:t xml:space="preserve">Имајќи предвид дека напредокот во истражувањето е исклучително динамичен, Патоказот за ИИ треба да се смета за континуиран процес што </w:t>
      </w:r>
      <w:r w:rsidR="00574561" w:rsidRPr="008662BF">
        <w:rPr>
          <w:lang w:val="mk-MK"/>
        </w:rPr>
        <w:t xml:space="preserve">во иднина </w:t>
      </w:r>
      <w:r w:rsidRPr="008662BF">
        <w:rPr>
          <w:lang w:val="mk-MK"/>
        </w:rPr>
        <w:t>ќе доведе до посеопфатно вклучување на постојната истражувачка инфраструктура.</w:t>
      </w:r>
    </w:p>
    <w:p w14:paraId="2DE6FFB2" w14:textId="216837D2" w:rsidR="005922FB" w:rsidRPr="008662BF" w:rsidRDefault="005922FB" w:rsidP="005922FB">
      <w:pPr>
        <w:jc w:val="both"/>
        <w:rPr>
          <w:lang w:val="mk-MK"/>
        </w:rPr>
      </w:pPr>
      <w:r w:rsidRPr="008662BF">
        <w:rPr>
          <w:lang w:val="mk-MK"/>
        </w:rPr>
        <w:t xml:space="preserve">Како резултат на анализата на моменталната состојба на истражувачките инфраструктури во </w:t>
      </w:r>
      <w:r w:rsidR="00E2336B">
        <w:rPr>
          <w:lang w:val="mk-MK"/>
        </w:rPr>
        <w:t>земјата</w:t>
      </w:r>
      <w:r w:rsidRPr="008662BF">
        <w:rPr>
          <w:lang w:val="mk-MK"/>
        </w:rPr>
        <w:t xml:space="preserve">, произлегоа следниве препораки за политики за подобрување на квалитетот на постојната истражувачка инфраструктура во </w:t>
      </w:r>
      <w:r w:rsidR="00417197">
        <w:rPr>
          <w:lang w:val="mk-MK"/>
        </w:rPr>
        <w:t>Република Северна Македонија</w:t>
      </w:r>
      <w:r w:rsidRPr="008662BF">
        <w:rPr>
          <w:lang w:val="mk-MK"/>
        </w:rPr>
        <w:t>:</w:t>
      </w:r>
    </w:p>
    <w:p w14:paraId="11EC25FC" w14:textId="77777777" w:rsidR="006C2768" w:rsidRPr="008662BF" w:rsidRDefault="006C2768" w:rsidP="007947BF">
      <w:pPr>
        <w:spacing w:after="0"/>
        <w:jc w:val="both"/>
        <w:rPr>
          <w:b/>
          <w:lang w:val="mk-MK"/>
        </w:rPr>
      </w:pPr>
      <w:r w:rsidRPr="008662BF">
        <w:rPr>
          <w:b/>
          <w:lang w:val="mk-MK"/>
        </w:rPr>
        <w:t>Подготовка на Акциски план за развој на истражувачките инфраструктури</w:t>
      </w:r>
    </w:p>
    <w:p w14:paraId="2B79F19D" w14:textId="3E39910A" w:rsidR="00F96B81" w:rsidRPr="00F96B81" w:rsidRDefault="00F96B81" w:rsidP="00F96B81">
      <w:pPr>
        <w:jc w:val="both"/>
        <w:rPr>
          <w:lang w:val="mk-MK"/>
        </w:rPr>
      </w:pPr>
      <w:r w:rsidRPr="00F96B81">
        <w:rPr>
          <w:lang w:val="mk-MK"/>
        </w:rPr>
        <w:t>По мапирањето на постојните истражувачки инфраструктури и проекти за истражувачки инфраструктури во овој документ, неопходно е да се подготви Акциски план за спроведување на мерки</w:t>
      </w:r>
      <w:r w:rsidR="00574561">
        <w:rPr>
          <w:lang w:val="mk-MK"/>
        </w:rPr>
        <w:t>те</w:t>
      </w:r>
      <w:r w:rsidRPr="00F96B81">
        <w:rPr>
          <w:lang w:val="mk-MK"/>
        </w:rPr>
        <w:t xml:space="preserve"> и активности</w:t>
      </w:r>
      <w:r w:rsidR="00574561">
        <w:rPr>
          <w:lang w:val="mk-MK"/>
        </w:rPr>
        <w:t>те</w:t>
      </w:r>
      <w:r w:rsidRPr="00F96B81">
        <w:rPr>
          <w:lang w:val="mk-MK"/>
        </w:rPr>
        <w:t xml:space="preserve"> за обезбед</w:t>
      </w:r>
      <w:r w:rsidR="00574561">
        <w:rPr>
          <w:lang w:val="mk-MK"/>
        </w:rPr>
        <w:t>ување</w:t>
      </w:r>
      <w:r w:rsidRPr="00F96B81">
        <w:rPr>
          <w:lang w:val="mk-MK"/>
        </w:rPr>
        <w:t xml:space="preserve"> </w:t>
      </w:r>
      <w:r w:rsidR="00574561">
        <w:rPr>
          <w:lang w:val="mk-MK"/>
        </w:rPr>
        <w:t xml:space="preserve">на </w:t>
      </w:r>
      <w:r w:rsidRPr="00F96B81">
        <w:rPr>
          <w:lang w:val="mk-MK"/>
        </w:rPr>
        <w:t xml:space="preserve">натамошниот развој на истражувачките инфраструктури. Главната цел на Акцискиот план е да се прикажат финансиските импликации и да се резимираат клучните чекори што треба да се преземат за да се спроведат активностите и да се постигнат целите на Патоказот. Спроведувањето на Патоказот за ИИ е од клучно значење за </w:t>
      </w:r>
      <w:r w:rsidR="00574561">
        <w:rPr>
          <w:lang w:val="mk-MK"/>
        </w:rPr>
        <w:t>приближувањето на</w:t>
      </w:r>
      <w:r w:rsidR="00574561" w:rsidRPr="00F96B81">
        <w:rPr>
          <w:lang w:val="mk-MK"/>
        </w:rPr>
        <w:t xml:space="preserve"> </w:t>
      </w:r>
      <w:r w:rsidR="00417197">
        <w:rPr>
          <w:lang w:val="mk-MK"/>
        </w:rPr>
        <w:t>Република Северна Македонија</w:t>
      </w:r>
      <w:r w:rsidRPr="00F96B81">
        <w:rPr>
          <w:lang w:val="mk-MK"/>
        </w:rPr>
        <w:t xml:space="preserve"> до првите редови на науката и технологијата</w:t>
      </w:r>
      <w:r w:rsidR="00574561">
        <w:rPr>
          <w:lang w:val="mk-MK"/>
        </w:rPr>
        <w:t>, со што ќе</w:t>
      </w:r>
      <w:r w:rsidRPr="00F96B81">
        <w:rPr>
          <w:lang w:val="mk-MK"/>
        </w:rPr>
        <w:t xml:space="preserve"> стане поконкурентна во регионалната економија.</w:t>
      </w:r>
    </w:p>
    <w:p w14:paraId="0036EF4D" w14:textId="77777777" w:rsidR="00F96B81" w:rsidRPr="00F96B81" w:rsidRDefault="00F96B81" w:rsidP="00F96B81">
      <w:pPr>
        <w:jc w:val="both"/>
        <w:rPr>
          <w:lang w:val="mk-MK"/>
        </w:rPr>
      </w:pPr>
      <w:r w:rsidRPr="00F96B81">
        <w:rPr>
          <w:lang w:val="mk-MK"/>
        </w:rPr>
        <w:t xml:space="preserve">Меѓутоа, воспоставувањето на ИИ има значително влијание врз националниот буџет за наука (кој е доста низок), па оттука се поставува прашањето за нивната долгорочна одржливост. Ова налага општа дебата за да се истражат начините за поефикасно комбинирање на средствата од различни извори и во крајна линија, </w:t>
      </w:r>
      <w:r w:rsidR="00574561">
        <w:rPr>
          <w:lang w:val="mk-MK"/>
        </w:rPr>
        <w:t xml:space="preserve">за </w:t>
      </w:r>
      <w:r w:rsidRPr="00F96B81">
        <w:rPr>
          <w:lang w:val="mk-MK"/>
        </w:rPr>
        <w:t>дефинирање на целите за истражувачките инфраструктури.</w:t>
      </w:r>
    </w:p>
    <w:p w14:paraId="56871997" w14:textId="77777777" w:rsidR="00BF17DA" w:rsidRPr="008662BF" w:rsidRDefault="00F96B81" w:rsidP="007947BF">
      <w:pPr>
        <w:spacing w:after="0"/>
        <w:jc w:val="both"/>
        <w:rPr>
          <w:b/>
          <w:lang w:val="mk-MK"/>
        </w:rPr>
      </w:pPr>
      <w:r w:rsidRPr="008662BF">
        <w:rPr>
          <w:b/>
          <w:lang w:val="mk-MK"/>
        </w:rPr>
        <w:t xml:space="preserve">Поврзување на </w:t>
      </w:r>
      <w:r w:rsidR="00BF17DA" w:rsidRPr="008662BF">
        <w:rPr>
          <w:b/>
          <w:lang w:val="mk-MK"/>
        </w:rPr>
        <w:t>потенцијалот за истражување</w:t>
      </w:r>
      <w:r w:rsidR="00574561">
        <w:rPr>
          <w:b/>
          <w:lang w:val="mk-MK"/>
        </w:rPr>
        <w:t xml:space="preserve"> што е</w:t>
      </w:r>
      <w:r w:rsidR="00BF17DA" w:rsidRPr="008662BF">
        <w:rPr>
          <w:b/>
          <w:lang w:val="mk-MK"/>
        </w:rPr>
        <w:t xml:space="preserve"> </w:t>
      </w:r>
      <w:r>
        <w:rPr>
          <w:b/>
          <w:lang w:val="mk-MK"/>
        </w:rPr>
        <w:t xml:space="preserve">утврден </w:t>
      </w:r>
      <w:r w:rsidR="00BF17DA" w:rsidRPr="008662BF">
        <w:rPr>
          <w:b/>
          <w:lang w:val="mk-MK"/>
        </w:rPr>
        <w:t>во Патоказот за ИИ и идните активности во подготовката на Стратегијата за паметна специјализација</w:t>
      </w:r>
    </w:p>
    <w:p w14:paraId="17ED8DAD" w14:textId="094B9294" w:rsidR="00F96B81" w:rsidRPr="00F96B81" w:rsidRDefault="00F96B81" w:rsidP="00F96B81">
      <w:pPr>
        <w:jc w:val="both"/>
        <w:rPr>
          <w:lang w:val="mk-MK"/>
        </w:rPr>
      </w:pPr>
      <w:r w:rsidRPr="00F96B81">
        <w:rPr>
          <w:lang w:val="mk-MK"/>
        </w:rPr>
        <w:t xml:space="preserve">Бидејќи </w:t>
      </w:r>
      <w:r w:rsidR="00417197">
        <w:rPr>
          <w:lang w:val="mk-MK"/>
        </w:rPr>
        <w:t>Република Северна Македонија</w:t>
      </w:r>
      <w:r w:rsidRPr="00F96B81">
        <w:rPr>
          <w:lang w:val="mk-MK"/>
        </w:rPr>
        <w:t xml:space="preserve"> во моментов е во процес</w:t>
      </w:r>
      <w:r w:rsidR="00574561">
        <w:rPr>
          <w:lang w:val="mk-MK"/>
        </w:rPr>
        <w:t>от</w:t>
      </w:r>
      <w:r w:rsidRPr="00F96B81">
        <w:rPr>
          <w:lang w:val="mk-MK"/>
        </w:rPr>
        <w:t xml:space="preserve"> на подготовка на својата С3, важно е Патоказот за ИИ да се вклучи како влезен документ за следните чекори што ќе доведат до избор на конечните приоритетни области. Постојните истражувачки инфраструктури претставуваат важен водич за мапирање на потенцијалите за истражување и</w:t>
      </w:r>
      <w:r w:rsidR="00574561">
        <w:rPr>
          <w:lang w:val="mk-MK"/>
        </w:rPr>
        <w:t xml:space="preserve"> за</w:t>
      </w:r>
      <w:r w:rsidRPr="00F96B81">
        <w:rPr>
          <w:lang w:val="mk-MK"/>
        </w:rPr>
        <w:t xml:space="preserve"> развој</w:t>
      </w:r>
      <w:r w:rsidR="00574561">
        <w:rPr>
          <w:lang w:val="mk-MK"/>
        </w:rPr>
        <w:t>от</w:t>
      </w:r>
      <w:r w:rsidRPr="00F96B81">
        <w:rPr>
          <w:lang w:val="mk-MK"/>
        </w:rPr>
        <w:t xml:space="preserve"> како неопходн</w:t>
      </w:r>
      <w:r w:rsidR="00574561">
        <w:rPr>
          <w:lang w:val="mk-MK"/>
        </w:rPr>
        <w:t>и</w:t>
      </w:r>
      <w:r w:rsidRPr="00F96B81">
        <w:rPr>
          <w:lang w:val="mk-MK"/>
        </w:rPr>
        <w:t xml:space="preserve"> елемент</w:t>
      </w:r>
      <w:r w:rsidR="00574561">
        <w:rPr>
          <w:lang w:val="mk-MK"/>
        </w:rPr>
        <w:t>и</w:t>
      </w:r>
      <w:r w:rsidRPr="00F96B81">
        <w:rPr>
          <w:lang w:val="mk-MK"/>
        </w:rPr>
        <w:t xml:space="preserve"> за дефинирање на комбинацијата на политики во процесот на имплементација на </w:t>
      </w:r>
      <w:r w:rsidR="00293584">
        <w:rPr>
          <w:lang w:val="mk-MK"/>
        </w:rPr>
        <w:t>С</w:t>
      </w:r>
      <w:r w:rsidRPr="00F96B81">
        <w:rPr>
          <w:lang w:val="mk-MK"/>
        </w:rPr>
        <w:t>3.</w:t>
      </w:r>
    </w:p>
    <w:p w14:paraId="0F60E338" w14:textId="716C2BCE" w:rsidR="00F96B81" w:rsidRPr="00F96B81" w:rsidRDefault="00F96B81" w:rsidP="00F96B81">
      <w:pPr>
        <w:jc w:val="both"/>
        <w:rPr>
          <w:lang w:val="mk-MK"/>
        </w:rPr>
      </w:pPr>
      <w:r w:rsidRPr="00F96B81">
        <w:rPr>
          <w:lang w:val="mk-MK"/>
        </w:rPr>
        <w:lastRenderedPageBreak/>
        <w:t xml:space="preserve">Доколку </w:t>
      </w:r>
      <w:r w:rsidR="00417197">
        <w:rPr>
          <w:lang w:val="mk-MK"/>
        </w:rPr>
        <w:t>Република Северна Македонија</w:t>
      </w:r>
      <w:r w:rsidRPr="00F96B81">
        <w:rPr>
          <w:lang w:val="mk-MK"/>
        </w:rPr>
        <w:t xml:space="preserve"> сака да обезбеди успешна имплементација на 3 и да ги искористи постојните можности, треба да </w:t>
      </w:r>
      <w:r w:rsidR="00C0043F">
        <w:rPr>
          <w:lang w:val="mk-MK"/>
        </w:rPr>
        <w:t>оствари</w:t>
      </w:r>
      <w:r w:rsidR="00C0043F" w:rsidRPr="00F96B81">
        <w:rPr>
          <w:lang w:val="mk-MK"/>
        </w:rPr>
        <w:t xml:space="preserve"> </w:t>
      </w:r>
      <w:r w:rsidRPr="00F96B81">
        <w:rPr>
          <w:lang w:val="mk-MK"/>
        </w:rPr>
        <w:t xml:space="preserve">надградба или изградба на нови истражувачки инфраструктури, како и натамошен развој на истражувачко-иновацискиот потенцијал. Во однос на инвестициите во проекти од национално значење, исто така е соодветно да се инвестира во проекти за ИИ </w:t>
      </w:r>
      <w:r w:rsidR="00C0043F">
        <w:rPr>
          <w:lang w:val="mk-MK"/>
        </w:rPr>
        <w:t>кои</w:t>
      </w:r>
      <w:r w:rsidRPr="00F96B81">
        <w:rPr>
          <w:lang w:val="mk-MK"/>
        </w:rPr>
        <w:t>што ќе придонесат за намалување на развојниот јаз во однос на развиените членки на ЕУ.</w:t>
      </w:r>
    </w:p>
    <w:p w14:paraId="12F985C2" w14:textId="77777777" w:rsidR="00E32479" w:rsidRPr="008662BF" w:rsidRDefault="00E32479" w:rsidP="007947BF">
      <w:pPr>
        <w:spacing w:after="0"/>
        <w:jc w:val="both"/>
        <w:rPr>
          <w:b/>
          <w:lang w:val="mk-MK"/>
        </w:rPr>
      </w:pPr>
      <w:r w:rsidRPr="008662BF">
        <w:rPr>
          <w:b/>
          <w:lang w:val="mk-MK"/>
        </w:rPr>
        <w:t>Зголемување на инвестициите во истражувачки инфраструктури</w:t>
      </w:r>
    </w:p>
    <w:p w14:paraId="098D0F9D" w14:textId="4D366986" w:rsidR="00F96B81" w:rsidRDefault="00F96B81" w:rsidP="00F96B81">
      <w:pPr>
        <w:spacing w:after="0"/>
        <w:jc w:val="both"/>
        <w:rPr>
          <w:lang w:val="mk-MK"/>
        </w:rPr>
      </w:pPr>
      <w:r w:rsidRPr="00F96B81">
        <w:rPr>
          <w:lang w:val="mk-MK"/>
        </w:rPr>
        <w:t xml:space="preserve">Според сегашните податоци, </w:t>
      </w:r>
      <w:r w:rsidR="00417197">
        <w:rPr>
          <w:lang w:val="mk-MK"/>
        </w:rPr>
        <w:t>Република Северна Македонија</w:t>
      </w:r>
      <w:r w:rsidRPr="00F96B81">
        <w:rPr>
          <w:lang w:val="mk-MK"/>
        </w:rPr>
        <w:t xml:space="preserve"> бележи многу скромно ниво на трошоци за истражување и развој во споредба со земјите членки на ЕУ, а целокупната ситуација е уште полоша со оглед на трендот на опаѓање на инвестициите во областа на истражувањето и развојот во последните години. Доколку </w:t>
      </w:r>
      <w:r w:rsidR="00417197">
        <w:rPr>
          <w:lang w:val="mk-MK"/>
        </w:rPr>
        <w:t>Република Северна Македонија</w:t>
      </w:r>
      <w:r w:rsidRPr="00F96B81">
        <w:rPr>
          <w:lang w:val="mk-MK"/>
        </w:rPr>
        <w:t xml:space="preserve"> сака да се израмни со развиените земји, неопходно е да се размисли за поголема распределба од буџетот за истражување и развој, како и за подготовка на мерки за политики што би ги стимулирале истражувачкиот и деловниот сектор повеќе да вложуваат во истражувачки активности.</w:t>
      </w:r>
    </w:p>
    <w:p w14:paraId="039CACFE" w14:textId="77777777" w:rsidR="00F96B81" w:rsidRDefault="00F96B81" w:rsidP="00F96B81">
      <w:pPr>
        <w:spacing w:after="0"/>
        <w:jc w:val="both"/>
        <w:rPr>
          <w:lang w:val="mk-MK"/>
        </w:rPr>
      </w:pPr>
    </w:p>
    <w:p w14:paraId="2CA52D2B" w14:textId="7EBF236C" w:rsidR="00F96B81" w:rsidRPr="00F96B81" w:rsidRDefault="00F96B81" w:rsidP="00F96B81">
      <w:pPr>
        <w:spacing w:after="0"/>
        <w:jc w:val="both"/>
        <w:rPr>
          <w:lang w:val="mk-MK"/>
        </w:rPr>
      </w:pPr>
      <w:r w:rsidRPr="00F96B81">
        <w:rPr>
          <w:lang w:val="mk-MK"/>
        </w:rPr>
        <w:t>Што се однесува до финансирањето на истражувачките инфраструктури</w:t>
      </w:r>
      <w:r w:rsidR="00C0043F">
        <w:rPr>
          <w:lang w:val="mk-MK"/>
        </w:rPr>
        <w:t xml:space="preserve"> во</w:t>
      </w:r>
      <w:r w:rsidRPr="00F96B81">
        <w:rPr>
          <w:lang w:val="mk-MK"/>
        </w:rPr>
        <w:t xml:space="preserve"> </w:t>
      </w:r>
      <w:r w:rsidR="00417197">
        <w:rPr>
          <w:lang w:val="mk-MK"/>
        </w:rPr>
        <w:t>Република Северна Македонија</w:t>
      </w:r>
      <w:r w:rsidR="00C0043F">
        <w:rPr>
          <w:lang w:val="mk-MK"/>
        </w:rPr>
        <w:t>,</w:t>
      </w:r>
      <w:r w:rsidRPr="00F96B81">
        <w:rPr>
          <w:lang w:val="mk-MK"/>
        </w:rPr>
        <w:t xml:space="preserve"> треба да</w:t>
      </w:r>
      <w:r w:rsidR="00C0043F">
        <w:rPr>
          <w:lang w:val="mk-MK"/>
        </w:rPr>
        <w:t xml:space="preserve"> се</w:t>
      </w:r>
      <w:r w:rsidRPr="00F96B81">
        <w:rPr>
          <w:lang w:val="mk-MK"/>
        </w:rPr>
        <w:t xml:space="preserve"> размисли за спроведување на втор</w:t>
      </w:r>
      <w:r w:rsidR="00C0043F">
        <w:rPr>
          <w:lang w:val="mk-MK"/>
        </w:rPr>
        <w:t>иот</w:t>
      </w:r>
      <w:r w:rsidRPr="00F96B81">
        <w:rPr>
          <w:lang w:val="mk-MK"/>
        </w:rPr>
        <w:t xml:space="preserve"> круг на поддршката на истражувачките лаборатории, што првично беше спроведена од страна на Министерството за образование и наука во 2010 година. Со оглед на тоа дека е поминат временски период од 10 години, опремата за истражување во голема мера </w:t>
      </w:r>
      <w:r w:rsidR="00C0043F" w:rsidRPr="00F96B81">
        <w:rPr>
          <w:lang w:val="mk-MK"/>
        </w:rPr>
        <w:t xml:space="preserve">е </w:t>
      </w:r>
      <w:r w:rsidRPr="00F96B81">
        <w:rPr>
          <w:lang w:val="mk-MK"/>
        </w:rPr>
        <w:t xml:space="preserve">застарена и потребни се дополнителни инвестиции за да им се овозможи на истражувачките институции да работат со најсовремената опрема за истражување. Втората програма за финансиска поддршка ќе придонесе за обезбедување на најсовремена истражувачка опрема за универзитетите и </w:t>
      </w:r>
      <w:r w:rsidR="00C0043F">
        <w:rPr>
          <w:lang w:val="mk-MK"/>
        </w:rPr>
        <w:t xml:space="preserve">за </w:t>
      </w:r>
      <w:r w:rsidRPr="00F96B81">
        <w:rPr>
          <w:lang w:val="mk-MK"/>
        </w:rPr>
        <w:t xml:space="preserve">другите истражувачки институции и </w:t>
      </w:r>
      <w:r w:rsidR="00C0043F">
        <w:rPr>
          <w:lang w:val="mk-MK"/>
        </w:rPr>
        <w:t xml:space="preserve">за </w:t>
      </w:r>
      <w:r w:rsidRPr="00F96B81">
        <w:rPr>
          <w:lang w:val="mk-MK"/>
        </w:rPr>
        <w:t>нивна поддршка во спроведувањето на нивните меѓународни научни проекти.</w:t>
      </w:r>
    </w:p>
    <w:p w14:paraId="57C29A7E" w14:textId="77777777" w:rsidR="00E32479" w:rsidRPr="008662BF" w:rsidRDefault="00E32479" w:rsidP="007947BF">
      <w:pPr>
        <w:spacing w:after="0"/>
        <w:jc w:val="both"/>
        <w:rPr>
          <w:b/>
          <w:lang w:val="mk-MK"/>
        </w:rPr>
      </w:pPr>
    </w:p>
    <w:p w14:paraId="5FADC5BD" w14:textId="77777777" w:rsidR="007947BF" w:rsidRPr="008662BF" w:rsidRDefault="00E32479" w:rsidP="007947BF">
      <w:pPr>
        <w:spacing w:after="0"/>
        <w:jc w:val="both"/>
        <w:rPr>
          <w:b/>
          <w:lang w:val="mk-MK"/>
        </w:rPr>
      </w:pPr>
      <w:r w:rsidRPr="008662BF">
        <w:rPr>
          <w:b/>
          <w:lang w:val="mk-MK"/>
        </w:rPr>
        <w:t xml:space="preserve">Подобрување на рамката на политики </w:t>
      </w:r>
    </w:p>
    <w:p w14:paraId="2887C811" w14:textId="6CADCB8E" w:rsidR="00F96B81" w:rsidRPr="00F96B81" w:rsidRDefault="00F96B81" w:rsidP="00F96B81">
      <w:pPr>
        <w:jc w:val="both"/>
        <w:rPr>
          <w:lang w:val="mk-MK"/>
        </w:rPr>
      </w:pPr>
      <w:r w:rsidRPr="00F96B81">
        <w:rPr>
          <w:lang w:val="mk-MK"/>
        </w:rPr>
        <w:t xml:space="preserve">Истражувачкиот систем во </w:t>
      </w:r>
      <w:r w:rsidR="00417197">
        <w:rPr>
          <w:lang w:val="mk-MK"/>
        </w:rPr>
        <w:t>Република Северна Македонија</w:t>
      </w:r>
      <w:r w:rsidRPr="00F96B81">
        <w:rPr>
          <w:lang w:val="mk-MK"/>
        </w:rPr>
        <w:t xml:space="preserve"> се карактеризира со отсуство на стратегија за развој на науката и истражувањето. Прегледот на тековните стратешки документи во областа на истражувањето и развојот покажа дека не постои Национална програма за научно-истражувачка дејност во </w:t>
      </w:r>
      <w:r w:rsidR="00417197">
        <w:rPr>
          <w:lang w:val="mk-MK"/>
        </w:rPr>
        <w:t>Република Северна Македонија</w:t>
      </w:r>
      <w:r w:rsidRPr="00F96B81">
        <w:rPr>
          <w:lang w:val="mk-MK"/>
        </w:rPr>
        <w:t>. Отсуството на овој стратешки документ претставува одредена пречка во спроведувањето на Патоказот за истражувачки инфраструктури поради недостатокот на стратешка основа и рамка. Со оглед на важноста на овој стратешки документ за дефинирање на стратешките насоки и приоритети и</w:t>
      </w:r>
      <w:r w:rsidR="00C0043F">
        <w:rPr>
          <w:lang w:val="mk-MK"/>
        </w:rPr>
        <w:t xml:space="preserve"> на</w:t>
      </w:r>
      <w:r w:rsidRPr="00F96B81">
        <w:rPr>
          <w:lang w:val="mk-MK"/>
        </w:rPr>
        <w:t xml:space="preserve"> идниот развој на истражувачките активности во </w:t>
      </w:r>
      <w:r w:rsidR="00417197">
        <w:rPr>
          <w:lang w:val="mk-MK"/>
        </w:rPr>
        <w:t>Република Северна Македонија</w:t>
      </w:r>
      <w:r w:rsidRPr="00F96B81">
        <w:rPr>
          <w:lang w:val="mk-MK"/>
        </w:rPr>
        <w:t xml:space="preserve">, Националниот совет за високо образование и научно-истражувачка дејност треба да изготви Национална програма за научно-истражувачка дејност на </w:t>
      </w:r>
      <w:r w:rsidR="00417197">
        <w:rPr>
          <w:lang w:val="mk-MK"/>
        </w:rPr>
        <w:t>Република Северна Македонија</w:t>
      </w:r>
      <w:r w:rsidRPr="00F96B81">
        <w:rPr>
          <w:lang w:val="mk-MK"/>
        </w:rPr>
        <w:t>.</w:t>
      </w:r>
    </w:p>
    <w:p w14:paraId="7C12F6EF" w14:textId="01587C9C" w:rsidR="00F96B81" w:rsidRPr="00F96B81" w:rsidRDefault="00F96B81" w:rsidP="00F96B81">
      <w:pPr>
        <w:jc w:val="both"/>
        <w:rPr>
          <w:lang w:val="mk-MK"/>
        </w:rPr>
      </w:pPr>
      <w:r w:rsidRPr="00F96B81">
        <w:rPr>
          <w:lang w:val="mk-MK"/>
        </w:rPr>
        <w:t xml:space="preserve">Терминот „истражувачка инфраструктура“ е препознаен и јасно дефиниран во тековната верзија на Законот за научно-истражувачката дејност; меѓутоа, </w:t>
      </w:r>
      <w:r w:rsidR="00C0043F">
        <w:rPr>
          <w:lang w:val="mk-MK"/>
        </w:rPr>
        <w:t>в</w:t>
      </w:r>
      <w:r w:rsidRPr="00F96B81">
        <w:rPr>
          <w:lang w:val="mk-MK"/>
        </w:rPr>
        <w:t>о следните измени и дополнувања на овој закон пожелно е да се даде дефиниција за „Патоказот за ИИ“</w:t>
      </w:r>
      <w:r w:rsidR="00C0043F">
        <w:rPr>
          <w:lang w:val="mk-MK"/>
        </w:rPr>
        <w:t xml:space="preserve"> со</w:t>
      </w:r>
      <w:r w:rsidRPr="00F96B81">
        <w:rPr>
          <w:lang w:val="mk-MK"/>
        </w:rPr>
        <w:t xml:space="preserve"> што ќе </w:t>
      </w:r>
      <w:r w:rsidR="00C0043F">
        <w:rPr>
          <w:lang w:val="mk-MK"/>
        </w:rPr>
        <w:t>се</w:t>
      </w:r>
      <w:r w:rsidRPr="00F96B81">
        <w:rPr>
          <w:lang w:val="mk-MK"/>
        </w:rPr>
        <w:t xml:space="preserve"> опфа</w:t>
      </w:r>
      <w:r w:rsidR="00C0043F">
        <w:rPr>
          <w:lang w:val="mk-MK"/>
        </w:rPr>
        <w:t>ти</w:t>
      </w:r>
      <w:r w:rsidRPr="00F96B81">
        <w:rPr>
          <w:lang w:val="mk-MK"/>
        </w:rPr>
        <w:t xml:space="preserve"> неговата јасна цел и ќе</w:t>
      </w:r>
      <w:r w:rsidR="00C0043F">
        <w:rPr>
          <w:lang w:val="mk-MK"/>
        </w:rPr>
        <w:t xml:space="preserve"> се</w:t>
      </w:r>
      <w:r w:rsidRPr="00F96B81">
        <w:rPr>
          <w:lang w:val="mk-MK"/>
        </w:rPr>
        <w:t xml:space="preserve"> обезбеди правна основа за подготовката и донесувањето на овој документ за политика.</w:t>
      </w:r>
    </w:p>
    <w:p w14:paraId="7E9828F4" w14:textId="77777777" w:rsidR="00F96B81" w:rsidRPr="00F96B81" w:rsidRDefault="00F96B81" w:rsidP="00F96B81">
      <w:pPr>
        <w:jc w:val="both"/>
        <w:rPr>
          <w:lang w:val="mk-MK"/>
        </w:rPr>
      </w:pPr>
      <w:r w:rsidRPr="00F96B81">
        <w:rPr>
          <w:lang w:val="mk-MK"/>
        </w:rPr>
        <w:lastRenderedPageBreak/>
        <w:t xml:space="preserve">Министерството за образование и наука треба да воспостави партнерство со NOSCI.mk и заеднички да работи на вклучување на отворената наука, </w:t>
      </w:r>
      <w:r w:rsidR="00573A1C">
        <w:rPr>
          <w:lang w:val="mk-MK"/>
        </w:rPr>
        <w:t xml:space="preserve">на </w:t>
      </w:r>
      <w:r w:rsidRPr="00F96B81">
        <w:rPr>
          <w:lang w:val="mk-MK"/>
        </w:rPr>
        <w:t>отворениот пристап и</w:t>
      </w:r>
      <w:r w:rsidR="00573A1C">
        <w:rPr>
          <w:lang w:val="mk-MK"/>
        </w:rPr>
        <w:t xml:space="preserve"> на</w:t>
      </w:r>
      <w:r w:rsidRPr="00F96B81">
        <w:rPr>
          <w:lang w:val="mk-MK"/>
        </w:rPr>
        <w:t xml:space="preserve"> отворените инфраструктури во националната правна рамка за истражување и образование.</w:t>
      </w:r>
    </w:p>
    <w:p w14:paraId="2E681BD7" w14:textId="7A65EBCD" w:rsidR="00F96B81" w:rsidRPr="00F96B81" w:rsidRDefault="00F96B81" w:rsidP="00F96B81">
      <w:pPr>
        <w:jc w:val="both"/>
        <w:rPr>
          <w:lang w:val="mk-MK"/>
        </w:rPr>
      </w:pPr>
      <w:r w:rsidRPr="00F96B81">
        <w:rPr>
          <w:lang w:val="mk-MK"/>
        </w:rPr>
        <w:t xml:space="preserve">Министерството за образование и наука, исто така, треба да размисли за </w:t>
      </w:r>
      <w:r w:rsidR="006305C0">
        <w:rPr>
          <w:lang w:val="mk-MK"/>
        </w:rPr>
        <w:t>приспособување</w:t>
      </w:r>
      <w:r w:rsidRPr="00F96B81">
        <w:rPr>
          <w:lang w:val="mk-MK"/>
        </w:rPr>
        <w:t xml:space="preserve"> на националната правна рамка за оценување на академскиот напредок и да го усогласи со тековните трендови на ЕУ, кои во голема мера се потпираат на принципите на отворената наука и </w:t>
      </w:r>
      <w:r w:rsidR="00573A1C">
        <w:rPr>
          <w:lang w:val="mk-MK"/>
        </w:rPr>
        <w:t xml:space="preserve">на </w:t>
      </w:r>
      <w:r w:rsidRPr="00F96B81">
        <w:rPr>
          <w:lang w:val="mk-MK"/>
        </w:rPr>
        <w:t>ФАИР</w:t>
      </w:r>
      <w:r w:rsidR="00573A1C">
        <w:rPr>
          <w:lang w:val="mk-MK"/>
        </w:rPr>
        <w:t>-</w:t>
      </w:r>
      <w:r w:rsidRPr="00F96B81">
        <w:rPr>
          <w:lang w:val="mk-MK"/>
        </w:rPr>
        <w:t>податоци</w:t>
      </w:r>
      <w:r w:rsidR="00573A1C">
        <w:rPr>
          <w:lang w:val="mk-MK"/>
        </w:rPr>
        <w:t>те</w:t>
      </w:r>
      <w:r w:rsidRPr="00F96B81">
        <w:rPr>
          <w:lang w:val="mk-MK"/>
        </w:rPr>
        <w:t xml:space="preserve"> (податоци </w:t>
      </w:r>
      <w:r w:rsidR="00573A1C">
        <w:rPr>
          <w:lang w:val="mk-MK"/>
        </w:rPr>
        <w:t>што</w:t>
      </w:r>
      <w:r w:rsidRPr="00F96B81">
        <w:rPr>
          <w:lang w:val="mk-MK"/>
        </w:rPr>
        <w:t xml:space="preserve"> може да се пронајдат, </w:t>
      </w:r>
      <w:r w:rsidR="00573A1C">
        <w:rPr>
          <w:lang w:val="mk-MK"/>
        </w:rPr>
        <w:t>што</w:t>
      </w:r>
      <w:r w:rsidRPr="00F96B81">
        <w:rPr>
          <w:lang w:val="mk-MK"/>
        </w:rPr>
        <w:t xml:space="preserve"> се пристапни, интероперабилни и</w:t>
      </w:r>
      <w:r w:rsidR="00573A1C">
        <w:rPr>
          <w:lang w:val="mk-MK"/>
        </w:rPr>
        <w:t xml:space="preserve"> што</w:t>
      </w:r>
      <w:r w:rsidRPr="00F96B81">
        <w:rPr>
          <w:lang w:val="mk-MK"/>
        </w:rPr>
        <w:t xml:space="preserve"> мож</w:t>
      </w:r>
      <w:r w:rsidR="00573A1C">
        <w:rPr>
          <w:lang w:val="mk-MK"/>
        </w:rPr>
        <w:t>ат</w:t>
      </w:r>
      <w:r w:rsidRPr="00F96B81">
        <w:rPr>
          <w:lang w:val="mk-MK"/>
        </w:rPr>
        <w:t xml:space="preserve"> повторно да се искористат).</w:t>
      </w:r>
    </w:p>
    <w:p w14:paraId="6B00E30A" w14:textId="77777777" w:rsidR="00B767FB" w:rsidRPr="008662BF" w:rsidRDefault="00B767FB" w:rsidP="00B767FB">
      <w:pPr>
        <w:spacing w:after="0"/>
        <w:jc w:val="both"/>
        <w:rPr>
          <w:b/>
          <w:lang w:val="mk-MK"/>
        </w:rPr>
      </w:pPr>
      <w:r w:rsidRPr="008662BF">
        <w:rPr>
          <w:b/>
          <w:lang w:val="mk-MK"/>
        </w:rPr>
        <w:t>Поддршка за развојот на е-инфраструктура</w:t>
      </w:r>
    </w:p>
    <w:p w14:paraId="1C12F1F8" w14:textId="5683B07F" w:rsidR="00F96B81" w:rsidRPr="00F96B81" w:rsidRDefault="00F96B81" w:rsidP="00F96B81">
      <w:pPr>
        <w:jc w:val="both"/>
        <w:rPr>
          <w:lang w:val="mk-MK"/>
        </w:rPr>
      </w:pPr>
      <w:r w:rsidRPr="00F96B81">
        <w:rPr>
          <w:lang w:val="mk-MK"/>
        </w:rPr>
        <w:t xml:space="preserve">Силната и квалитетна е-инфраструктура претставува основа и услов за идниот развој на истражувачкиот систем во </w:t>
      </w:r>
      <w:r w:rsidR="00417197">
        <w:rPr>
          <w:lang w:val="mk-MK"/>
        </w:rPr>
        <w:t>Република Северна Македонија</w:t>
      </w:r>
      <w:r w:rsidRPr="00F96B81">
        <w:rPr>
          <w:lang w:val="mk-MK"/>
        </w:rPr>
        <w:t xml:space="preserve">. Во стратешка смисла, </w:t>
      </w:r>
      <w:r w:rsidR="00417197">
        <w:rPr>
          <w:lang w:val="mk-MK"/>
        </w:rPr>
        <w:t>Република Северна Македонија</w:t>
      </w:r>
      <w:r w:rsidRPr="00F96B81">
        <w:rPr>
          <w:lang w:val="mk-MK"/>
        </w:rPr>
        <w:t xml:space="preserve"> треба да обезбеди многу поголема поддршка на е-инфраструктурата о</w:t>
      </w:r>
      <w:r w:rsidR="00573A1C">
        <w:rPr>
          <w:lang w:val="mk-MK"/>
        </w:rPr>
        <w:t>д до</w:t>
      </w:r>
      <w:r w:rsidRPr="00F96B81">
        <w:rPr>
          <w:lang w:val="mk-MK"/>
        </w:rPr>
        <w:t xml:space="preserve">сега. Неопходно е да се направат подобри планови за координиран развој на е-инфраструктурата, за </w:t>
      </w:r>
      <w:r w:rsidR="00033470" w:rsidRPr="00F96B81">
        <w:rPr>
          <w:lang w:val="mk-MK"/>
        </w:rPr>
        <w:t xml:space="preserve">да можат </w:t>
      </w:r>
      <w:r w:rsidRPr="00F96B81">
        <w:rPr>
          <w:lang w:val="mk-MK"/>
        </w:rPr>
        <w:t xml:space="preserve">потребните средства навремено да се распределат. </w:t>
      </w:r>
      <w:r w:rsidR="00417197">
        <w:rPr>
          <w:lang w:val="mk-MK"/>
        </w:rPr>
        <w:t>Република Северна Македонија</w:t>
      </w:r>
      <w:r w:rsidRPr="00F96B81">
        <w:rPr>
          <w:lang w:val="mk-MK"/>
        </w:rPr>
        <w:t xml:space="preserve"> треба да воведе мерки за поттикнување на истражувачките институции да реализираат заеднички инвестиции во е-инфраструктура во кои секоја од страните ќе може да го покаже својот интерес за развој на е-инфраструктурата преку партнерство.</w:t>
      </w:r>
    </w:p>
    <w:p w14:paraId="1DD969F9" w14:textId="77777777" w:rsidR="00F96B81" w:rsidRPr="00F96B81" w:rsidRDefault="00F96B81" w:rsidP="00F96B81">
      <w:pPr>
        <w:jc w:val="both"/>
        <w:rPr>
          <w:lang w:val="mk-MK"/>
        </w:rPr>
      </w:pPr>
      <w:r w:rsidRPr="00F96B81">
        <w:rPr>
          <w:lang w:val="mk-MK"/>
        </w:rPr>
        <w:t>Министерството за образование и наука треба да ја поттикне иницијативата за определување и дигитализирање на разни збирки евиденција што постојат во истражувачките центри.</w:t>
      </w:r>
    </w:p>
    <w:p w14:paraId="38C335BF" w14:textId="77777777" w:rsidR="00F96B81" w:rsidRDefault="00F96B81" w:rsidP="00F96B81">
      <w:pPr>
        <w:spacing w:after="0"/>
        <w:jc w:val="both"/>
        <w:rPr>
          <w:lang w:val="mk-MK"/>
        </w:rPr>
      </w:pPr>
      <w:r w:rsidRPr="00F96B81">
        <w:rPr>
          <w:lang w:val="mk-MK"/>
        </w:rPr>
        <w:t>Дополнителните препораки се однесуваат на следново:</w:t>
      </w:r>
    </w:p>
    <w:p w14:paraId="33F1B462" w14:textId="77777777" w:rsidR="00AA35A9" w:rsidRPr="008662BF" w:rsidRDefault="00AA35A9" w:rsidP="00AA35A9">
      <w:pPr>
        <w:pStyle w:val="ListParagraph"/>
        <w:numPr>
          <w:ilvl w:val="0"/>
          <w:numId w:val="46"/>
        </w:numPr>
        <w:spacing w:after="0"/>
        <w:jc w:val="both"/>
        <w:rPr>
          <w:lang w:val="mk-MK"/>
        </w:rPr>
      </w:pPr>
      <w:r w:rsidRPr="008662BF">
        <w:rPr>
          <w:lang w:val="mk-MK"/>
        </w:rPr>
        <w:t xml:space="preserve">Интензивирање на дигитализацијата на секторот за истражување и иновации, особено </w:t>
      </w:r>
      <w:r w:rsidR="00033470">
        <w:rPr>
          <w:lang w:val="mk-MK"/>
        </w:rPr>
        <w:t xml:space="preserve">на </w:t>
      </w:r>
      <w:r w:rsidRPr="008662BF">
        <w:rPr>
          <w:lang w:val="mk-MK"/>
        </w:rPr>
        <w:t>процесот на идентификација и дигитализација на различни збирки и</w:t>
      </w:r>
      <w:r w:rsidR="00033470">
        <w:rPr>
          <w:lang w:val="mk-MK"/>
        </w:rPr>
        <w:t xml:space="preserve"> на</w:t>
      </w:r>
      <w:r w:rsidRPr="008662BF">
        <w:rPr>
          <w:lang w:val="mk-MK"/>
        </w:rPr>
        <w:t xml:space="preserve"> други содржини од национално значење;</w:t>
      </w:r>
    </w:p>
    <w:p w14:paraId="5AA1DED4" w14:textId="77777777" w:rsidR="00AA35A9" w:rsidRPr="008662BF" w:rsidRDefault="00AA35A9" w:rsidP="00AA35A9">
      <w:pPr>
        <w:pStyle w:val="ListParagraph"/>
        <w:numPr>
          <w:ilvl w:val="0"/>
          <w:numId w:val="46"/>
        </w:numPr>
        <w:spacing w:after="0"/>
        <w:jc w:val="both"/>
        <w:rPr>
          <w:lang w:val="mk-MK"/>
        </w:rPr>
      </w:pPr>
      <w:r w:rsidRPr="008662BF">
        <w:rPr>
          <w:lang w:val="mk-MK"/>
        </w:rPr>
        <w:t>Неопходно е да се интензивира работата на создавање предуслови за отворен пристап до податоците од истражувањата;</w:t>
      </w:r>
    </w:p>
    <w:p w14:paraId="0EEE52F2" w14:textId="77777777" w:rsidR="00AA35A9" w:rsidRPr="008662BF" w:rsidRDefault="00AA35A9" w:rsidP="00AA35A9">
      <w:pPr>
        <w:pStyle w:val="ListParagraph"/>
        <w:numPr>
          <w:ilvl w:val="0"/>
          <w:numId w:val="46"/>
        </w:numPr>
        <w:spacing w:after="0"/>
        <w:jc w:val="both"/>
        <w:rPr>
          <w:lang w:val="mk-MK"/>
        </w:rPr>
      </w:pPr>
      <w:r w:rsidRPr="008662BF">
        <w:rPr>
          <w:lang w:val="mk-MK"/>
        </w:rPr>
        <w:t>Подобрување на информациите и зајакнување на поддршката на корисниците за отворен пристап и максимално користење на постојната инфраструктура.</w:t>
      </w:r>
    </w:p>
    <w:p w14:paraId="67F0BEEA" w14:textId="77777777" w:rsidR="00AA35A9" w:rsidRPr="008662BF" w:rsidRDefault="00AA35A9" w:rsidP="007947BF">
      <w:pPr>
        <w:spacing w:after="0"/>
        <w:jc w:val="both"/>
        <w:rPr>
          <w:rFonts w:cstheme="minorHAnsi"/>
          <w:b/>
          <w:lang w:val="mk-MK"/>
        </w:rPr>
      </w:pPr>
    </w:p>
    <w:p w14:paraId="19D90F45" w14:textId="77777777" w:rsidR="00AA35A9" w:rsidRPr="008662BF" w:rsidRDefault="00AA35A9" w:rsidP="00AA35A9">
      <w:pPr>
        <w:spacing w:after="0"/>
        <w:jc w:val="both"/>
        <w:rPr>
          <w:rFonts w:cstheme="minorHAnsi"/>
          <w:b/>
          <w:lang w:val="mk-MK"/>
        </w:rPr>
      </w:pPr>
      <w:r w:rsidRPr="008662BF">
        <w:rPr>
          <w:rFonts w:cstheme="minorHAnsi"/>
          <w:b/>
          <w:lang w:val="mk-MK"/>
        </w:rPr>
        <w:t>Разгледување опции за поактивно учество во Големите европски истражувачки инфраструктури</w:t>
      </w:r>
    </w:p>
    <w:p w14:paraId="372B9200" w14:textId="272359C3" w:rsidR="00F96B81" w:rsidRDefault="00F96B81" w:rsidP="00F96B81">
      <w:pPr>
        <w:spacing w:after="0"/>
        <w:jc w:val="both"/>
        <w:rPr>
          <w:rFonts w:cstheme="minorHAnsi"/>
          <w:lang w:val="mk-MK"/>
        </w:rPr>
      </w:pPr>
      <w:r w:rsidRPr="00F96B81">
        <w:rPr>
          <w:rFonts w:cstheme="minorHAnsi"/>
          <w:lang w:val="mk-MK"/>
        </w:rPr>
        <w:t xml:space="preserve">Вреди да се спомене дека и покрај незавидната состојба на науката и истражувањето, институциите на </w:t>
      </w:r>
      <w:r w:rsidR="00417197">
        <w:rPr>
          <w:rFonts w:cstheme="minorHAnsi"/>
          <w:lang w:val="mk-MK"/>
        </w:rPr>
        <w:t>Република Северна Македонија</w:t>
      </w:r>
      <w:r w:rsidRPr="00F96B81">
        <w:rPr>
          <w:rFonts w:cstheme="minorHAnsi"/>
          <w:lang w:val="mk-MK"/>
        </w:rPr>
        <w:t xml:space="preserve"> учествуваа во неколку европски истражувачки инфраструктури. Меѓутоа, </w:t>
      </w:r>
      <w:r w:rsidR="00033470">
        <w:rPr>
          <w:rFonts w:cstheme="minorHAnsi"/>
          <w:lang w:val="mk-MK"/>
        </w:rPr>
        <w:t xml:space="preserve">во земјава </w:t>
      </w:r>
      <w:r w:rsidRPr="00F96B81">
        <w:rPr>
          <w:rFonts w:cstheme="minorHAnsi"/>
          <w:lang w:val="mk-MK"/>
        </w:rPr>
        <w:t>треба да</w:t>
      </w:r>
      <w:r w:rsidR="00033470">
        <w:rPr>
          <w:rFonts w:cstheme="minorHAnsi"/>
          <w:lang w:val="mk-MK"/>
        </w:rPr>
        <w:t xml:space="preserve"> се</w:t>
      </w:r>
      <w:r w:rsidRPr="00F96B81">
        <w:rPr>
          <w:rFonts w:cstheme="minorHAnsi"/>
          <w:lang w:val="mk-MK"/>
        </w:rPr>
        <w:t xml:space="preserve"> размисл</w:t>
      </w:r>
      <w:r w:rsidR="00033470">
        <w:rPr>
          <w:rFonts w:cstheme="minorHAnsi"/>
          <w:lang w:val="mk-MK"/>
        </w:rPr>
        <w:t>ува</w:t>
      </w:r>
      <w:r w:rsidRPr="00F96B81">
        <w:rPr>
          <w:rFonts w:cstheme="minorHAnsi"/>
          <w:lang w:val="mk-MK"/>
        </w:rPr>
        <w:t xml:space="preserve"> за воведување на инструменти за политики што ќе доведат до поголемо учество во големите паневропски истражувачки инфраструктури. Придобивките од пристапот на истражувачи и истражувачки институции до големи истражувачки инфраструктури се повеќекратни и главно се однесуваат на: градење капацитети, спроведување истражувачки проекти на високо ниво што не можат да се спроведат во земјата поради недостаток на соодветна опрема, зајакнување на националната научна извонредност итн.</w:t>
      </w:r>
    </w:p>
    <w:p w14:paraId="1D8CCBDD" w14:textId="77777777" w:rsidR="00F96B81" w:rsidRDefault="00F96B81" w:rsidP="00F96B81">
      <w:pPr>
        <w:spacing w:after="0"/>
        <w:jc w:val="both"/>
        <w:rPr>
          <w:rFonts w:cstheme="minorHAnsi"/>
          <w:lang w:val="mk-MK"/>
        </w:rPr>
      </w:pPr>
    </w:p>
    <w:p w14:paraId="3D75AA29" w14:textId="6FE24ECA" w:rsidR="00F96B81" w:rsidRPr="00F96B81" w:rsidRDefault="00F96B81" w:rsidP="00F96B81">
      <w:pPr>
        <w:spacing w:after="0"/>
        <w:jc w:val="both"/>
        <w:rPr>
          <w:rFonts w:cstheme="minorHAnsi"/>
          <w:lang w:val="mk-MK"/>
        </w:rPr>
      </w:pPr>
      <w:r w:rsidRPr="00F96B81">
        <w:rPr>
          <w:rFonts w:cstheme="minorHAnsi"/>
          <w:lang w:val="mk-MK"/>
        </w:rPr>
        <w:t xml:space="preserve">Релевантните министерства треба да обезбедат финансиска поддршка за членството на заинтересираните институции од </w:t>
      </w:r>
      <w:r w:rsidR="00417197">
        <w:rPr>
          <w:rFonts w:cstheme="minorHAnsi"/>
          <w:lang w:val="mk-MK"/>
        </w:rPr>
        <w:t>Република Северна Македонија</w:t>
      </w:r>
      <w:r w:rsidRPr="00F96B81">
        <w:rPr>
          <w:rFonts w:cstheme="minorHAnsi"/>
          <w:lang w:val="mk-MK"/>
        </w:rPr>
        <w:t xml:space="preserve"> во големи</w:t>
      </w:r>
      <w:r w:rsidR="00033470">
        <w:rPr>
          <w:rFonts w:cstheme="minorHAnsi"/>
          <w:lang w:val="mk-MK"/>
        </w:rPr>
        <w:t>те</w:t>
      </w:r>
      <w:r w:rsidRPr="00F96B81">
        <w:rPr>
          <w:rFonts w:cstheme="minorHAnsi"/>
          <w:lang w:val="mk-MK"/>
        </w:rPr>
        <w:t xml:space="preserve"> ИИ и асоцијации, </w:t>
      </w:r>
      <w:r w:rsidRPr="00F96B81">
        <w:rPr>
          <w:rFonts w:cstheme="minorHAnsi"/>
          <w:lang w:val="mk-MK"/>
        </w:rPr>
        <w:lastRenderedPageBreak/>
        <w:t>откако претходно ќе се определат и предложат соодветни ИИ на ESFRI/ERIC за кои постои интерес и капацитети за членство.</w:t>
      </w:r>
    </w:p>
    <w:p w14:paraId="660DCEAB" w14:textId="77777777" w:rsidR="00AA35A9" w:rsidRPr="008662BF" w:rsidRDefault="00AA35A9" w:rsidP="007947BF">
      <w:pPr>
        <w:spacing w:after="0"/>
        <w:jc w:val="both"/>
        <w:rPr>
          <w:rFonts w:cstheme="minorHAnsi"/>
          <w:b/>
          <w:lang w:val="mk-MK"/>
        </w:rPr>
      </w:pPr>
    </w:p>
    <w:p w14:paraId="3ABE65EA" w14:textId="77777777" w:rsidR="00AA35A9" w:rsidRPr="008662BF" w:rsidRDefault="00AA35A9" w:rsidP="00AA35A9">
      <w:pPr>
        <w:spacing w:after="0"/>
        <w:jc w:val="both"/>
        <w:rPr>
          <w:rFonts w:cstheme="minorHAnsi"/>
          <w:b/>
          <w:lang w:val="mk-MK"/>
        </w:rPr>
      </w:pPr>
      <w:r w:rsidRPr="008662BF">
        <w:rPr>
          <w:rFonts w:cstheme="minorHAnsi"/>
          <w:b/>
          <w:lang w:val="mk-MK"/>
        </w:rPr>
        <w:t>Дефинирање политики</w:t>
      </w:r>
      <w:r w:rsidR="00033470">
        <w:rPr>
          <w:rFonts w:cstheme="minorHAnsi"/>
          <w:b/>
          <w:lang w:val="mk-MK"/>
        </w:rPr>
        <w:t>те</w:t>
      </w:r>
      <w:r w:rsidRPr="008662BF">
        <w:rPr>
          <w:rFonts w:cstheme="minorHAnsi"/>
          <w:b/>
          <w:lang w:val="mk-MK"/>
        </w:rPr>
        <w:t xml:space="preserve"> за </w:t>
      </w:r>
      <w:r w:rsidR="00F96B81">
        <w:rPr>
          <w:rFonts w:cstheme="minorHAnsi"/>
          <w:b/>
          <w:lang w:val="mk-MK"/>
        </w:rPr>
        <w:t xml:space="preserve">отворен пристап за истражувачките </w:t>
      </w:r>
      <w:r w:rsidRPr="008662BF">
        <w:rPr>
          <w:rFonts w:cstheme="minorHAnsi"/>
          <w:b/>
          <w:lang w:val="mk-MK"/>
        </w:rPr>
        <w:t>инфраструктури</w:t>
      </w:r>
    </w:p>
    <w:p w14:paraId="35589C26" w14:textId="026D51B1" w:rsidR="00F96B81" w:rsidRPr="00F96B81" w:rsidRDefault="00F96B81" w:rsidP="00F96B81">
      <w:pPr>
        <w:spacing w:after="120"/>
        <w:jc w:val="both"/>
        <w:rPr>
          <w:rFonts w:cstheme="minorHAnsi"/>
          <w:lang w:val="mk-MK"/>
        </w:rPr>
      </w:pPr>
      <w:r w:rsidRPr="00F96B81">
        <w:rPr>
          <w:rFonts w:cstheme="minorHAnsi"/>
          <w:lang w:val="mk-MK"/>
        </w:rPr>
        <w:t xml:space="preserve">Како резултат на Програмата за поддршка на отворениот пристап до истражувачката инфраструктура во Западен Балкан, спроведена од Секретаријатот на РЦЦ во 2020 година, 4 истражувачки институции во </w:t>
      </w:r>
      <w:r w:rsidR="00417197">
        <w:rPr>
          <w:rFonts w:cstheme="minorHAnsi"/>
          <w:lang w:val="mk-MK"/>
        </w:rPr>
        <w:t>Република Северна Македонија</w:t>
      </w:r>
      <w:r w:rsidRPr="00F96B81">
        <w:rPr>
          <w:rFonts w:cstheme="minorHAnsi"/>
          <w:lang w:val="mk-MK"/>
        </w:rPr>
        <w:t xml:space="preserve"> подготвија документ за Политика за отворен пристап до ИИ. Врз основа на искуството </w:t>
      </w:r>
      <w:r w:rsidR="00033470">
        <w:rPr>
          <w:rFonts w:cstheme="minorHAnsi"/>
          <w:lang w:val="mk-MK"/>
        </w:rPr>
        <w:t xml:space="preserve">што е </w:t>
      </w:r>
      <w:r w:rsidRPr="00F96B81">
        <w:rPr>
          <w:rFonts w:cstheme="minorHAnsi"/>
          <w:lang w:val="mk-MK"/>
        </w:rPr>
        <w:t xml:space="preserve">стекнато во оваа програма, Министерството за образование и наука треба да ги охрабри другите истражувачки институции да донесат свои документи за политики за отворен пристап. Конечните резултати од оваа програма може да се земат предвид при дефинирање на политиките за обезбедување пристап до ИИ. </w:t>
      </w:r>
    </w:p>
    <w:p w14:paraId="236B24FD" w14:textId="20BBABB5" w:rsidR="00F96B81" w:rsidRPr="00F96B81" w:rsidRDefault="00F96B81" w:rsidP="00F96B81">
      <w:pPr>
        <w:spacing w:after="120"/>
        <w:jc w:val="both"/>
        <w:rPr>
          <w:rFonts w:cstheme="minorHAnsi"/>
          <w:lang w:val="mk-MK"/>
        </w:rPr>
      </w:pPr>
      <w:r w:rsidRPr="00F96B81">
        <w:rPr>
          <w:rFonts w:cstheme="minorHAnsi"/>
          <w:lang w:val="mk-MK"/>
        </w:rPr>
        <w:t>Исто така, најдобрите пракси и упатства на теми</w:t>
      </w:r>
      <w:r w:rsidR="00033470">
        <w:rPr>
          <w:rFonts w:cstheme="minorHAnsi"/>
          <w:lang w:val="mk-MK"/>
        </w:rPr>
        <w:t>те</w:t>
      </w:r>
      <w:r w:rsidRPr="00F96B81">
        <w:rPr>
          <w:rFonts w:cstheme="minorHAnsi"/>
          <w:lang w:val="mk-MK"/>
        </w:rPr>
        <w:t xml:space="preserve"> </w:t>
      </w:r>
      <w:r w:rsidR="00033470">
        <w:rPr>
          <w:rFonts w:cstheme="minorHAnsi"/>
          <w:lang w:val="mk-MK"/>
        </w:rPr>
        <w:t>што</w:t>
      </w:r>
      <w:r w:rsidR="00033470" w:rsidRPr="00F96B81">
        <w:rPr>
          <w:rFonts w:cstheme="minorHAnsi"/>
          <w:lang w:val="mk-MK"/>
        </w:rPr>
        <w:t xml:space="preserve"> </w:t>
      </w:r>
      <w:r w:rsidRPr="00F96B81">
        <w:rPr>
          <w:rFonts w:cstheme="minorHAnsi"/>
          <w:lang w:val="mk-MK"/>
        </w:rPr>
        <w:t>мож</w:t>
      </w:r>
      <w:r w:rsidR="00033470">
        <w:rPr>
          <w:rFonts w:cstheme="minorHAnsi"/>
          <w:lang w:val="mk-MK"/>
        </w:rPr>
        <w:t>ат</w:t>
      </w:r>
      <w:r w:rsidRPr="00F96B81">
        <w:rPr>
          <w:rFonts w:cstheme="minorHAnsi"/>
          <w:lang w:val="mk-MK"/>
        </w:rPr>
        <w:t xml:space="preserve"> да им помогнат на лицата кои се одговорни за дефинирање на политиките за пристап мож</w:t>
      </w:r>
      <w:r w:rsidR="00033470">
        <w:rPr>
          <w:rFonts w:cstheme="minorHAnsi"/>
          <w:lang w:val="mk-MK"/>
        </w:rPr>
        <w:t>ат</w:t>
      </w:r>
      <w:r w:rsidRPr="00F96B81">
        <w:rPr>
          <w:rFonts w:cstheme="minorHAnsi"/>
          <w:lang w:val="mk-MK"/>
        </w:rPr>
        <w:t xml:space="preserve"> да се најдат во јавниот документ</w:t>
      </w:r>
      <w:r w:rsidR="00033470">
        <w:rPr>
          <w:rFonts w:cstheme="minorHAnsi"/>
          <w:lang w:val="mk-MK"/>
        </w:rPr>
        <w:t xml:space="preserve"> што е</w:t>
      </w:r>
      <w:r w:rsidRPr="00F96B81">
        <w:rPr>
          <w:rFonts w:cstheme="minorHAnsi"/>
          <w:lang w:val="mk-MK"/>
        </w:rPr>
        <w:t xml:space="preserve"> подготвен од Европската комисија</w:t>
      </w:r>
      <w:r w:rsidRPr="008662BF">
        <w:rPr>
          <w:rStyle w:val="FootnoteReference"/>
          <w:rFonts w:cstheme="minorHAnsi"/>
          <w:lang w:val="mk-MK"/>
        </w:rPr>
        <w:footnoteReference w:id="7"/>
      </w:r>
      <w:r w:rsidRPr="00F96B81">
        <w:rPr>
          <w:rFonts w:cstheme="minorHAnsi"/>
          <w:lang w:val="mk-MK"/>
        </w:rPr>
        <w:t>, кој ја содржи повелбата за пристап до истражувачката инфраструктура, во која се утврдени начелата и упатствата за дефинирање на политиките за пристап до ИИ.</w:t>
      </w:r>
    </w:p>
    <w:p w14:paraId="6076C6D0" w14:textId="77777777" w:rsidR="007947BF" w:rsidRPr="008662BF" w:rsidRDefault="007947BF" w:rsidP="007947BF">
      <w:pPr>
        <w:spacing w:after="120"/>
        <w:jc w:val="both"/>
        <w:rPr>
          <w:rFonts w:cstheme="minorHAnsi"/>
          <w:lang w:val="mk-MK"/>
        </w:rPr>
      </w:pPr>
    </w:p>
    <w:p w14:paraId="47B60FA6" w14:textId="77777777" w:rsidR="007947BF" w:rsidRPr="008662BF" w:rsidRDefault="007947BF" w:rsidP="007947BF">
      <w:pPr>
        <w:rPr>
          <w:lang w:val="mk-MK"/>
        </w:rPr>
      </w:pPr>
    </w:p>
    <w:p w14:paraId="2E833756" w14:textId="77777777" w:rsidR="007947BF" w:rsidRPr="008662BF" w:rsidRDefault="007947BF" w:rsidP="007947BF">
      <w:pPr>
        <w:rPr>
          <w:lang w:val="mk-MK"/>
        </w:rPr>
      </w:pPr>
    </w:p>
    <w:p w14:paraId="7AEEA486" w14:textId="77777777" w:rsidR="007947BF" w:rsidRPr="008662BF" w:rsidRDefault="007947BF" w:rsidP="007947BF">
      <w:pPr>
        <w:pStyle w:val="Heading1"/>
        <w:rPr>
          <w:rFonts w:asciiTheme="minorHAnsi" w:hAnsiTheme="minorHAnsi" w:cstheme="minorHAnsi"/>
          <w:sz w:val="32"/>
          <w:lang w:val="mk-MK"/>
        </w:rPr>
        <w:sectPr w:rsidR="007947BF" w:rsidRPr="008662BF" w:rsidSect="004B2AB0">
          <w:footerReference w:type="default" r:id="rId11"/>
          <w:headerReference w:type="first" r:id="rId12"/>
          <w:footnotePr>
            <w:numFmt w:val="chicago"/>
            <w:numRestart w:val="eachPage"/>
          </w:footnotePr>
          <w:pgSz w:w="11906" w:h="16838"/>
          <w:pgMar w:top="1417" w:right="1417" w:bottom="1417" w:left="1417" w:header="708" w:footer="708" w:gutter="0"/>
          <w:cols w:space="708"/>
          <w:titlePg/>
          <w:docGrid w:linePitch="360"/>
        </w:sectPr>
      </w:pPr>
      <w:bookmarkStart w:id="47" w:name="_Toc63103369"/>
      <w:bookmarkStart w:id="48" w:name="_Toc63107239"/>
      <w:bookmarkStart w:id="49" w:name="_Toc64639529"/>
    </w:p>
    <w:p w14:paraId="302A910E" w14:textId="77777777" w:rsidR="007947BF" w:rsidRPr="008662BF" w:rsidRDefault="00B04857" w:rsidP="007947BF">
      <w:pPr>
        <w:pStyle w:val="Heading1"/>
        <w:rPr>
          <w:rFonts w:asciiTheme="minorHAnsi" w:hAnsiTheme="minorHAnsi" w:cstheme="minorHAnsi"/>
          <w:b w:val="0"/>
          <w:bCs w:val="0"/>
          <w:sz w:val="32"/>
          <w:lang w:val="mk-MK"/>
        </w:rPr>
      </w:pPr>
      <w:bookmarkStart w:id="50" w:name="_Toc86916078"/>
      <w:r w:rsidRPr="008662BF">
        <w:rPr>
          <w:rFonts w:asciiTheme="minorHAnsi" w:hAnsiTheme="minorHAnsi" w:cstheme="minorHAnsi"/>
          <w:sz w:val="32"/>
          <w:lang w:val="mk-MK"/>
        </w:rPr>
        <w:lastRenderedPageBreak/>
        <w:t>ПРИЛОГ 1: Список на капитална опрема со набавна цена повисока од 50.000 евра</w:t>
      </w:r>
      <w:bookmarkEnd w:id="47"/>
      <w:bookmarkEnd w:id="48"/>
      <w:bookmarkEnd w:id="49"/>
      <w:bookmarkEnd w:id="50"/>
    </w:p>
    <w:p w14:paraId="6C0BA0F9" w14:textId="77777777" w:rsidR="007947BF" w:rsidRPr="008662BF" w:rsidRDefault="007947BF" w:rsidP="007947BF">
      <w:pPr>
        <w:rPr>
          <w:lang w:val="mk-MK"/>
        </w:rPr>
      </w:pPr>
    </w:p>
    <w:tbl>
      <w:tblPr>
        <w:tblW w:w="14720" w:type="dxa"/>
        <w:tblInd w:w="93" w:type="dxa"/>
        <w:tblCellMar>
          <w:left w:w="28" w:type="dxa"/>
          <w:right w:w="0" w:type="dxa"/>
        </w:tblCellMar>
        <w:tblLook w:val="04A0" w:firstRow="1" w:lastRow="0" w:firstColumn="1" w:lastColumn="0" w:noHBand="0" w:noVBand="1"/>
      </w:tblPr>
      <w:tblGrid>
        <w:gridCol w:w="2192"/>
        <w:gridCol w:w="383"/>
        <w:gridCol w:w="4536"/>
        <w:gridCol w:w="1275"/>
        <w:gridCol w:w="1134"/>
        <w:gridCol w:w="2839"/>
        <w:gridCol w:w="1223"/>
        <w:gridCol w:w="1138"/>
      </w:tblGrid>
      <w:tr w:rsidR="005C06A9" w:rsidRPr="008662BF" w14:paraId="62B4520D" w14:textId="77777777" w:rsidTr="00E1385A">
        <w:trPr>
          <w:tblHeader/>
        </w:trPr>
        <w:tc>
          <w:tcPr>
            <w:tcW w:w="2192" w:type="dxa"/>
            <w:tcBorders>
              <w:top w:val="single" w:sz="4" w:space="0" w:color="auto"/>
              <w:left w:val="single" w:sz="4" w:space="0" w:color="auto"/>
              <w:bottom w:val="single" w:sz="4" w:space="0" w:color="auto"/>
              <w:right w:val="single" w:sz="4" w:space="0" w:color="auto"/>
            </w:tcBorders>
            <w:shd w:val="clear" w:color="000000" w:fill="D9D9D9"/>
            <w:hideMark/>
          </w:tcPr>
          <w:p w14:paraId="152B56F6" w14:textId="77777777" w:rsidR="007947BF" w:rsidRPr="008662BF" w:rsidRDefault="00B04857"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 xml:space="preserve">Институција </w:t>
            </w:r>
          </w:p>
        </w:tc>
        <w:tc>
          <w:tcPr>
            <w:tcW w:w="383" w:type="dxa"/>
            <w:tcBorders>
              <w:top w:val="single" w:sz="4" w:space="0" w:color="auto"/>
              <w:left w:val="nil"/>
              <w:bottom w:val="single" w:sz="4" w:space="0" w:color="auto"/>
              <w:right w:val="single" w:sz="4" w:space="0" w:color="auto"/>
            </w:tcBorders>
            <w:shd w:val="clear" w:color="000000" w:fill="D9D9D9"/>
            <w:hideMark/>
          </w:tcPr>
          <w:p w14:paraId="3AB3E16D" w14:textId="77777777" w:rsidR="007947BF" w:rsidRPr="008662BF" w:rsidRDefault="00B04857"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Бр</w:t>
            </w:r>
            <w:r w:rsidR="007947BF" w:rsidRPr="008662BF">
              <w:rPr>
                <w:rFonts w:eastAsia="Times New Roman" w:cs="Times New Roman"/>
                <w:b/>
                <w:bCs/>
                <w:color w:val="000000"/>
                <w:sz w:val="20"/>
                <w:szCs w:val="20"/>
                <w:lang w:val="mk-MK"/>
              </w:rPr>
              <w:t>.</w:t>
            </w:r>
          </w:p>
        </w:tc>
        <w:tc>
          <w:tcPr>
            <w:tcW w:w="4536" w:type="dxa"/>
            <w:tcBorders>
              <w:top w:val="single" w:sz="4" w:space="0" w:color="auto"/>
              <w:left w:val="nil"/>
              <w:bottom w:val="single" w:sz="4" w:space="0" w:color="auto"/>
              <w:right w:val="single" w:sz="4" w:space="0" w:color="auto"/>
            </w:tcBorders>
            <w:shd w:val="clear" w:color="000000" w:fill="D9D9D9"/>
            <w:hideMark/>
          </w:tcPr>
          <w:p w14:paraId="21DBE612" w14:textId="77777777" w:rsidR="007947BF" w:rsidRPr="008662BF" w:rsidRDefault="00B04857" w:rsidP="00E1385A">
            <w:pPr>
              <w:spacing w:after="0" w:line="240" w:lineRule="auto"/>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Назив на опремата за истражување</w:t>
            </w:r>
          </w:p>
        </w:tc>
        <w:tc>
          <w:tcPr>
            <w:tcW w:w="1275" w:type="dxa"/>
            <w:tcBorders>
              <w:top w:val="single" w:sz="4" w:space="0" w:color="auto"/>
              <w:left w:val="nil"/>
              <w:bottom w:val="single" w:sz="4" w:space="0" w:color="auto"/>
              <w:right w:val="single" w:sz="4" w:space="0" w:color="auto"/>
            </w:tcBorders>
            <w:shd w:val="clear" w:color="000000" w:fill="D9D9D9"/>
            <w:hideMark/>
          </w:tcPr>
          <w:p w14:paraId="0C16015B" w14:textId="77777777" w:rsidR="007947BF" w:rsidRPr="008662BF" w:rsidRDefault="00BC6ECC"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Набавна цена (евро)</w:t>
            </w:r>
          </w:p>
        </w:tc>
        <w:tc>
          <w:tcPr>
            <w:tcW w:w="1134" w:type="dxa"/>
            <w:tcBorders>
              <w:top w:val="single" w:sz="4" w:space="0" w:color="auto"/>
              <w:left w:val="nil"/>
              <w:bottom w:val="single" w:sz="4" w:space="0" w:color="auto"/>
              <w:right w:val="single" w:sz="4" w:space="0" w:color="auto"/>
            </w:tcBorders>
            <w:shd w:val="clear" w:color="000000" w:fill="D9D9D9"/>
            <w:hideMark/>
          </w:tcPr>
          <w:p w14:paraId="433EB81B" w14:textId="77777777" w:rsidR="007947BF" w:rsidRPr="008662BF" w:rsidRDefault="00690356"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 xml:space="preserve">Година на набавка </w:t>
            </w:r>
          </w:p>
        </w:tc>
        <w:tc>
          <w:tcPr>
            <w:tcW w:w="2839" w:type="dxa"/>
            <w:tcBorders>
              <w:top w:val="single" w:sz="4" w:space="0" w:color="auto"/>
              <w:left w:val="nil"/>
              <w:bottom w:val="single" w:sz="4" w:space="0" w:color="auto"/>
              <w:right w:val="single" w:sz="4" w:space="0" w:color="auto"/>
            </w:tcBorders>
            <w:shd w:val="clear" w:color="000000" w:fill="D9D9D9"/>
            <w:hideMark/>
          </w:tcPr>
          <w:p w14:paraId="5829B88D" w14:textId="77777777" w:rsidR="007947BF" w:rsidRPr="008662BF" w:rsidRDefault="00690356"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Извор на средства за набавка на опрема</w:t>
            </w:r>
          </w:p>
        </w:tc>
        <w:tc>
          <w:tcPr>
            <w:tcW w:w="1223" w:type="dxa"/>
            <w:tcBorders>
              <w:top w:val="single" w:sz="4" w:space="0" w:color="auto"/>
              <w:left w:val="nil"/>
              <w:bottom w:val="single" w:sz="4" w:space="0" w:color="auto"/>
              <w:right w:val="single" w:sz="4" w:space="0" w:color="auto"/>
            </w:tcBorders>
            <w:shd w:val="clear" w:color="000000" w:fill="D9D9D9"/>
            <w:vAlign w:val="center"/>
            <w:hideMark/>
          </w:tcPr>
          <w:p w14:paraId="5399E3C5" w14:textId="77777777" w:rsidR="007947BF" w:rsidRPr="008662BF" w:rsidRDefault="00690356"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Проценето времетраење на опремата (год.)</w:t>
            </w:r>
          </w:p>
        </w:tc>
        <w:tc>
          <w:tcPr>
            <w:tcW w:w="1138" w:type="dxa"/>
            <w:tcBorders>
              <w:top w:val="single" w:sz="4" w:space="0" w:color="auto"/>
              <w:left w:val="nil"/>
              <w:bottom w:val="single" w:sz="4" w:space="0" w:color="auto"/>
              <w:right w:val="single" w:sz="4" w:space="0" w:color="auto"/>
            </w:tcBorders>
            <w:shd w:val="clear" w:color="000000" w:fill="D9D9D9"/>
            <w:vAlign w:val="center"/>
            <w:hideMark/>
          </w:tcPr>
          <w:p w14:paraId="51C3E1A5" w14:textId="77777777" w:rsidR="007947BF" w:rsidRPr="008662BF" w:rsidRDefault="00690356" w:rsidP="00E1385A">
            <w:pPr>
              <w:spacing w:after="0" w:line="240" w:lineRule="auto"/>
              <w:jc w:val="center"/>
              <w:rPr>
                <w:rFonts w:eastAsia="Times New Roman" w:cs="Times New Roman"/>
                <w:b/>
                <w:bCs/>
                <w:color w:val="000000"/>
                <w:sz w:val="20"/>
                <w:szCs w:val="20"/>
                <w:lang w:val="mk-MK"/>
              </w:rPr>
            </w:pPr>
            <w:r w:rsidRPr="008662BF">
              <w:rPr>
                <w:rFonts w:eastAsia="Times New Roman" w:cs="Times New Roman"/>
                <w:b/>
                <w:bCs/>
                <w:color w:val="000000"/>
                <w:sz w:val="20"/>
                <w:szCs w:val="20"/>
                <w:lang w:val="mk-MK"/>
              </w:rPr>
              <w:t>Проценет број на корисници</w:t>
            </w:r>
          </w:p>
        </w:tc>
      </w:tr>
      <w:tr w:rsidR="005C06A9" w:rsidRPr="008662BF" w14:paraId="30B75D53" w14:textId="77777777" w:rsidTr="00E1385A">
        <w:tc>
          <w:tcPr>
            <w:tcW w:w="2192" w:type="dxa"/>
            <w:vMerge w:val="restart"/>
            <w:tcBorders>
              <w:top w:val="nil"/>
              <w:left w:val="single" w:sz="4" w:space="0" w:color="auto"/>
              <w:bottom w:val="single" w:sz="4" w:space="0" w:color="auto"/>
              <w:right w:val="single" w:sz="4" w:space="0" w:color="auto"/>
            </w:tcBorders>
            <w:shd w:val="clear" w:color="auto" w:fill="auto"/>
            <w:vAlign w:val="center"/>
            <w:hideMark/>
          </w:tcPr>
          <w:p w14:paraId="3ABCB821" w14:textId="77777777" w:rsidR="007947BF" w:rsidRPr="008662BF" w:rsidRDefault="00690356"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УКИМ, Технолошко-металуршки факултет, Лабораторија за анализа на материјали и наноструктура</w:t>
            </w:r>
          </w:p>
        </w:tc>
        <w:tc>
          <w:tcPr>
            <w:tcW w:w="383" w:type="dxa"/>
            <w:tcBorders>
              <w:top w:val="nil"/>
              <w:left w:val="nil"/>
              <w:bottom w:val="single" w:sz="4" w:space="0" w:color="auto"/>
              <w:right w:val="single" w:sz="4" w:space="0" w:color="auto"/>
            </w:tcBorders>
            <w:shd w:val="clear" w:color="auto" w:fill="auto"/>
            <w:hideMark/>
          </w:tcPr>
          <w:p w14:paraId="74F0AA0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w:t>
            </w:r>
          </w:p>
        </w:tc>
        <w:tc>
          <w:tcPr>
            <w:tcW w:w="4536" w:type="dxa"/>
            <w:tcBorders>
              <w:top w:val="nil"/>
              <w:left w:val="nil"/>
              <w:bottom w:val="single" w:sz="4" w:space="0" w:color="auto"/>
              <w:right w:val="single" w:sz="4" w:space="0" w:color="auto"/>
            </w:tcBorders>
            <w:shd w:val="clear" w:color="auto" w:fill="auto"/>
            <w:hideMark/>
          </w:tcPr>
          <w:p w14:paraId="4FB862F4" w14:textId="77777777" w:rsidR="007947BF" w:rsidRPr="008662BF" w:rsidRDefault="00783A3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Електронски микроскоп за скенирање – JEOL IT200 </w:t>
            </w:r>
          </w:p>
        </w:tc>
        <w:tc>
          <w:tcPr>
            <w:tcW w:w="1275" w:type="dxa"/>
            <w:tcBorders>
              <w:top w:val="nil"/>
              <w:left w:val="nil"/>
              <w:bottom w:val="single" w:sz="4" w:space="0" w:color="auto"/>
              <w:right w:val="single" w:sz="4" w:space="0" w:color="auto"/>
            </w:tcBorders>
            <w:shd w:val="clear" w:color="auto" w:fill="auto"/>
            <w:hideMark/>
          </w:tcPr>
          <w:p w14:paraId="6FB9075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120.000</w:t>
            </w:r>
          </w:p>
        </w:tc>
        <w:tc>
          <w:tcPr>
            <w:tcW w:w="1134" w:type="dxa"/>
            <w:tcBorders>
              <w:top w:val="nil"/>
              <w:left w:val="nil"/>
              <w:bottom w:val="single" w:sz="4" w:space="0" w:color="auto"/>
              <w:right w:val="single" w:sz="4" w:space="0" w:color="auto"/>
            </w:tcBorders>
            <w:shd w:val="clear" w:color="auto" w:fill="auto"/>
            <w:hideMark/>
          </w:tcPr>
          <w:p w14:paraId="285AEF7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2020</w:t>
            </w:r>
          </w:p>
        </w:tc>
        <w:tc>
          <w:tcPr>
            <w:tcW w:w="2839" w:type="dxa"/>
            <w:tcBorders>
              <w:top w:val="nil"/>
              <w:left w:val="nil"/>
              <w:bottom w:val="single" w:sz="4" w:space="0" w:color="auto"/>
              <w:right w:val="single" w:sz="4" w:space="0" w:color="auto"/>
            </w:tcBorders>
            <w:shd w:val="clear" w:color="auto" w:fill="auto"/>
            <w:hideMark/>
          </w:tcPr>
          <w:p w14:paraId="43A0984B" w14:textId="77777777" w:rsidR="007947BF" w:rsidRPr="008662BF" w:rsidRDefault="00E31493" w:rsidP="005974B8">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фондови/ донации </w:t>
            </w:r>
            <w:r w:rsidR="007947BF" w:rsidRPr="008662BF">
              <w:rPr>
                <w:rFonts w:eastAsia="Times New Roman" w:cs="Times New Roman"/>
                <w:color w:val="000000"/>
                <w:sz w:val="20"/>
                <w:szCs w:val="20"/>
                <w:lang w:val="mk-MK"/>
              </w:rPr>
              <w:br/>
            </w:r>
            <w:r w:rsidR="00A2244D" w:rsidRPr="008662BF">
              <w:rPr>
                <w:rFonts w:eastAsia="Times New Roman" w:cs="Times New Roman"/>
                <w:color w:val="000000"/>
                <w:sz w:val="20"/>
                <w:szCs w:val="20"/>
                <w:lang w:val="mk-MK"/>
              </w:rPr>
              <w:t xml:space="preserve">Агенција </w:t>
            </w:r>
            <w:r w:rsidR="005974B8">
              <w:rPr>
                <w:rFonts w:eastAsia="Times New Roman" w:cs="Times New Roman"/>
                <w:color w:val="000000"/>
                <w:sz w:val="20"/>
                <w:szCs w:val="20"/>
                <w:lang w:val="mk-MK"/>
              </w:rPr>
              <w:t>МААЕ (Меѓународна агенција за атомска енергија)</w:t>
            </w:r>
            <w:r w:rsidR="007947BF" w:rsidRPr="008662BF">
              <w:rPr>
                <w:rFonts w:eastAsia="Times New Roman" w:cs="Times New Roman"/>
                <w:color w:val="000000"/>
                <w:sz w:val="20"/>
                <w:szCs w:val="20"/>
                <w:lang w:val="mk-MK"/>
              </w:rPr>
              <w:br/>
              <w:t>(</w:t>
            </w:r>
            <w:r w:rsidR="00A2244D" w:rsidRPr="008662BF">
              <w:rPr>
                <w:rFonts w:eastAsia="Times New Roman" w:cs="Times New Roman"/>
                <w:color w:val="000000"/>
                <w:sz w:val="20"/>
                <w:szCs w:val="20"/>
                <w:lang w:val="mk-MK"/>
              </w:rPr>
              <w:t xml:space="preserve">Проект </w:t>
            </w:r>
            <w:r w:rsidR="007947BF" w:rsidRPr="008662BF">
              <w:rPr>
                <w:rFonts w:eastAsia="Times New Roman" w:cs="Times New Roman"/>
                <w:color w:val="000000"/>
                <w:sz w:val="20"/>
                <w:szCs w:val="20"/>
                <w:lang w:val="mk-MK"/>
              </w:rPr>
              <w:t>TC</w:t>
            </w:r>
            <w:r w:rsidR="005974B8" w:rsidRPr="008662BF">
              <w:rPr>
                <w:rFonts w:eastAsia="Times New Roman" w:cs="Times New Roman"/>
                <w:color w:val="000000"/>
                <w:sz w:val="20"/>
                <w:szCs w:val="20"/>
                <w:lang w:val="mk-MK"/>
              </w:rPr>
              <w:t>MAK1003</w:t>
            </w:r>
            <w:r w:rsidR="007947BF"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02FF51B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20-30 </w:t>
            </w:r>
          </w:p>
        </w:tc>
        <w:tc>
          <w:tcPr>
            <w:tcW w:w="1138" w:type="dxa"/>
            <w:tcBorders>
              <w:top w:val="nil"/>
              <w:left w:val="nil"/>
              <w:bottom w:val="single" w:sz="4" w:space="0" w:color="auto"/>
              <w:right w:val="single" w:sz="4" w:space="0" w:color="auto"/>
            </w:tcBorders>
            <w:shd w:val="clear" w:color="auto" w:fill="auto"/>
            <w:noWrap/>
            <w:vAlign w:val="center"/>
            <w:hideMark/>
          </w:tcPr>
          <w:p w14:paraId="17EE6C2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30-50</w:t>
            </w:r>
          </w:p>
        </w:tc>
      </w:tr>
      <w:tr w:rsidR="005C06A9" w:rsidRPr="008662BF" w14:paraId="174CF592" w14:textId="77777777" w:rsidTr="00E1385A">
        <w:tc>
          <w:tcPr>
            <w:tcW w:w="2192" w:type="dxa"/>
            <w:vMerge/>
            <w:tcBorders>
              <w:top w:val="nil"/>
              <w:left w:val="single" w:sz="4" w:space="0" w:color="auto"/>
              <w:bottom w:val="single" w:sz="4" w:space="0" w:color="auto"/>
              <w:right w:val="single" w:sz="4" w:space="0" w:color="auto"/>
            </w:tcBorders>
            <w:vAlign w:val="center"/>
            <w:hideMark/>
          </w:tcPr>
          <w:p w14:paraId="05840522"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hideMark/>
          </w:tcPr>
          <w:p w14:paraId="34C5A3D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w:t>
            </w:r>
          </w:p>
        </w:tc>
        <w:tc>
          <w:tcPr>
            <w:tcW w:w="4536" w:type="dxa"/>
            <w:tcBorders>
              <w:top w:val="nil"/>
              <w:left w:val="nil"/>
              <w:bottom w:val="single" w:sz="4" w:space="0" w:color="auto"/>
              <w:right w:val="single" w:sz="4" w:space="0" w:color="auto"/>
            </w:tcBorders>
            <w:shd w:val="clear" w:color="auto" w:fill="auto"/>
            <w:hideMark/>
          </w:tcPr>
          <w:p w14:paraId="1D2C7689" w14:textId="77777777" w:rsidR="007947BF" w:rsidRPr="008662BF" w:rsidRDefault="00783A3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Raman SPELEC спектрометар со по</w:t>
            </w:r>
            <w:r w:rsidR="00EE783C" w:rsidRPr="008662BF">
              <w:rPr>
                <w:rFonts w:eastAsia="Times New Roman" w:cs="Times New Roman"/>
                <w:color w:val="000000"/>
                <w:sz w:val="20"/>
                <w:szCs w:val="20"/>
                <w:lang w:val="mk-MK"/>
              </w:rPr>
              <w:t>+</w:t>
            </w:r>
            <w:r w:rsidRPr="008662BF">
              <w:rPr>
                <w:rFonts w:eastAsia="Times New Roman" w:cs="Times New Roman"/>
                <w:color w:val="000000"/>
                <w:sz w:val="20"/>
                <w:szCs w:val="20"/>
                <w:lang w:val="mk-MK"/>
              </w:rPr>
              <w:t>тенциостат за циклична волтаметрија и амперометрија</w:t>
            </w:r>
          </w:p>
        </w:tc>
        <w:tc>
          <w:tcPr>
            <w:tcW w:w="1275" w:type="dxa"/>
            <w:tcBorders>
              <w:top w:val="nil"/>
              <w:left w:val="nil"/>
              <w:bottom w:val="single" w:sz="4" w:space="0" w:color="auto"/>
              <w:right w:val="single" w:sz="4" w:space="0" w:color="auto"/>
            </w:tcBorders>
            <w:shd w:val="clear" w:color="auto" w:fill="auto"/>
            <w:hideMark/>
          </w:tcPr>
          <w:p w14:paraId="4DCC150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57.705</w:t>
            </w:r>
          </w:p>
        </w:tc>
        <w:tc>
          <w:tcPr>
            <w:tcW w:w="1134" w:type="dxa"/>
            <w:tcBorders>
              <w:top w:val="nil"/>
              <w:left w:val="nil"/>
              <w:bottom w:val="single" w:sz="4" w:space="0" w:color="auto"/>
              <w:right w:val="single" w:sz="4" w:space="0" w:color="auto"/>
            </w:tcBorders>
            <w:shd w:val="clear" w:color="auto" w:fill="auto"/>
            <w:hideMark/>
          </w:tcPr>
          <w:p w14:paraId="29505EC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2021</w:t>
            </w:r>
          </w:p>
        </w:tc>
        <w:tc>
          <w:tcPr>
            <w:tcW w:w="2839" w:type="dxa"/>
            <w:tcBorders>
              <w:top w:val="nil"/>
              <w:left w:val="nil"/>
              <w:bottom w:val="single" w:sz="4" w:space="0" w:color="auto"/>
              <w:right w:val="single" w:sz="4" w:space="0" w:color="auto"/>
            </w:tcBorders>
            <w:shd w:val="clear" w:color="auto" w:fill="auto"/>
            <w:hideMark/>
          </w:tcPr>
          <w:p w14:paraId="0B51B877" w14:textId="77777777" w:rsidR="007947BF" w:rsidRPr="008662BF" w:rsidRDefault="00A2244D" w:rsidP="005974B8">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фондови/ донации </w:t>
            </w:r>
            <w:r w:rsidR="007947BF" w:rsidRPr="008662BF">
              <w:rPr>
                <w:rFonts w:eastAsia="Times New Roman" w:cs="Times New Roman"/>
                <w:color w:val="000000"/>
                <w:sz w:val="20"/>
                <w:szCs w:val="20"/>
                <w:lang w:val="mk-MK"/>
              </w:rPr>
              <w:br/>
            </w:r>
            <w:r w:rsidR="005974B8">
              <w:rPr>
                <w:rFonts w:eastAsia="Times New Roman" w:cs="Times New Roman"/>
                <w:color w:val="000000"/>
                <w:sz w:val="20"/>
                <w:szCs w:val="20"/>
                <w:lang w:val="mk-MK"/>
              </w:rPr>
              <w:t xml:space="preserve">Агенција МААЕ </w:t>
            </w:r>
            <w:r w:rsidR="007947BF" w:rsidRPr="008662BF">
              <w:rPr>
                <w:rFonts w:eastAsia="Times New Roman" w:cs="Times New Roman"/>
                <w:color w:val="000000"/>
                <w:sz w:val="20"/>
                <w:szCs w:val="20"/>
                <w:lang w:val="mk-MK"/>
              </w:rPr>
              <w:br/>
              <w:t>(</w:t>
            </w:r>
            <w:r w:rsidR="005974B8">
              <w:rPr>
                <w:rFonts w:eastAsia="Times New Roman" w:cs="Times New Roman"/>
                <w:color w:val="000000"/>
                <w:sz w:val="20"/>
                <w:szCs w:val="20"/>
                <w:lang w:val="mk-MK"/>
              </w:rPr>
              <w:t xml:space="preserve">Проект </w:t>
            </w:r>
            <w:r w:rsidR="005974B8" w:rsidRPr="008662BF">
              <w:rPr>
                <w:rFonts w:eastAsia="Times New Roman" w:cs="Times New Roman"/>
                <w:color w:val="000000"/>
                <w:sz w:val="20"/>
                <w:szCs w:val="20"/>
                <w:lang w:val="mk-MK"/>
              </w:rPr>
              <w:t>TC MAK1003</w:t>
            </w:r>
            <w:r w:rsidR="007947BF"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591E667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25-35 </w:t>
            </w:r>
          </w:p>
        </w:tc>
        <w:tc>
          <w:tcPr>
            <w:tcW w:w="1138" w:type="dxa"/>
            <w:tcBorders>
              <w:top w:val="nil"/>
              <w:left w:val="nil"/>
              <w:bottom w:val="single" w:sz="4" w:space="0" w:color="auto"/>
              <w:right w:val="single" w:sz="4" w:space="0" w:color="auto"/>
            </w:tcBorders>
            <w:shd w:val="clear" w:color="auto" w:fill="auto"/>
            <w:noWrap/>
            <w:vAlign w:val="center"/>
            <w:hideMark/>
          </w:tcPr>
          <w:p w14:paraId="7E4E277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50-70</w:t>
            </w:r>
          </w:p>
        </w:tc>
      </w:tr>
      <w:tr w:rsidR="005C06A9" w:rsidRPr="008662BF" w14:paraId="395F6F07" w14:textId="77777777" w:rsidTr="00E1385A">
        <w:tc>
          <w:tcPr>
            <w:tcW w:w="2192" w:type="dxa"/>
            <w:vMerge/>
            <w:tcBorders>
              <w:top w:val="nil"/>
              <w:left w:val="single" w:sz="4" w:space="0" w:color="auto"/>
              <w:bottom w:val="single" w:sz="4" w:space="0" w:color="auto"/>
              <w:right w:val="single" w:sz="4" w:space="0" w:color="auto"/>
            </w:tcBorders>
            <w:vAlign w:val="center"/>
            <w:hideMark/>
          </w:tcPr>
          <w:p w14:paraId="7E75A6E5"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hideMark/>
          </w:tcPr>
          <w:p w14:paraId="02909CA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w:t>
            </w:r>
          </w:p>
        </w:tc>
        <w:tc>
          <w:tcPr>
            <w:tcW w:w="4536" w:type="dxa"/>
            <w:tcBorders>
              <w:top w:val="nil"/>
              <w:left w:val="nil"/>
              <w:bottom w:val="single" w:sz="4" w:space="0" w:color="auto"/>
              <w:right w:val="single" w:sz="4" w:space="0" w:color="auto"/>
            </w:tcBorders>
            <w:shd w:val="clear" w:color="auto" w:fill="auto"/>
            <w:hideMark/>
          </w:tcPr>
          <w:p w14:paraId="00D55C4D" w14:textId="77777777" w:rsidR="007947BF" w:rsidRPr="008662BF" w:rsidRDefault="00783A3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Калориметриска бомба </w:t>
            </w:r>
            <w:r w:rsidR="007947BF" w:rsidRPr="008662BF">
              <w:rPr>
                <w:rFonts w:eastAsia="Times New Roman" w:cs="Times New Roman"/>
                <w:color w:val="000000"/>
                <w:sz w:val="20"/>
                <w:szCs w:val="20"/>
                <w:lang w:val="mk-MK"/>
              </w:rPr>
              <w:t>IKA 600</w:t>
            </w:r>
          </w:p>
        </w:tc>
        <w:tc>
          <w:tcPr>
            <w:tcW w:w="1275" w:type="dxa"/>
            <w:tcBorders>
              <w:top w:val="nil"/>
              <w:left w:val="nil"/>
              <w:bottom w:val="single" w:sz="4" w:space="0" w:color="auto"/>
              <w:right w:val="single" w:sz="4" w:space="0" w:color="auto"/>
            </w:tcBorders>
            <w:shd w:val="clear" w:color="auto" w:fill="auto"/>
            <w:hideMark/>
          </w:tcPr>
          <w:p w14:paraId="1442B5F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44.000</w:t>
            </w:r>
          </w:p>
        </w:tc>
        <w:tc>
          <w:tcPr>
            <w:tcW w:w="1134" w:type="dxa"/>
            <w:tcBorders>
              <w:top w:val="nil"/>
              <w:left w:val="nil"/>
              <w:bottom w:val="single" w:sz="4" w:space="0" w:color="auto"/>
              <w:right w:val="single" w:sz="4" w:space="0" w:color="auto"/>
            </w:tcBorders>
            <w:shd w:val="clear" w:color="auto" w:fill="auto"/>
            <w:noWrap/>
            <w:hideMark/>
          </w:tcPr>
          <w:p w14:paraId="5E4B93D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2020</w:t>
            </w:r>
          </w:p>
        </w:tc>
        <w:tc>
          <w:tcPr>
            <w:tcW w:w="2839" w:type="dxa"/>
            <w:tcBorders>
              <w:top w:val="nil"/>
              <w:left w:val="nil"/>
              <w:bottom w:val="single" w:sz="4" w:space="0" w:color="auto"/>
              <w:right w:val="single" w:sz="4" w:space="0" w:color="auto"/>
            </w:tcBorders>
            <w:shd w:val="clear" w:color="auto" w:fill="auto"/>
            <w:hideMark/>
          </w:tcPr>
          <w:p w14:paraId="1473D1B8" w14:textId="77777777" w:rsidR="007947BF" w:rsidRPr="008662BF" w:rsidRDefault="00A2244D" w:rsidP="005974B8">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фондови/ донации </w:t>
            </w:r>
            <w:r w:rsidR="007947BF" w:rsidRPr="008662BF">
              <w:rPr>
                <w:rFonts w:eastAsia="Times New Roman" w:cs="Times New Roman"/>
                <w:color w:val="000000"/>
                <w:sz w:val="20"/>
                <w:szCs w:val="20"/>
                <w:lang w:val="mk-MK"/>
              </w:rPr>
              <w:br/>
            </w:r>
            <w:r w:rsidR="005974B8">
              <w:rPr>
                <w:rFonts w:eastAsia="Times New Roman" w:cs="Times New Roman"/>
                <w:color w:val="000000"/>
                <w:sz w:val="20"/>
                <w:szCs w:val="20"/>
                <w:lang w:val="mk-MK"/>
              </w:rPr>
              <w:t xml:space="preserve">Агенција МААЕ </w:t>
            </w:r>
            <w:r w:rsidR="007947BF" w:rsidRPr="008662BF">
              <w:rPr>
                <w:rFonts w:eastAsia="Times New Roman" w:cs="Times New Roman"/>
                <w:color w:val="000000"/>
                <w:sz w:val="20"/>
                <w:szCs w:val="20"/>
                <w:lang w:val="mk-MK"/>
              </w:rPr>
              <w:br/>
              <w:t>(</w:t>
            </w:r>
            <w:r w:rsidR="005974B8">
              <w:rPr>
                <w:rFonts w:eastAsia="Times New Roman" w:cs="Times New Roman"/>
                <w:color w:val="000000"/>
                <w:sz w:val="20"/>
                <w:szCs w:val="20"/>
                <w:lang w:val="mk-MK"/>
              </w:rPr>
              <w:t xml:space="preserve">Проект </w:t>
            </w:r>
            <w:r w:rsidR="005974B8" w:rsidRPr="008662BF">
              <w:rPr>
                <w:rFonts w:eastAsia="Times New Roman" w:cs="Times New Roman"/>
                <w:color w:val="000000"/>
                <w:sz w:val="20"/>
                <w:szCs w:val="20"/>
                <w:lang w:val="mk-MK"/>
              </w:rPr>
              <w:t xml:space="preserve">TC </w:t>
            </w:r>
            <w:r w:rsidR="005974B8">
              <w:rPr>
                <w:rFonts w:eastAsia="Times New Roman" w:cs="Times New Roman"/>
                <w:color w:val="000000"/>
                <w:sz w:val="20"/>
                <w:szCs w:val="20"/>
                <w:lang w:val="mk-MK"/>
              </w:rPr>
              <w:t>MAK1003</w:t>
            </w:r>
            <w:r w:rsidR="007947BF"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3A413C6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25-30 </w:t>
            </w:r>
          </w:p>
        </w:tc>
        <w:tc>
          <w:tcPr>
            <w:tcW w:w="1138" w:type="dxa"/>
            <w:tcBorders>
              <w:top w:val="nil"/>
              <w:left w:val="nil"/>
              <w:bottom w:val="single" w:sz="4" w:space="0" w:color="auto"/>
              <w:right w:val="single" w:sz="4" w:space="0" w:color="auto"/>
            </w:tcBorders>
            <w:shd w:val="clear" w:color="auto" w:fill="auto"/>
            <w:noWrap/>
            <w:vAlign w:val="center"/>
            <w:hideMark/>
          </w:tcPr>
          <w:p w14:paraId="73B672C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30-50</w:t>
            </w:r>
          </w:p>
        </w:tc>
      </w:tr>
      <w:tr w:rsidR="005C06A9" w:rsidRPr="008662BF" w14:paraId="1EFB8F0F" w14:textId="77777777" w:rsidTr="00E1385A">
        <w:tc>
          <w:tcPr>
            <w:tcW w:w="2192" w:type="dxa"/>
            <w:vMerge/>
            <w:tcBorders>
              <w:top w:val="nil"/>
              <w:left w:val="single" w:sz="4" w:space="0" w:color="auto"/>
              <w:bottom w:val="single" w:sz="4" w:space="0" w:color="auto"/>
              <w:right w:val="single" w:sz="4" w:space="0" w:color="auto"/>
            </w:tcBorders>
            <w:vAlign w:val="center"/>
            <w:hideMark/>
          </w:tcPr>
          <w:p w14:paraId="1D3334E4"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hideMark/>
          </w:tcPr>
          <w:p w14:paraId="5080BE0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4</w:t>
            </w:r>
          </w:p>
        </w:tc>
        <w:tc>
          <w:tcPr>
            <w:tcW w:w="4536" w:type="dxa"/>
            <w:tcBorders>
              <w:top w:val="nil"/>
              <w:left w:val="nil"/>
              <w:bottom w:val="single" w:sz="4" w:space="0" w:color="auto"/>
              <w:right w:val="single" w:sz="4" w:space="0" w:color="auto"/>
            </w:tcBorders>
            <w:shd w:val="clear" w:color="auto" w:fill="auto"/>
            <w:hideMark/>
          </w:tcPr>
          <w:p w14:paraId="76072360" w14:textId="77777777" w:rsidR="007947BF" w:rsidRPr="008662BF" w:rsidRDefault="0033134E"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Калориметар за диференцијално скенирање со термогравиметрија</w:t>
            </w:r>
          </w:p>
        </w:tc>
        <w:tc>
          <w:tcPr>
            <w:tcW w:w="1275" w:type="dxa"/>
            <w:tcBorders>
              <w:top w:val="nil"/>
              <w:left w:val="nil"/>
              <w:bottom w:val="single" w:sz="4" w:space="0" w:color="auto"/>
              <w:right w:val="single" w:sz="4" w:space="0" w:color="auto"/>
            </w:tcBorders>
            <w:shd w:val="clear" w:color="auto" w:fill="auto"/>
            <w:hideMark/>
          </w:tcPr>
          <w:p w14:paraId="0AE51E5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67.000</w:t>
            </w:r>
          </w:p>
        </w:tc>
        <w:tc>
          <w:tcPr>
            <w:tcW w:w="1134" w:type="dxa"/>
            <w:tcBorders>
              <w:top w:val="nil"/>
              <w:left w:val="nil"/>
              <w:bottom w:val="single" w:sz="4" w:space="0" w:color="auto"/>
              <w:right w:val="single" w:sz="4" w:space="0" w:color="auto"/>
            </w:tcBorders>
            <w:shd w:val="clear" w:color="auto" w:fill="auto"/>
            <w:noWrap/>
            <w:hideMark/>
          </w:tcPr>
          <w:p w14:paraId="12CA1B9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2021</w:t>
            </w:r>
          </w:p>
        </w:tc>
        <w:tc>
          <w:tcPr>
            <w:tcW w:w="2839" w:type="dxa"/>
            <w:tcBorders>
              <w:top w:val="nil"/>
              <w:left w:val="nil"/>
              <w:bottom w:val="single" w:sz="4" w:space="0" w:color="auto"/>
              <w:right w:val="single" w:sz="4" w:space="0" w:color="auto"/>
            </w:tcBorders>
            <w:shd w:val="clear" w:color="auto" w:fill="auto"/>
            <w:hideMark/>
          </w:tcPr>
          <w:p w14:paraId="6E905E58" w14:textId="77777777" w:rsidR="007947BF" w:rsidRPr="008662BF" w:rsidRDefault="00A2244D" w:rsidP="005974B8">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фондови/ донации </w:t>
            </w:r>
            <w:r w:rsidR="007947BF" w:rsidRPr="008662BF">
              <w:rPr>
                <w:rFonts w:eastAsia="Times New Roman" w:cs="Times New Roman"/>
                <w:color w:val="000000"/>
                <w:sz w:val="20"/>
                <w:szCs w:val="20"/>
                <w:lang w:val="mk-MK"/>
              </w:rPr>
              <w:br/>
            </w:r>
            <w:r w:rsidR="005974B8">
              <w:rPr>
                <w:rFonts w:eastAsia="Times New Roman" w:cs="Times New Roman"/>
                <w:color w:val="000000"/>
                <w:sz w:val="20"/>
                <w:szCs w:val="20"/>
                <w:lang w:val="mk-MK"/>
              </w:rPr>
              <w:t xml:space="preserve">Агенција МААЕ </w:t>
            </w:r>
            <w:r w:rsidR="007947BF" w:rsidRPr="008662BF">
              <w:rPr>
                <w:rFonts w:eastAsia="Times New Roman" w:cs="Times New Roman"/>
                <w:color w:val="000000"/>
                <w:sz w:val="20"/>
                <w:szCs w:val="20"/>
                <w:lang w:val="mk-MK"/>
              </w:rPr>
              <w:br/>
              <w:t>(</w:t>
            </w:r>
            <w:r w:rsidR="005974B8">
              <w:rPr>
                <w:rFonts w:eastAsia="Times New Roman" w:cs="Times New Roman"/>
                <w:color w:val="000000"/>
                <w:sz w:val="20"/>
                <w:szCs w:val="20"/>
                <w:lang w:val="mk-MK"/>
              </w:rPr>
              <w:t xml:space="preserve">Проект </w:t>
            </w:r>
            <w:r w:rsidR="005974B8" w:rsidRPr="008662BF">
              <w:rPr>
                <w:rFonts w:eastAsia="Times New Roman" w:cs="Times New Roman"/>
                <w:color w:val="000000"/>
                <w:sz w:val="20"/>
                <w:szCs w:val="20"/>
                <w:lang w:val="mk-MK"/>
              </w:rPr>
              <w:t xml:space="preserve">TC </w:t>
            </w:r>
            <w:r w:rsidR="007947BF" w:rsidRPr="008662BF">
              <w:rPr>
                <w:rFonts w:eastAsia="Times New Roman" w:cs="Times New Roman"/>
                <w:color w:val="000000"/>
                <w:sz w:val="20"/>
                <w:szCs w:val="20"/>
                <w:lang w:val="mk-MK"/>
              </w:rPr>
              <w:t>MAK1003)</w:t>
            </w:r>
          </w:p>
        </w:tc>
        <w:tc>
          <w:tcPr>
            <w:tcW w:w="1223" w:type="dxa"/>
            <w:tcBorders>
              <w:top w:val="nil"/>
              <w:left w:val="nil"/>
              <w:bottom w:val="single" w:sz="4" w:space="0" w:color="auto"/>
              <w:right w:val="single" w:sz="4" w:space="0" w:color="auto"/>
            </w:tcBorders>
            <w:shd w:val="clear" w:color="auto" w:fill="auto"/>
            <w:noWrap/>
            <w:vAlign w:val="center"/>
            <w:hideMark/>
          </w:tcPr>
          <w:p w14:paraId="3380398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30-35 </w:t>
            </w:r>
          </w:p>
        </w:tc>
        <w:tc>
          <w:tcPr>
            <w:tcW w:w="1138" w:type="dxa"/>
            <w:tcBorders>
              <w:top w:val="nil"/>
              <w:left w:val="nil"/>
              <w:bottom w:val="single" w:sz="4" w:space="0" w:color="auto"/>
              <w:right w:val="single" w:sz="4" w:space="0" w:color="auto"/>
            </w:tcBorders>
            <w:shd w:val="clear" w:color="auto" w:fill="auto"/>
            <w:noWrap/>
            <w:vAlign w:val="center"/>
            <w:hideMark/>
          </w:tcPr>
          <w:p w14:paraId="592C992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50-70</w:t>
            </w:r>
          </w:p>
        </w:tc>
      </w:tr>
      <w:tr w:rsidR="005C06A9" w:rsidRPr="008662BF" w14:paraId="7C829DB8" w14:textId="77777777" w:rsidTr="00E1385A">
        <w:tc>
          <w:tcPr>
            <w:tcW w:w="2192" w:type="dxa"/>
            <w:vMerge/>
            <w:tcBorders>
              <w:top w:val="nil"/>
              <w:left w:val="single" w:sz="4" w:space="0" w:color="auto"/>
              <w:bottom w:val="single" w:sz="4" w:space="0" w:color="auto"/>
              <w:right w:val="single" w:sz="4" w:space="0" w:color="auto"/>
            </w:tcBorders>
            <w:vAlign w:val="center"/>
            <w:hideMark/>
          </w:tcPr>
          <w:p w14:paraId="33AC06E5"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hideMark/>
          </w:tcPr>
          <w:p w14:paraId="69914DD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c>
          <w:tcPr>
            <w:tcW w:w="4536" w:type="dxa"/>
            <w:tcBorders>
              <w:top w:val="nil"/>
              <w:left w:val="nil"/>
              <w:bottom w:val="single" w:sz="4" w:space="0" w:color="auto"/>
              <w:right w:val="single" w:sz="4" w:space="0" w:color="auto"/>
            </w:tcBorders>
            <w:shd w:val="clear" w:color="auto" w:fill="auto"/>
            <w:hideMark/>
          </w:tcPr>
          <w:p w14:paraId="06650CDA" w14:textId="77777777" w:rsidR="007947BF" w:rsidRPr="008662BF" w:rsidRDefault="0033134E"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Термогравиметрија и динамо-механичка анализа</w:t>
            </w:r>
          </w:p>
        </w:tc>
        <w:tc>
          <w:tcPr>
            <w:tcW w:w="1275" w:type="dxa"/>
            <w:tcBorders>
              <w:top w:val="nil"/>
              <w:left w:val="nil"/>
              <w:bottom w:val="single" w:sz="4" w:space="0" w:color="auto"/>
              <w:right w:val="single" w:sz="4" w:space="0" w:color="auto"/>
            </w:tcBorders>
            <w:shd w:val="clear" w:color="auto" w:fill="auto"/>
            <w:hideMark/>
          </w:tcPr>
          <w:p w14:paraId="6DAABA7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75.000</w:t>
            </w:r>
          </w:p>
        </w:tc>
        <w:tc>
          <w:tcPr>
            <w:tcW w:w="1134" w:type="dxa"/>
            <w:tcBorders>
              <w:top w:val="nil"/>
              <w:left w:val="nil"/>
              <w:bottom w:val="single" w:sz="4" w:space="0" w:color="auto"/>
              <w:right w:val="single" w:sz="4" w:space="0" w:color="auto"/>
            </w:tcBorders>
            <w:shd w:val="clear" w:color="auto" w:fill="auto"/>
            <w:noWrap/>
            <w:hideMark/>
          </w:tcPr>
          <w:p w14:paraId="49BF8A8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2005</w:t>
            </w:r>
          </w:p>
        </w:tc>
        <w:tc>
          <w:tcPr>
            <w:tcW w:w="2839" w:type="dxa"/>
            <w:tcBorders>
              <w:top w:val="nil"/>
              <w:left w:val="nil"/>
              <w:bottom w:val="single" w:sz="4" w:space="0" w:color="auto"/>
              <w:right w:val="single" w:sz="4" w:space="0" w:color="auto"/>
            </w:tcBorders>
            <w:shd w:val="clear" w:color="auto" w:fill="auto"/>
            <w:hideMark/>
          </w:tcPr>
          <w:p w14:paraId="5432DC53" w14:textId="77777777" w:rsidR="007947BF" w:rsidRPr="008662BF" w:rsidRDefault="00A2244D" w:rsidP="005974B8">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Средства од меѓународни проекти</w:t>
            </w:r>
            <w:r w:rsidR="007947BF" w:rsidRPr="008662BF">
              <w:rPr>
                <w:rFonts w:eastAsia="Times New Roman" w:cs="Times New Roman"/>
                <w:color w:val="000000"/>
                <w:sz w:val="20"/>
                <w:szCs w:val="20"/>
                <w:lang w:val="mk-MK"/>
              </w:rPr>
              <w:br/>
            </w:r>
            <w:r w:rsidR="005974B8">
              <w:rPr>
                <w:rFonts w:eastAsia="Times New Roman" w:cs="Times New Roman"/>
                <w:color w:val="000000"/>
                <w:sz w:val="20"/>
                <w:szCs w:val="20"/>
                <w:lang w:val="mk-MK"/>
              </w:rPr>
              <w:t xml:space="preserve">Проект </w:t>
            </w:r>
            <w:r w:rsidR="007947BF" w:rsidRPr="008662BF">
              <w:rPr>
                <w:rFonts w:eastAsia="Times New Roman" w:cs="Times New Roman"/>
                <w:color w:val="000000"/>
                <w:sz w:val="20"/>
                <w:szCs w:val="20"/>
                <w:lang w:val="mk-MK"/>
              </w:rPr>
              <w:t xml:space="preserve">FP 6 – ECO PCCM </w:t>
            </w:r>
          </w:p>
        </w:tc>
        <w:tc>
          <w:tcPr>
            <w:tcW w:w="1223" w:type="dxa"/>
            <w:tcBorders>
              <w:top w:val="nil"/>
              <w:left w:val="nil"/>
              <w:bottom w:val="single" w:sz="4" w:space="0" w:color="auto"/>
              <w:right w:val="single" w:sz="4" w:space="0" w:color="auto"/>
            </w:tcBorders>
            <w:shd w:val="clear" w:color="auto" w:fill="auto"/>
            <w:noWrap/>
            <w:vAlign w:val="center"/>
            <w:hideMark/>
          </w:tcPr>
          <w:p w14:paraId="3E3B303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30-35 </w:t>
            </w:r>
          </w:p>
        </w:tc>
        <w:tc>
          <w:tcPr>
            <w:tcW w:w="1138" w:type="dxa"/>
            <w:tcBorders>
              <w:top w:val="nil"/>
              <w:left w:val="nil"/>
              <w:bottom w:val="single" w:sz="4" w:space="0" w:color="auto"/>
              <w:right w:val="single" w:sz="4" w:space="0" w:color="auto"/>
            </w:tcBorders>
            <w:shd w:val="clear" w:color="auto" w:fill="auto"/>
            <w:noWrap/>
            <w:vAlign w:val="center"/>
            <w:hideMark/>
          </w:tcPr>
          <w:p w14:paraId="7FB5CCE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30-50</w:t>
            </w:r>
          </w:p>
        </w:tc>
      </w:tr>
      <w:tr w:rsidR="005C06A9" w:rsidRPr="008662BF" w14:paraId="3FAD2F06" w14:textId="77777777" w:rsidTr="00E1385A">
        <w:tc>
          <w:tcPr>
            <w:tcW w:w="2192" w:type="dxa"/>
            <w:vMerge w:val="restart"/>
            <w:tcBorders>
              <w:top w:val="nil"/>
              <w:left w:val="single" w:sz="4" w:space="0" w:color="auto"/>
              <w:bottom w:val="single" w:sz="4" w:space="0" w:color="auto"/>
              <w:right w:val="single" w:sz="4" w:space="0" w:color="auto"/>
            </w:tcBorders>
            <w:shd w:val="clear" w:color="auto" w:fill="auto"/>
            <w:vAlign w:val="center"/>
            <w:hideMark/>
          </w:tcPr>
          <w:p w14:paraId="39E999F3" w14:textId="77777777" w:rsidR="007947BF" w:rsidRPr="008662BF" w:rsidRDefault="004208A6"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Технолошко-металуршки факултет, Лабораторија за прехранбена технологија и биотехнологија </w:t>
            </w:r>
          </w:p>
          <w:p w14:paraId="51C3CDBA" w14:textId="77777777" w:rsidR="004208A6" w:rsidRPr="008662BF" w:rsidRDefault="004208A6" w:rsidP="00E1385A">
            <w:pPr>
              <w:spacing w:after="0" w:line="240" w:lineRule="auto"/>
              <w:jc w:val="center"/>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hideMark/>
          </w:tcPr>
          <w:p w14:paraId="5FB8393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w:t>
            </w:r>
          </w:p>
        </w:tc>
        <w:tc>
          <w:tcPr>
            <w:tcW w:w="4536" w:type="dxa"/>
            <w:tcBorders>
              <w:top w:val="nil"/>
              <w:left w:val="nil"/>
              <w:bottom w:val="single" w:sz="4" w:space="0" w:color="auto"/>
              <w:right w:val="single" w:sz="4" w:space="0" w:color="auto"/>
            </w:tcBorders>
            <w:shd w:val="clear" w:color="auto" w:fill="auto"/>
            <w:hideMark/>
          </w:tcPr>
          <w:p w14:paraId="39784C0C" w14:textId="77777777" w:rsidR="007947BF" w:rsidRPr="008662BF" w:rsidRDefault="0033134E"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Течна хроматографија со високи перформанси </w:t>
            </w:r>
            <w:r w:rsidR="007947BF" w:rsidRPr="008662BF">
              <w:rPr>
                <w:rFonts w:eastAsia="Times New Roman" w:cs="Times New Roman"/>
                <w:color w:val="000000"/>
                <w:sz w:val="20"/>
                <w:szCs w:val="20"/>
                <w:lang w:val="mk-MK"/>
              </w:rPr>
              <w:t>(HPLC)</w:t>
            </w:r>
          </w:p>
        </w:tc>
        <w:tc>
          <w:tcPr>
            <w:tcW w:w="1275" w:type="dxa"/>
            <w:tcBorders>
              <w:top w:val="nil"/>
              <w:left w:val="nil"/>
              <w:bottom w:val="single" w:sz="4" w:space="0" w:color="auto"/>
              <w:right w:val="single" w:sz="4" w:space="0" w:color="auto"/>
            </w:tcBorders>
            <w:shd w:val="clear" w:color="auto" w:fill="auto"/>
            <w:hideMark/>
          </w:tcPr>
          <w:p w14:paraId="570A4A5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53.000</w:t>
            </w:r>
          </w:p>
        </w:tc>
        <w:tc>
          <w:tcPr>
            <w:tcW w:w="1134" w:type="dxa"/>
            <w:tcBorders>
              <w:top w:val="nil"/>
              <w:left w:val="nil"/>
              <w:bottom w:val="single" w:sz="4" w:space="0" w:color="auto"/>
              <w:right w:val="single" w:sz="4" w:space="0" w:color="auto"/>
            </w:tcBorders>
            <w:shd w:val="clear" w:color="auto" w:fill="auto"/>
            <w:noWrap/>
            <w:hideMark/>
          </w:tcPr>
          <w:p w14:paraId="40D3C21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2009</w:t>
            </w:r>
          </w:p>
        </w:tc>
        <w:tc>
          <w:tcPr>
            <w:tcW w:w="2839" w:type="dxa"/>
            <w:tcBorders>
              <w:top w:val="nil"/>
              <w:left w:val="nil"/>
              <w:bottom w:val="single" w:sz="4" w:space="0" w:color="auto"/>
              <w:right w:val="single" w:sz="4" w:space="0" w:color="auto"/>
            </w:tcBorders>
            <w:shd w:val="clear" w:color="auto" w:fill="auto"/>
            <w:hideMark/>
          </w:tcPr>
          <w:p w14:paraId="16CA4400"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Средства од меѓународни проекти</w:t>
            </w:r>
          </w:p>
        </w:tc>
        <w:tc>
          <w:tcPr>
            <w:tcW w:w="1223" w:type="dxa"/>
            <w:tcBorders>
              <w:top w:val="nil"/>
              <w:left w:val="nil"/>
              <w:bottom w:val="single" w:sz="4" w:space="0" w:color="auto"/>
              <w:right w:val="single" w:sz="4" w:space="0" w:color="auto"/>
            </w:tcBorders>
            <w:shd w:val="clear" w:color="auto" w:fill="auto"/>
            <w:noWrap/>
            <w:vAlign w:val="center"/>
            <w:hideMark/>
          </w:tcPr>
          <w:p w14:paraId="689F84B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w:t>
            </w:r>
          </w:p>
        </w:tc>
        <w:tc>
          <w:tcPr>
            <w:tcW w:w="1138" w:type="dxa"/>
            <w:tcBorders>
              <w:top w:val="nil"/>
              <w:left w:val="nil"/>
              <w:bottom w:val="single" w:sz="4" w:space="0" w:color="auto"/>
              <w:right w:val="single" w:sz="4" w:space="0" w:color="auto"/>
            </w:tcBorders>
            <w:shd w:val="clear" w:color="auto" w:fill="auto"/>
            <w:noWrap/>
            <w:vAlign w:val="center"/>
            <w:hideMark/>
          </w:tcPr>
          <w:p w14:paraId="4AB2928E" w14:textId="77777777" w:rsidR="007947BF" w:rsidRPr="008662BF" w:rsidRDefault="007947BF" w:rsidP="005974B8">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 </w:t>
            </w:r>
            <w:r w:rsidR="005974B8">
              <w:rPr>
                <w:rFonts w:eastAsia="Times New Roman" w:cs="Times New Roman"/>
                <w:color w:val="000000"/>
                <w:sz w:val="20"/>
                <w:szCs w:val="20"/>
                <w:lang w:val="mk-MK"/>
              </w:rPr>
              <w:t>на ден</w:t>
            </w:r>
          </w:p>
        </w:tc>
      </w:tr>
      <w:tr w:rsidR="005C06A9" w:rsidRPr="008662BF" w14:paraId="002F57E0"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71F1C00F"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261F93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c>
          <w:tcPr>
            <w:tcW w:w="4536" w:type="dxa"/>
            <w:tcBorders>
              <w:top w:val="nil"/>
              <w:left w:val="nil"/>
              <w:bottom w:val="single" w:sz="4" w:space="0" w:color="auto"/>
              <w:right w:val="single" w:sz="4" w:space="0" w:color="auto"/>
            </w:tcBorders>
            <w:shd w:val="clear" w:color="auto" w:fill="auto"/>
            <w:hideMark/>
          </w:tcPr>
          <w:p w14:paraId="63A24689"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FISCHER AUTODEST MODEL 800 </w:t>
            </w:r>
            <w:r w:rsidR="0033134E" w:rsidRPr="008662BF">
              <w:rPr>
                <w:rFonts w:eastAsia="Times New Roman" w:cs="Times New Roman"/>
                <w:color w:val="000000"/>
                <w:sz w:val="20"/>
                <w:szCs w:val="20"/>
                <w:lang w:val="mk-MK"/>
              </w:rPr>
              <w:t xml:space="preserve">Апарат за дестилација со вакуум </w:t>
            </w:r>
          </w:p>
        </w:tc>
        <w:tc>
          <w:tcPr>
            <w:tcW w:w="1275" w:type="dxa"/>
            <w:tcBorders>
              <w:top w:val="nil"/>
              <w:left w:val="nil"/>
              <w:bottom w:val="single" w:sz="4" w:space="0" w:color="auto"/>
              <w:right w:val="single" w:sz="4" w:space="0" w:color="auto"/>
            </w:tcBorders>
            <w:shd w:val="clear" w:color="auto" w:fill="auto"/>
            <w:hideMark/>
          </w:tcPr>
          <w:p w14:paraId="6378DF4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200.000</w:t>
            </w:r>
          </w:p>
        </w:tc>
        <w:tc>
          <w:tcPr>
            <w:tcW w:w="1134" w:type="dxa"/>
            <w:tcBorders>
              <w:top w:val="nil"/>
              <w:left w:val="nil"/>
              <w:bottom w:val="single" w:sz="4" w:space="0" w:color="auto"/>
              <w:right w:val="single" w:sz="4" w:space="0" w:color="auto"/>
            </w:tcBorders>
            <w:shd w:val="clear" w:color="auto" w:fill="auto"/>
            <w:noWrap/>
            <w:hideMark/>
          </w:tcPr>
          <w:p w14:paraId="2F1A2A5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c>
          <w:tcPr>
            <w:tcW w:w="2839" w:type="dxa"/>
            <w:tcBorders>
              <w:top w:val="nil"/>
              <w:left w:val="nil"/>
              <w:bottom w:val="single" w:sz="4" w:space="0" w:color="auto"/>
              <w:right w:val="single" w:sz="4" w:space="0" w:color="auto"/>
            </w:tcBorders>
            <w:shd w:val="clear" w:color="auto" w:fill="auto"/>
            <w:hideMark/>
          </w:tcPr>
          <w:p w14:paraId="19D62D8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c>
          <w:tcPr>
            <w:tcW w:w="1223" w:type="dxa"/>
            <w:tcBorders>
              <w:top w:val="nil"/>
              <w:left w:val="nil"/>
              <w:bottom w:val="single" w:sz="4" w:space="0" w:color="auto"/>
              <w:right w:val="single" w:sz="4" w:space="0" w:color="auto"/>
            </w:tcBorders>
            <w:shd w:val="clear" w:color="auto" w:fill="auto"/>
            <w:noWrap/>
            <w:vAlign w:val="center"/>
            <w:hideMark/>
          </w:tcPr>
          <w:p w14:paraId="489CA40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4D652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55923BF3" w14:textId="77777777" w:rsidTr="00520621">
        <w:tc>
          <w:tcPr>
            <w:tcW w:w="2223" w:type="dxa"/>
            <w:tcBorders>
              <w:top w:val="nil"/>
              <w:left w:val="single" w:sz="4" w:space="0" w:color="auto"/>
              <w:bottom w:val="single" w:sz="4" w:space="0" w:color="auto"/>
              <w:right w:val="single" w:sz="4" w:space="0" w:color="auto"/>
            </w:tcBorders>
            <w:shd w:val="clear" w:color="auto" w:fill="auto"/>
            <w:vAlign w:val="center"/>
            <w:hideMark/>
          </w:tcPr>
          <w:p w14:paraId="334AEEC3" w14:textId="77777777" w:rsidR="007947BF" w:rsidRPr="008662BF" w:rsidRDefault="006541E7"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lastRenderedPageBreak/>
              <w:t>УКИМ, Технолошко-металуршки факултет, Текстилна лабораторија</w:t>
            </w:r>
          </w:p>
        </w:tc>
        <w:tc>
          <w:tcPr>
            <w:tcW w:w="388" w:type="dxa"/>
            <w:tcBorders>
              <w:top w:val="nil"/>
              <w:left w:val="nil"/>
              <w:bottom w:val="single" w:sz="4" w:space="0" w:color="auto"/>
              <w:right w:val="single" w:sz="4" w:space="0" w:color="auto"/>
            </w:tcBorders>
            <w:shd w:val="clear" w:color="auto" w:fill="auto"/>
            <w:hideMark/>
          </w:tcPr>
          <w:p w14:paraId="5CB6862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w:t>
            </w:r>
          </w:p>
        </w:tc>
        <w:tc>
          <w:tcPr>
            <w:tcW w:w="4536" w:type="dxa"/>
            <w:tcBorders>
              <w:top w:val="nil"/>
              <w:left w:val="nil"/>
              <w:bottom w:val="single" w:sz="4" w:space="0" w:color="auto"/>
              <w:right w:val="single" w:sz="4" w:space="0" w:color="auto"/>
            </w:tcBorders>
            <w:shd w:val="clear" w:color="auto" w:fill="auto"/>
            <w:hideMark/>
          </w:tcPr>
          <w:p w14:paraId="61449FAA" w14:textId="77777777" w:rsidR="007947BF" w:rsidRPr="00E6229E" w:rsidRDefault="00ED18EB"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Обезбедување квалитет на ткаенина со едноставно тестирање и F.A.S.T. 1-4 и испитување со преса</w:t>
            </w:r>
          </w:p>
        </w:tc>
        <w:tc>
          <w:tcPr>
            <w:tcW w:w="1275" w:type="dxa"/>
            <w:tcBorders>
              <w:top w:val="nil"/>
              <w:left w:val="nil"/>
              <w:bottom w:val="single" w:sz="4" w:space="0" w:color="auto"/>
              <w:right w:val="single" w:sz="4" w:space="0" w:color="auto"/>
            </w:tcBorders>
            <w:shd w:val="clear" w:color="auto" w:fill="auto"/>
            <w:hideMark/>
          </w:tcPr>
          <w:p w14:paraId="20AE2A6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51.000</w:t>
            </w:r>
          </w:p>
        </w:tc>
        <w:tc>
          <w:tcPr>
            <w:tcW w:w="1134" w:type="dxa"/>
            <w:tcBorders>
              <w:top w:val="nil"/>
              <w:left w:val="nil"/>
              <w:bottom w:val="single" w:sz="4" w:space="0" w:color="auto"/>
              <w:right w:val="single" w:sz="4" w:space="0" w:color="auto"/>
            </w:tcBorders>
            <w:shd w:val="clear" w:color="auto" w:fill="auto"/>
            <w:noWrap/>
            <w:hideMark/>
          </w:tcPr>
          <w:p w14:paraId="549C9B1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16F77324"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w:t>
            </w:r>
            <w:r w:rsidR="00A94FBB"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noWrap/>
            <w:vAlign w:val="center"/>
            <w:hideMark/>
          </w:tcPr>
          <w:p w14:paraId="2E08EA1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noWrap/>
            <w:vAlign w:val="center"/>
            <w:hideMark/>
          </w:tcPr>
          <w:p w14:paraId="270A6A0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w:t>
            </w:r>
          </w:p>
        </w:tc>
      </w:tr>
      <w:tr w:rsidR="005C06A9" w:rsidRPr="008662BF" w14:paraId="3B25B9EC"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6612B5F6" w14:textId="77777777" w:rsidR="007947BF" w:rsidRPr="008662BF" w:rsidRDefault="006541E7"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УКИМ, Факултет за информатички науки и компјутерско инженерство, Национален центар за пресметување со високи перформанси и облак</w:t>
            </w:r>
          </w:p>
        </w:tc>
        <w:tc>
          <w:tcPr>
            <w:tcW w:w="388" w:type="dxa"/>
            <w:tcBorders>
              <w:top w:val="nil"/>
              <w:left w:val="nil"/>
              <w:bottom w:val="single" w:sz="4" w:space="0" w:color="auto"/>
              <w:right w:val="single" w:sz="4" w:space="0" w:color="auto"/>
            </w:tcBorders>
            <w:shd w:val="clear" w:color="auto" w:fill="auto"/>
            <w:hideMark/>
          </w:tcPr>
          <w:p w14:paraId="76DB92A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9</w:t>
            </w:r>
          </w:p>
        </w:tc>
        <w:tc>
          <w:tcPr>
            <w:tcW w:w="4536" w:type="dxa"/>
            <w:tcBorders>
              <w:top w:val="nil"/>
              <w:left w:val="nil"/>
              <w:bottom w:val="single" w:sz="4" w:space="0" w:color="auto"/>
              <w:right w:val="single" w:sz="4" w:space="0" w:color="auto"/>
            </w:tcBorders>
            <w:shd w:val="clear" w:color="auto" w:fill="auto"/>
            <w:hideMark/>
          </w:tcPr>
          <w:p w14:paraId="60960D46" w14:textId="77777777" w:rsidR="007947BF" w:rsidRPr="00E6229E" w:rsidRDefault="003A02F1"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HPC кластер</w:t>
            </w:r>
          </w:p>
        </w:tc>
        <w:tc>
          <w:tcPr>
            <w:tcW w:w="1275" w:type="dxa"/>
            <w:tcBorders>
              <w:top w:val="nil"/>
              <w:left w:val="nil"/>
              <w:bottom w:val="single" w:sz="4" w:space="0" w:color="auto"/>
              <w:right w:val="single" w:sz="4" w:space="0" w:color="auto"/>
            </w:tcBorders>
            <w:shd w:val="clear" w:color="auto" w:fill="auto"/>
            <w:hideMark/>
          </w:tcPr>
          <w:p w14:paraId="778812F7"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~1.000.000</w:t>
            </w:r>
          </w:p>
        </w:tc>
        <w:tc>
          <w:tcPr>
            <w:tcW w:w="1134" w:type="dxa"/>
            <w:tcBorders>
              <w:top w:val="nil"/>
              <w:left w:val="nil"/>
              <w:bottom w:val="single" w:sz="4" w:space="0" w:color="auto"/>
              <w:right w:val="single" w:sz="4" w:space="0" w:color="auto"/>
            </w:tcBorders>
            <w:shd w:val="clear" w:color="auto" w:fill="auto"/>
            <w:hideMark/>
          </w:tcPr>
          <w:p w14:paraId="3A4C741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2010</w:t>
            </w:r>
          </w:p>
        </w:tc>
        <w:tc>
          <w:tcPr>
            <w:tcW w:w="2839" w:type="dxa"/>
            <w:tcBorders>
              <w:top w:val="nil"/>
              <w:left w:val="nil"/>
              <w:bottom w:val="single" w:sz="4" w:space="0" w:color="auto"/>
              <w:right w:val="single" w:sz="4" w:space="0" w:color="auto"/>
            </w:tcBorders>
            <w:shd w:val="clear" w:color="auto" w:fill="auto"/>
            <w:hideMark/>
          </w:tcPr>
          <w:p w14:paraId="220E2844"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vAlign w:val="center"/>
            <w:hideMark/>
          </w:tcPr>
          <w:p w14:paraId="142B7BF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15 </w:t>
            </w:r>
          </w:p>
        </w:tc>
        <w:tc>
          <w:tcPr>
            <w:tcW w:w="1102" w:type="dxa"/>
            <w:tcBorders>
              <w:top w:val="nil"/>
              <w:left w:val="nil"/>
              <w:bottom w:val="single" w:sz="4" w:space="0" w:color="auto"/>
              <w:right w:val="single" w:sz="4" w:space="0" w:color="auto"/>
            </w:tcBorders>
            <w:shd w:val="clear" w:color="auto" w:fill="auto"/>
            <w:vAlign w:val="center"/>
            <w:hideMark/>
          </w:tcPr>
          <w:p w14:paraId="6340771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&gt;100</w:t>
            </w:r>
          </w:p>
        </w:tc>
      </w:tr>
      <w:tr w:rsidR="005C06A9" w:rsidRPr="008662BF" w14:paraId="4B0CC897"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315A6349"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39FA51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4536" w:type="dxa"/>
            <w:tcBorders>
              <w:top w:val="nil"/>
              <w:left w:val="nil"/>
              <w:bottom w:val="single" w:sz="4" w:space="0" w:color="auto"/>
              <w:right w:val="single" w:sz="4" w:space="0" w:color="auto"/>
            </w:tcBorders>
            <w:shd w:val="clear" w:color="auto" w:fill="auto"/>
            <w:hideMark/>
          </w:tcPr>
          <w:p w14:paraId="4E8E08D9" w14:textId="77777777" w:rsidR="007947BF" w:rsidRPr="00E6229E" w:rsidRDefault="003A02F1" w:rsidP="00E6229E">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Кластер во облак</w:t>
            </w:r>
          </w:p>
        </w:tc>
        <w:tc>
          <w:tcPr>
            <w:tcW w:w="1275" w:type="dxa"/>
            <w:tcBorders>
              <w:top w:val="nil"/>
              <w:left w:val="nil"/>
              <w:bottom w:val="single" w:sz="4" w:space="0" w:color="auto"/>
              <w:right w:val="single" w:sz="4" w:space="0" w:color="auto"/>
            </w:tcBorders>
            <w:shd w:val="clear" w:color="auto" w:fill="auto"/>
            <w:hideMark/>
          </w:tcPr>
          <w:p w14:paraId="39F65967"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~2.500.000</w:t>
            </w:r>
          </w:p>
        </w:tc>
        <w:tc>
          <w:tcPr>
            <w:tcW w:w="1134" w:type="dxa"/>
            <w:tcBorders>
              <w:top w:val="nil"/>
              <w:left w:val="nil"/>
              <w:bottom w:val="single" w:sz="4" w:space="0" w:color="auto"/>
              <w:right w:val="single" w:sz="4" w:space="0" w:color="auto"/>
            </w:tcBorders>
            <w:shd w:val="clear" w:color="auto" w:fill="auto"/>
            <w:hideMark/>
          </w:tcPr>
          <w:p w14:paraId="3AD0A5D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hideMark/>
          </w:tcPr>
          <w:p w14:paraId="71766E95"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p>
        </w:tc>
        <w:tc>
          <w:tcPr>
            <w:tcW w:w="1223" w:type="dxa"/>
            <w:tcBorders>
              <w:top w:val="nil"/>
              <w:left w:val="nil"/>
              <w:bottom w:val="single" w:sz="4" w:space="0" w:color="auto"/>
              <w:right w:val="single" w:sz="4" w:space="0" w:color="auto"/>
            </w:tcBorders>
            <w:shd w:val="clear" w:color="auto" w:fill="auto"/>
            <w:vAlign w:val="center"/>
            <w:hideMark/>
          </w:tcPr>
          <w:p w14:paraId="677D4FA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15 </w:t>
            </w:r>
          </w:p>
        </w:tc>
        <w:tc>
          <w:tcPr>
            <w:tcW w:w="1102" w:type="dxa"/>
            <w:tcBorders>
              <w:top w:val="nil"/>
              <w:left w:val="nil"/>
              <w:bottom w:val="single" w:sz="4" w:space="0" w:color="auto"/>
              <w:right w:val="single" w:sz="4" w:space="0" w:color="auto"/>
            </w:tcBorders>
            <w:shd w:val="clear" w:color="auto" w:fill="auto"/>
            <w:vAlign w:val="center"/>
            <w:hideMark/>
          </w:tcPr>
          <w:p w14:paraId="4D65878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&gt;100</w:t>
            </w:r>
          </w:p>
        </w:tc>
      </w:tr>
      <w:tr w:rsidR="005C06A9" w:rsidRPr="008662BF" w14:paraId="16AB3EEA"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44782970"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50DA8CB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11</w:t>
            </w:r>
          </w:p>
        </w:tc>
        <w:tc>
          <w:tcPr>
            <w:tcW w:w="4536" w:type="dxa"/>
            <w:tcBorders>
              <w:top w:val="nil"/>
              <w:left w:val="nil"/>
              <w:bottom w:val="single" w:sz="4" w:space="0" w:color="auto"/>
              <w:right w:val="single" w:sz="4" w:space="0" w:color="auto"/>
            </w:tcBorders>
            <w:shd w:val="clear" w:color="auto" w:fill="auto"/>
            <w:hideMark/>
          </w:tcPr>
          <w:p w14:paraId="6B546ECA" w14:textId="77777777" w:rsidR="007947BF" w:rsidRPr="00E6229E" w:rsidRDefault="007947BF"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 xml:space="preserve">GPGPU </w:t>
            </w:r>
            <w:r w:rsidR="003A02F1" w:rsidRPr="00E6229E">
              <w:rPr>
                <w:rFonts w:eastAsia="Times New Roman" w:cs="Times New Roman"/>
                <w:color w:val="000000"/>
                <w:sz w:val="20"/>
                <w:szCs w:val="20"/>
                <w:lang w:val="mk-MK"/>
              </w:rPr>
              <w:t xml:space="preserve">кластер </w:t>
            </w:r>
          </w:p>
        </w:tc>
        <w:tc>
          <w:tcPr>
            <w:tcW w:w="1275" w:type="dxa"/>
            <w:tcBorders>
              <w:top w:val="nil"/>
              <w:left w:val="nil"/>
              <w:bottom w:val="single" w:sz="4" w:space="0" w:color="auto"/>
              <w:right w:val="single" w:sz="4" w:space="0" w:color="auto"/>
            </w:tcBorders>
            <w:shd w:val="clear" w:color="auto" w:fill="auto"/>
            <w:hideMark/>
          </w:tcPr>
          <w:p w14:paraId="212B2B54"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~50.000,00</w:t>
            </w:r>
          </w:p>
        </w:tc>
        <w:tc>
          <w:tcPr>
            <w:tcW w:w="1134" w:type="dxa"/>
            <w:tcBorders>
              <w:top w:val="nil"/>
              <w:left w:val="nil"/>
              <w:bottom w:val="single" w:sz="4" w:space="0" w:color="auto"/>
              <w:right w:val="single" w:sz="4" w:space="0" w:color="auto"/>
            </w:tcBorders>
            <w:shd w:val="clear" w:color="auto" w:fill="auto"/>
            <w:hideMark/>
          </w:tcPr>
          <w:p w14:paraId="1029F76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2020</w:t>
            </w:r>
          </w:p>
        </w:tc>
        <w:tc>
          <w:tcPr>
            <w:tcW w:w="2839" w:type="dxa"/>
            <w:tcBorders>
              <w:top w:val="nil"/>
              <w:left w:val="nil"/>
              <w:bottom w:val="single" w:sz="4" w:space="0" w:color="auto"/>
              <w:right w:val="single" w:sz="4" w:space="0" w:color="auto"/>
            </w:tcBorders>
            <w:shd w:val="clear" w:color="auto" w:fill="auto"/>
            <w:hideMark/>
          </w:tcPr>
          <w:p w14:paraId="3504111E" w14:textId="45477340"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Сопствени </w:t>
            </w:r>
            <w:r w:rsidR="00033470">
              <w:rPr>
                <w:rFonts w:eastAsia="Times New Roman" w:cs="Times New Roman"/>
                <w:color w:val="000000"/>
                <w:sz w:val="20"/>
                <w:szCs w:val="20"/>
                <w:lang w:val="mk-MK"/>
              </w:rPr>
              <w:t>средства/донација</w:t>
            </w:r>
          </w:p>
        </w:tc>
        <w:tc>
          <w:tcPr>
            <w:tcW w:w="1223" w:type="dxa"/>
            <w:tcBorders>
              <w:top w:val="nil"/>
              <w:left w:val="nil"/>
              <w:bottom w:val="single" w:sz="4" w:space="0" w:color="auto"/>
              <w:right w:val="single" w:sz="4" w:space="0" w:color="auto"/>
            </w:tcBorders>
            <w:shd w:val="clear" w:color="auto" w:fill="auto"/>
            <w:vAlign w:val="center"/>
            <w:hideMark/>
          </w:tcPr>
          <w:p w14:paraId="78116D4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vAlign w:val="center"/>
            <w:hideMark/>
          </w:tcPr>
          <w:p w14:paraId="4F9B5F7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&gt;50</w:t>
            </w:r>
          </w:p>
        </w:tc>
      </w:tr>
      <w:tr w:rsidR="005C06A9" w:rsidRPr="008662BF" w14:paraId="1E6FF1A5"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42995E31"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0BF46B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12</w:t>
            </w:r>
          </w:p>
        </w:tc>
        <w:tc>
          <w:tcPr>
            <w:tcW w:w="4536" w:type="dxa"/>
            <w:tcBorders>
              <w:top w:val="nil"/>
              <w:left w:val="nil"/>
              <w:bottom w:val="single" w:sz="4" w:space="0" w:color="auto"/>
              <w:right w:val="single" w:sz="4" w:space="0" w:color="auto"/>
            </w:tcBorders>
            <w:shd w:val="clear" w:color="auto" w:fill="auto"/>
            <w:hideMark/>
          </w:tcPr>
          <w:p w14:paraId="15085D7B" w14:textId="77777777" w:rsidR="007947BF" w:rsidRPr="00E6229E" w:rsidRDefault="003A02F1"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IPX (Размена на интернет сообраќај</w:t>
            </w:r>
            <w:r w:rsidR="007947BF" w:rsidRPr="00E6229E">
              <w:rPr>
                <w:rFonts w:eastAsia="Times New Roman" w:cs="Times New Roman"/>
                <w:color w:val="000000"/>
                <w:sz w:val="20"/>
                <w:szCs w:val="20"/>
                <w:lang w:val="mk-MK"/>
              </w:rPr>
              <w:t>)</w:t>
            </w:r>
          </w:p>
        </w:tc>
        <w:tc>
          <w:tcPr>
            <w:tcW w:w="1275" w:type="dxa"/>
            <w:tcBorders>
              <w:top w:val="nil"/>
              <w:left w:val="nil"/>
              <w:bottom w:val="single" w:sz="4" w:space="0" w:color="auto"/>
              <w:right w:val="single" w:sz="4" w:space="0" w:color="auto"/>
            </w:tcBorders>
            <w:shd w:val="clear" w:color="auto" w:fill="auto"/>
            <w:hideMark/>
          </w:tcPr>
          <w:p w14:paraId="7CF6F559"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~50.000,00</w:t>
            </w:r>
          </w:p>
        </w:tc>
        <w:tc>
          <w:tcPr>
            <w:tcW w:w="1134" w:type="dxa"/>
            <w:tcBorders>
              <w:top w:val="nil"/>
              <w:left w:val="nil"/>
              <w:bottom w:val="single" w:sz="4" w:space="0" w:color="auto"/>
              <w:right w:val="single" w:sz="4" w:space="0" w:color="auto"/>
            </w:tcBorders>
            <w:shd w:val="clear" w:color="auto" w:fill="auto"/>
            <w:hideMark/>
          </w:tcPr>
          <w:p w14:paraId="292F43F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2019</w:t>
            </w:r>
          </w:p>
        </w:tc>
        <w:tc>
          <w:tcPr>
            <w:tcW w:w="2839" w:type="dxa"/>
            <w:tcBorders>
              <w:top w:val="nil"/>
              <w:left w:val="nil"/>
              <w:bottom w:val="single" w:sz="4" w:space="0" w:color="auto"/>
              <w:right w:val="single" w:sz="4" w:space="0" w:color="auto"/>
            </w:tcBorders>
            <w:shd w:val="clear" w:color="auto" w:fill="auto"/>
            <w:hideMark/>
          </w:tcPr>
          <w:p w14:paraId="154FB659" w14:textId="1737D768"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Сопствени </w:t>
            </w:r>
            <w:r w:rsidR="00033470">
              <w:rPr>
                <w:rFonts w:eastAsia="Times New Roman" w:cs="Times New Roman"/>
                <w:color w:val="000000"/>
                <w:sz w:val="20"/>
                <w:szCs w:val="20"/>
                <w:lang w:val="mk-MK"/>
              </w:rPr>
              <w:t>средства/донација</w:t>
            </w:r>
          </w:p>
        </w:tc>
        <w:tc>
          <w:tcPr>
            <w:tcW w:w="1223" w:type="dxa"/>
            <w:tcBorders>
              <w:top w:val="nil"/>
              <w:left w:val="nil"/>
              <w:bottom w:val="single" w:sz="4" w:space="0" w:color="auto"/>
              <w:right w:val="single" w:sz="4" w:space="0" w:color="auto"/>
            </w:tcBorders>
            <w:shd w:val="clear" w:color="auto" w:fill="auto"/>
            <w:vAlign w:val="center"/>
            <w:hideMark/>
          </w:tcPr>
          <w:p w14:paraId="2E1336B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15 </w:t>
            </w:r>
          </w:p>
        </w:tc>
        <w:tc>
          <w:tcPr>
            <w:tcW w:w="1102" w:type="dxa"/>
            <w:tcBorders>
              <w:top w:val="nil"/>
              <w:left w:val="nil"/>
              <w:bottom w:val="single" w:sz="4" w:space="0" w:color="auto"/>
              <w:right w:val="single" w:sz="4" w:space="0" w:color="auto"/>
            </w:tcBorders>
            <w:shd w:val="clear" w:color="auto" w:fill="auto"/>
            <w:vAlign w:val="center"/>
            <w:hideMark/>
          </w:tcPr>
          <w:p w14:paraId="3227082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166DCB30"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479612FE"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363821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13</w:t>
            </w:r>
          </w:p>
        </w:tc>
        <w:tc>
          <w:tcPr>
            <w:tcW w:w="4536" w:type="dxa"/>
            <w:tcBorders>
              <w:top w:val="nil"/>
              <w:left w:val="nil"/>
              <w:bottom w:val="single" w:sz="4" w:space="0" w:color="auto"/>
              <w:right w:val="single" w:sz="4" w:space="0" w:color="auto"/>
            </w:tcBorders>
            <w:shd w:val="clear" w:color="auto" w:fill="auto"/>
            <w:noWrap/>
            <w:hideMark/>
          </w:tcPr>
          <w:p w14:paraId="7B83D605" w14:textId="77777777" w:rsidR="007947BF" w:rsidRPr="00E6229E" w:rsidRDefault="007947BF"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Airpointer-MLU Austria</w:t>
            </w:r>
          </w:p>
        </w:tc>
        <w:tc>
          <w:tcPr>
            <w:tcW w:w="1275" w:type="dxa"/>
            <w:tcBorders>
              <w:top w:val="nil"/>
              <w:left w:val="nil"/>
              <w:bottom w:val="single" w:sz="4" w:space="0" w:color="auto"/>
              <w:right w:val="single" w:sz="4" w:space="0" w:color="auto"/>
            </w:tcBorders>
            <w:shd w:val="clear" w:color="auto" w:fill="auto"/>
            <w:hideMark/>
          </w:tcPr>
          <w:p w14:paraId="0BB67A3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90.000</w:t>
            </w:r>
          </w:p>
        </w:tc>
        <w:tc>
          <w:tcPr>
            <w:tcW w:w="1134" w:type="dxa"/>
            <w:tcBorders>
              <w:top w:val="nil"/>
              <w:left w:val="nil"/>
              <w:bottom w:val="single" w:sz="4" w:space="0" w:color="auto"/>
              <w:right w:val="single" w:sz="4" w:space="0" w:color="auto"/>
            </w:tcBorders>
            <w:shd w:val="clear" w:color="auto" w:fill="auto"/>
            <w:noWrap/>
            <w:hideMark/>
          </w:tcPr>
          <w:p w14:paraId="727ABE1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69DB1760"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noWrap/>
            <w:vAlign w:val="center"/>
            <w:hideMark/>
          </w:tcPr>
          <w:p w14:paraId="151C9F8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w:t>
            </w:r>
          </w:p>
        </w:tc>
        <w:tc>
          <w:tcPr>
            <w:tcW w:w="1102" w:type="dxa"/>
            <w:tcBorders>
              <w:top w:val="nil"/>
              <w:left w:val="nil"/>
              <w:bottom w:val="single" w:sz="4" w:space="0" w:color="auto"/>
              <w:right w:val="single" w:sz="4" w:space="0" w:color="auto"/>
            </w:tcBorders>
            <w:shd w:val="clear" w:color="auto" w:fill="auto"/>
            <w:noWrap/>
            <w:vAlign w:val="center"/>
            <w:hideMark/>
          </w:tcPr>
          <w:p w14:paraId="06200BB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w:t>
            </w:r>
          </w:p>
        </w:tc>
      </w:tr>
      <w:tr w:rsidR="005C06A9" w:rsidRPr="008662BF" w14:paraId="03A4EECD"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0D18BF44" w14:textId="77777777" w:rsidR="007947BF" w:rsidRPr="008662BF" w:rsidRDefault="006541E7"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УКИМ, Факултет за електротехника и информациски технологии, Лабораторија за физика</w:t>
            </w:r>
          </w:p>
        </w:tc>
        <w:tc>
          <w:tcPr>
            <w:tcW w:w="388" w:type="dxa"/>
            <w:tcBorders>
              <w:top w:val="nil"/>
              <w:left w:val="nil"/>
              <w:bottom w:val="single" w:sz="4" w:space="0" w:color="auto"/>
              <w:right w:val="single" w:sz="4" w:space="0" w:color="auto"/>
            </w:tcBorders>
            <w:shd w:val="clear" w:color="auto" w:fill="auto"/>
            <w:hideMark/>
          </w:tcPr>
          <w:p w14:paraId="096E4A7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14</w:t>
            </w:r>
          </w:p>
        </w:tc>
        <w:tc>
          <w:tcPr>
            <w:tcW w:w="4536" w:type="dxa"/>
            <w:tcBorders>
              <w:top w:val="nil"/>
              <w:left w:val="nil"/>
              <w:bottom w:val="single" w:sz="4" w:space="0" w:color="auto"/>
              <w:right w:val="single" w:sz="4" w:space="0" w:color="auto"/>
            </w:tcBorders>
            <w:shd w:val="clear" w:color="auto" w:fill="auto"/>
            <w:noWrap/>
            <w:hideMark/>
          </w:tcPr>
          <w:p w14:paraId="672BFBB1" w14:textId="77777777" w:rsidR="007947BF" w:rsidRPr="00E6229E" w:rsidRDefault="003A02F1"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 xml:space="preserve">Систем за датирање </w:t>
            </w:r>
            <w:r w:rsidR="007947BF" w:rsidRPr="00E6229E">
              <w:rPr>
                <w:rFonts w:eastAsia="Times New Roman" w:cs="Times New Roman"/>
                <w:color w:val="000000"/>
                <w:sz w:val="20"/>
                <w:szCs w:val="20"/>
                <w:lang w:val="mk-MK"/>
              </w:rPr>
              <w:t>Riso TL/OSL</w:t>
            </w:r>
          </w:p>
        </w:tc>
        <w:tc>
          <w:tcPr>
            <w:tcW w:w="1275" w:type="dxa"/>
            <w:tcBorders>
              <w:top w:val="nil"/>
              <w:left w:val="nil"/>
              <w:bottom w:val="single" w:sz="4" w:space="0" w:color="auto"/>
              <w:right w:val="single" w:sz="4" w:space="0" w:color="auto"/>
            </w:tcBorders>
            <w:shd w:val="clear" w:color="auto" w:fill="auto"/>
            <w:hideMark/>
          </w:tcPr>
          <w:p w14:paraId="1D63992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88.700</w:t>
            </w:r>
          </w:p>
        </w:tc>
        <w:tc>
          <w:tcPr>
            <w:tcW w:w="1134" w:type="dxa"/>
            <w:tcBorders>
              <w:top w:val="nil"/>
              <w:left w:val="nil"/>
              <w:bottom w:val="single" w:sz="4" w:space="0" w:color="auto"/>
              <w:right w:val="single" w:sz="4" w:space="0" w:color="auto"/>
            </w:tcBorders>
            <w:shd w:val="clear" w:color="auto" w:fill="auto"/>
            <w:noWrap/>
            <w:hideMark/>
          </w:tcPr>
          <w:p w14:paraId="10F8586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2016</w:t>
            </w:r>
          </w:p>
        </w:tc>
        <w:tc>
          <w:tcPr>
            <w:tcW w:w="2839" w:type="dxa"/>
            <w:tcBorders>
              <w:top w:val="nil"/>
              <w:left w:val="nil"/>
              <w:bottom w:val="single" w:sz="4" w:space="0" w:color="auto"/>
              <w:right w:val="single" w:sz="4" w:space="0" w:color="auto"/>
            </w:tcBorders>
            <w:shd w:val="clear" w:color="auto" w:fill="auto"/>
            <w:hideMark/>
          </w:tcPr>
          <w:p w14:paraId="2264F17E" w14:textId="77777777" w:rsidR="007947BF" w:rsidRPr="008662BF" w:rsidRDefault="00A2244D" w:rsidP="00ED18EB">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фондови/ донации </w:t>
            </w:r>
            <w:r w:rsidR="007947BF" w:rsidRPr="008662BF">
              <w:rPr>
                <w:rFonts w:eastAsia="Times New Roman" w:cs="Times New Roman"/>
                <w:color w:val="000000"/>
                <w:sz w:val="20"/>
                <w:szCs w:val="20"/>
                <w:lang w:val="mk-MK"/>
              </w:rPr>
              <w:br/>
            </w:r>
            <w:r w:rsidR="00ED18EB">
              <w:rPr>
                <w:rFonts w:eastAsia="Times New Roman" w:cs="Times New Roman"/>
                <w:color w:val="000000"/>
                <w:sz w:val="20"/>
                <w:szCs w:val="20"/>
                <w:lang w:val="mk-MK"/>
              </w:rPr>
              <w:t>МААЕ (Меѓународна агенција за атомска енергија)</w:t>
            </w:r>
          </w:p>
        </w:tc>
        <w:tc>
          <w:tcPr>
            <w:tcW w:w="1223" w:type="dxa"/>
            <w:tcBorders>
              <w:top w:val="nil"/>
              <w:left w:val="nil"/>
              <w:bottom w:val="single" w:sz="4" w:space="0" w:color="auto"/>
              <w:right w:val="single" w:sz="4" w:space="0" w:color="auto"/>
            </w:tcBorders>
            <w:shd w:val="clear" w:color="auto" w:fill="auto"/>
            <w:noWrap/>
            <w:vAlign w:val="center"/>
            <w:hideMark/>
          </w:tcPr>
          <w:p w14:paraId="1591227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w:t>
            </w:r>
          </w:p>
        </w:tc>
        <w:tc>
          <w:tcPr>
            <w:tcW w:w="1102" w:type="dxa"/>
            <w:tcBorders>
              <w:top w:val="nil"/>
              <w:left w:val="nil"/>
              <w:bottom w:val="single" w:sz="4" w:space="0" w:color="auto"/>
              <w:right w:val="single" w:sz="4" w:space="0" w:color="auto"/>
            </w:tcBorders>
            <w:shd w:val="clear" w:color="auto" w:fill="auto"/>
            <w:noWrap/>
            <w:vAlign w:val="center"/>
            <w:hideMark/>
          </w:tcPr>
          <w:p w14:paraId="7BE4628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w:t>
            </w:r>
          </w:p>
        </w:tc>
      </w:tr>
      <w:tr w:rsidR="005C06A9" w:rsidRPr="008662BF" w14:paraId="3B408AC2"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6969D775"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C7B8B0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w:t>
            </w:r>
          </w:p>
        </w:tc>
        <w:tc>
          <w:tcPr>
            <w:tcW w:w="4536" w:type="dxa"/>
            <w:tcBorders>
              <w:top w:val="nil"/>
              <w:left w:val="nil"/>
              <w:bottom w:val="single" w:sz="4" w:space="0" w:color="auto"/>
              <w:right w:val="single" w:sz="4" w:space="0" w:color="auto"/>
            </w:tcBorders>
            <w:shd w:val="clear" w:color="auto" w:fill="auto"/>
            <w:hideMark/>
          </w:tcPr>
          <w:p w14:paraId="4A9272F9" w14:textId="77777777" w:rsidR="007947BF" w:rsidRPr="00E6229E" w:rsidRDefault="003A02F1"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 xml:space="preserve">Опрема за таложење и проучување на тенки филмови за примена во соларни ќелии, вклучително и комплет од PV и ST системи во вистинска големина со опрема за проучување на нивните перформанси </w:t>
            </w:r>
          </w:p>
        </w:tc>
        <w:tc>
          <w:tcPr>
            <w:tcW w:w="1275" w:type="dxa"/>
            <w:tcBorders>
              <w:top w:val="nil"/>
              <w:left w:val="nil"/>
              <w:bottom w:val="single" w:sz="4" w:space="0" w:color="auto"/>
              <w:right w:val="single" w:sz="4" w:space="0" w:color="auto"/>
            </w:tcBorders>
            <w:shd w:val="clear" w:color="auto" w:fill="auto"/>
            <w:hideMark/>
          </w:tcPr>
          <w:p w14:paraId="6F51A0F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52.500</w:t>
            </w:r>
          </w:p>
        </w:tc>
        <w:tc>
          <w:tcPr>
            <w:tcW w:w="1134" w:type="dxa"/>
            <w:tcBorders>
              <w:top w:val="nil"/>
              <w:left w:val="nil"/>
              <w:bottom w:val="single" w:sz="4" w:space="0" w:color="auto"/>
              <w:right w:val="single" w:sz="4" w:space="0" w:color="auto"/>
            </w:tcBorders>
            <w:shd w:val="clear" w:color="auto" w:fill="auto"/>
            <w:noWrap/>
            <w:hideMark/>
          </w:tcPr>
          <w:p w14:paraId="2998C36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2008-2019</w:t>
            </w:r>
          </w:p>
        </w:tc>
        <w:tc>
          <w:tcPr>
            <w:tcW w:w="2839" w:type="dxa"/>
            <w:tcBorders>
              <w:top w:val="nil"/>
              <w:left w:val="nil"/>
              <w:bottom w:val="single" w:sz="4" w:space="0" w:color="auto"/>
              <w:right w:val="single" w:sz="4" w:space="0" w:color="auto"/>
            </w:tcBorders>
            <w:shd w:val="clear" w:color="auto" w:fill="auto"/>
            <w:hideMark/>
          </w:tcPr>
          <w:p w14:paraId="648E0024"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Средства од меѓународни проекти</w:t>
            </w:r>
            <w:r w:rsidR="007947BF" w:rsidRPr="008662BF">
              <w:rPr>
                <w:rFonts w:eastAsia="Times New Roman" w:cs="Times New Roman"/>
                <w:color w:val="000000"/>
                <w:sz w:val="20"/>
                <w:szCs w:val="20"/>
                <w:lang w:val="mk-MK"/>
              </w:rPr>
              <w:t xml:space="preserve"> (HORIZON2020)</w:t>
            </w:r>
            <w:r w:rsidR="007947BF" w:rsidRPr="008662BF">
              <w:rPr>
                <w:rFonts w:eastAsia="Times New Roman" w:cs="Times New Roman"/>
                <w:color w:val="000000"/>
                <w:sz w:val="20"/>
                <w:szCs w:val="20"/>
                <w:lang w:val="mk-MK"/>
              </w:rPr>
              <w:br/>
            </w:r>
            <w:r w:rsidRPr="008662BF">
              <w:rPr>
                <w:rFonts w:eastAsia="Times New Roman" w:cs="Times New Roman"/>
                <w:color w:val="000000"/>
                <w:sz w:val="20"/>
                <w:szCs w:val="20"/>
                <w:lang w:val="mk-MK"/>
              </w:rPr>
              <w:t xml:space="preserve">Меѓународни фондови/ донации </w:t>
            </w:r>
            <w:r w:rsidR="007947BF" w:rsidRPr="008662BF">
              <w:rPr>
                <w:rFonts w:eastAsia="Times New Roman" w:cs="Times New Roman"/>
                <w:color w:val="000000"/>
                <w:sz w:val="20"/>
                <w:szCs w:val="20"/>
                <w:lang w:val="mk-MK"/>
              </w:rPr>
              <w:br/>
            </w:r>
            <w:r w:rsidR="00ED18EB">
              <w:rPr>
                <w:rFonts w:eastAsia="Times New Roman" w:cs="Times New Roman"/>
                <w:color w:val="000000"/>
                <w:sz w:val="20"/>
                <w:szCs w:val="20"/>
                <w:lang w:val="mk-MK"/>
              </w:rPr>
              <w:t>МААЕ (Меѓународна агенција за атомска енергија)</w:t>
            </w:r>
          </w:p>
        </w:tc>
        <w:tc>
          <w:tcPr>
            <w:tcW w:w="1223" w:type="dxa"/>
            <w:tcBorders>
              <w:top w:val="nil"/>
              <w:left w:val="nil"/>
              <w:bottom w:val="single" w:sz="4" w:space="0" w:color="auto"/>
              <w:right w:val="single" w:sz="4" w:space="0" w:color="auto"/>
            </w:tcBorders>
            <w:shd w:val="clear" w:color="auto" w:fill="auto"/>
            <w:noWrap/>
            <w:vAlign w:val="center"/>
            <w:hideMark/>
          </w:tcPr>
          <w:p w14:paraId="36A8533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728D8BF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w:t>
            </w:r>
          </w:p>
        </w:tc>
      </w:tr>
      <w:tr w:rsidR="005C06A9" w:rsidRPr="008662BF" w14:paraId="11C7D193"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3617F524"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5024368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16</w:t>
            </w:r>
          </w:p>
        </w:tc>
        <w:tc>
          <w:tcPr>
            <w:tcW w:w="4536" w:type="dxa"/>
            <w:tcBorders>
              <w:top w:val="nil"/>
              <w:left w:val="nil"/>
              <w:bottom w:val="single" w:sz="4" w:space="0" w:color="auto"/>
              <w:right w:val="single" w:sz="4" w:space="0" w:color="auto"/>
            </w:tcBorders>
            <w:shd w:val="clear" w:color="auto" w:fill="auto"/>
            <w:hideMark/>
          </w:tcPr>
          <w:p w14:paraId="184D9C36" w14:textId="77777777" w:rsidR="007947BF" w:rsidRPr="00E6229E" w:rsidRDefault="003A02F1" w:rsidP="00E1385A">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Комплет лабораториски вежби за физика за прв циклус на студии (содржи 16 различни експерименти)</w:t>
            </w:r>
          </w:p>
        </w:tc>
        <w:tc>
          <w:tcPr>
            <w:tcW w:w="1275" w:type="dxa"/>
            <w:tcBorders>
              <w:top w:val="nil"/>
              <w:left w:val="nil"/>
              <w:bottom w:val="single" w:sz="4" w:space="0" w:color="auto"/>
              <w:right w:val="single" w:sz="4" w:space="0" w:color="auto"/>
            </w:tcBorders>
            <w:shd w:val="clear" w:color="auto" w:fill="auto"/>
            <w:noWrap/>
            <w:hideMark/>
          </w:tcPr>
          <w:p w14:paraId="746E870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62.000</w:t>
            </w:r>
          </w:p>
        </w:tc>
        <w:tc>
          <w:tcPr>
            <w:tcW w:w="1134" w:type="dxa"/>
            <w:tcBorders>
              <w:top w:val="nil"/>
              <w:left w:val="nil"/>
              <w:bottom w:val="single" w:sz="4" w:space="0" w:color="auto"/>
              <w:right w:val="single" w:sz="4" w:space="0" w:color="auto"/>
            </w:tcBorders>
            <w:shd w:val="clear" w:color="auto" w:fill="auto"/>
            <w:noWrap/>
            <w:hideMark/>
          </w:tcPr>
          <w:p w14:paraId="4F3FE9D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1990-2010</w:t>
            </w:r>
          </w:p>
        </w:tc>
        <w:tc>
          <w:tcPr>
            <w:tcW w:w="2839" w:type="dxa"/>
            <w:tcBorders>
              <w:top w:val="nil"/>
              <w:left w:val="nil"/>
              <w:bottom w:val="single" w:sz="4" w:space="0" w:color="auto"/>
              <w:right w:val="single" w:sz="4" w:space="0" w:color="auto"/>
            </w:tcBorders>
            <w:shd w:val="clear" w:color="auto" w:fill="auto"/>
            <w:hideMark/>
          </w:tcPr>
          <w:p w14:paraId="61FAE181" w14:textId="77777777" w:rsidR="007947BF" w:rsidRPr="008662BF" w:rsidRDefault="00A2244D" w:rsidP="00ED18EB">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r w:rsidR="007947BF" w:rsidRPr="008662BF">
              <w:rPr>
                <w:rFonts w:eastAsia="Times New Roman" w:cs="Times New Roman"/>
                <w:color w:val="000000"/>
                <w:sz w:val="20"/>
                <w:szCs w:val="20"/>
                <w:lang w:val="mk-MK"/>
              </w:rPr>
              <w:br/>
            </w:r>
            <w:r w:rsidRPr="008662BF">
              <w:rPr>
                <w:rFonts w:eastAsia="Times New Roman" w:cs="Times New Roman"/>
                <w:color w:val="000000"/>
                <w:sz w:val="20"/>
                <w:szCs w:val="20"/>
                <w:lang w:val="mk-MK"/>
              </w:rPr>
              <w:t xml:space="preserve">Меѓународни фондови/ донации </w:t>
            </w:r>
            <w:r w:rsidR="00ED18EB">
              <w:rPr>
                <w:rFonts w:eastAsia="Times New Roman" w:cs="Times New Roman"/>
                <w:color w:val="000000"/>
                <w:sz w:val="20"/>
                <w:szCs w:val="20"/>
                <w:lang w:val="mk-MK"/>
              </w:rPr>
              <w:t xml:space="preserve"> (МААЕ</w:t>
            </w:r>
            <w:r w:rsidR="007947BF"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70A9EA2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4187CCC7" w14:textId="77777777" w:rsidR="007947BF" w:rsidRPr="008662BF" w:rsidRDefault="007947BF" w:rsidP="00D61E89">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200 </w:t>
            </w:r>
            <w:r w:rsidR="00D61E89">
              <w:rPr>
                <w:rFonts w:eastAsia="Times New Roman" w:cs="Times New Roman"/>
                <w:color w:val="000000"/>
                <w:sz w:val="20"/>
                <w:szCs w:val="20"/>
                <w:lang w:val="mk-MK"/>
              </w:rPr>
              <w:t xml:space="preserve">годишно </w:t>
            </w:r>
          </w:p>
        </w:tc>
      </w:tr>
      <w:tr w:rsidR="005C06A9" w:rsidRPr="008662BF" w14:paraId="0068B877"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hideMark/>
          </w:tcPr>
          <w:p w14:paraId="39BFC1BB" w14:textId="77777777" w:rsidR="00520621" w:rsidRPr="008662BF" w:rsidRDefault="00520621" w:rsidP="00E1385A">
            <w:pPr>
              <w:spacing w:line="240" w:lineRule="auto"/>
              <w:jc w:val="center"/>
              <w:rPr>
                <w:sz w:val="20"/>
                <w:szCs w:val="20"/>
                <w:lang w:val="mk-MK"/>
              </w:rPr>
            </w:pPr>
            <w:r w:rsidRPr="008662BF">
              <w:rPr>
                <w:sz w:val="20"/>
                <w:szCs w:val="20"/>
                <w:lang w:val="mk-MK"/>
              </w:rPr>
              <w:t>УКИМ, Факултет за електротехника и информациски технологии, Лабораторија за безжични и мобилни мрежи</w:t>
            </w:r>
          </w:p>
          <w:p w14:paraId="0C77E7CC" w14:textId="77777777" w:rsidR="00520621" w:rsidRPr="008662BF" w:rsidRDefault="00520621" w:rsidP="00E1385A">
            <w:pPr>
              <w:spacing w:line="240" w:lineRule="auto"/>
              <w:jc w:val="center"/>
              <w:rPr>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F042DCF"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17</w:t>
            </w:r>
          </w:p>
        </w:tc>
        <w:tc>
          <w:tcPr>
            <w:tcW w:w="4536" w:type="dxa"/>
            <w:tcBorders>
              <w:top w:val="nil"/>
              <w:left w:val="nil"/>
              <w:bottom w:val="single" w:sz="4" w:space="0" w:color="auto"/>
              <w:right w:val="single" w:sz="4" w:space="0" w:color="auto"/>
            </w:tcBorders>
            <w:shd w:val="clear" w:color="auto" w:fill="auto"/>
            <w:noWrap/>
            <w:hideMark/>
          </w:tcPr>
          <w:p w14:paraId="0E5E60F4" w14:textId="544F7723" w:rsidR="00520621" w:rsidRPr="00E6229E" w:rsidRDefault="00E6229E" w:rsidP="00E6229E">
            <w:pPr>
              <w:spacing w:after="0" w:line="240" w:lineRule="auto"/>
              <w:rPr>
                <w:rFonts w:eastAsia="Times New Roman" w:cs="Times New Roman"/>
                <w:color w:val="000000"/>
                <w:sz w:val="20"/>
                <w:szCs w:val="20"/>
                <w:lang w:val="mk-MK"/>
              </w:rPr>
            </w:pPr>
            <w:r w:rsidRPr="00E6229E">
              <w:rPr>
                <w:rFonts w:eastAsia="Times New Roman" w:cs="Times New Roman"/>
                <w:color w:val="000000"/>
                <w:sz w:val="20"/>
                <w:szCs w:val="20"/>
                <w:lang w:val="mk-MK"/>
              </w:rPr>
              <w:t>Мрежи базирани на облак со радиопристап (</w:t>
            </w:r>
            <w:r w:rsidRPr="00E6229E">
              <w:rPr>
                <w:rFonts w:eastAsia="Times New Roman" w:cs="Times New Roman"/>
                <w:color w:val="000000"/>
                <w:sz w:val="20"/>
                <w:szCs w:val="20"/>
              </w:rPr>
              <w:t>C</w:t>
            </w:r>
            <w:r w:rsidR="00520621" w:rsidRPr="00E6229E">
              <w:rPr>
                <w:rFonts w:eastAsia="Times New Roman" w:cs="Times New Roman"/>
                <w:color w:val="000000"/>
                <w:sz w:val="20"/>
                <w:szCs w:val="20"/>
                <w:lang w:val="mk-MK"/>
              </w:rPr>
              <w:t>oud RAN platform infrastructure</w:t>
            </w:r>
            <w:r w:rsidRPr="00E6229E">
              <w:rPr>
                <w:rFonts w:eastAsia="Times New Roman" w:cs="Times New Roman"/>
                <w:color w:val="000000"/>
                <w:sz w:val="20"/>
                <w:szCs w:val="20"/>
                <w:lang w:val="mk-MK"/>
              </w:rPr>
              <w:t>)</w:t>
            </w:r>
          </w:p>
        </w:tc>
        <w:tc>
          <w:tcPr>
            <w:tcW w:w="1275" w:type="dxa"/>
            <w:tcBorders>
              <w:top w:val="nil"/>
              <w:left w:val="nil"/>
              <w:bottom w:val="single" w:sz="4" w:space="0" w:color="auto"/>
              <w:right w:val="single" w:sz="4" w:space="0" w:color="auto"/>
            </w:tcBorders>
            <w:shd w:val="clear" w:color="auto" w:fill="auto"/>
            <w:noWrap/>
            <w:hideMark/>
          </w:tcPr>
          <w:p w14:paraId="55BA22C4"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78.000</w:t>
            </w:r>
          </w:p>
        </w:tc>
        <w:tc>
          <w:tcPr>
            <w:tcW w:w="1134" w:type="dxa"/>
            <w:tcBorders>
              <w:top w:val="nil"/>
              <w:left w:val="nil"/>
              <w:bottom w:val="single" w:sz="4" w:space="0" w:color="auto"/>
              <w:right w:val="single" w:sz="4" w:space="0" w:color="auto"/>
            </w:tcBorders>
            <w:shd w:val="clear" w:color="auto" w:fill="auto"/>
            <w:noWrap/>
            <w:hideMark/>
          </w:tcPr>
          <w:p w14:paraId="60D4A6E5"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hideMark/>
          </w:tcPr>
          <w:p w14:paraId="59139C65" w14:textId="77777777" w:rsidR="00520621" w:rsidRPr="008662BF" w:rsidRDefault="00ED18EB" w:rsidP="00ED18EB">
            <w:pPr>
              <w:spacing w:after="0" w:line="240" w:lineRule="auto"/>
              <w:jc w:val="center"/>
              <w:rPr>
                <w:rFonts w:eastAsia="Times New Roman" w:cs="Times New Roman"/>
                <w:color w:val="000000"/>
                <w:sz w:val="20"/>
                <w:szCs w:val="20"/>
                <w:lang w:val="mk-MK"/>
              </w:rPr>
            </w:pPr>
            <w:r>
              <w:rPr>
                <w:rFonts w:eastAsia="Times New Roman" w:cs="Times New Roman"/>
                <w:color w:val="000000"/>
                <w:sz w:val="20"/>
                <w:szCs w:val="20"/>
                <w:lang w:val="mk-MK"/>
              </w:rPr>
              <w:t xml:space="preserve">Проект </w:t>
            </w:r>
            <w:r w:rsidR="00520621" w:rsidRPr="008662BF">
              <w:rPr>
                <w:rFonts w:eastAsia="Times New Roman" w:cs="Times New Roman"/>
                <w:color w:val="000000"/>
                <w:sz w:val="20"/>
                <w:szCs w:val="20"/>
                <w:lang w:val="mk-MK"/>
              </w:rPr>
              <w:t>NATO FALCON (SPS - G5269)</w:t>
            </w:r>
          </w:p>
        </w:tc>
        <w:tc>
          <w:tcPr>
            <w:tcW w:w="1223" w:type="dxa"/>
            <w:tcBorders>
              <w:top w:val="nil"/>
              <w:left w:val="nil"/>
              <w:bottom w:val="single" w:sz="4" w:space="0" w:color="auto"/>
              <w:right w:val="single" w:sz="4" w:space="0" w:color="auto"/>
            </w:tcBorders>
            <w:shd w:val="clear" w:color="auto" w:fill="auto"/>
            <w:vAlign w:val="center"/>
            <w:hideMark/>
          </w:tcPr>
          <w:p w14:paraId="6063BC89"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5 - 10 </w:t>
            </w:r>
            <w:r w:rsidR="00E1385A" w:rsidRPr="008662BF">
              <w:rPr>
                <w:rFonts w:eastAsia="Times New Roman" w:cs="Times New Roman"/>
                <w:color w:val="000000"/>
                <w:sz w:val="20"/>
                <w:szCs w:val="20"/>
                <w:lang w:val="mk-MK"/>
              </w:rPr>
              <w:t>год.</w:t>
            </w:r>
          </w:p>
        </w:tc>
        <w:tc>
          <w:tcPr>
            <w:tcW w:w="1102" w:type="dxa"/>
            <w:tcBorders>
              <w:top w:val="nil"/>
              <w:left w:val="nil"/>
              <w:bottom w:val="single" w:sz="4" w:space="0" w:color="auto"/>
              <w:right w:val="single" w:sz="4" w:space="0" w:color="auto"/>
            </w:tcBorders>
            <w:shd w:val="clear" w:color="auto" w:fill="auto"/>
            <w:noWrap/>
            <w:vAlign w:val="center"/>
            <w:hideMark/>
          </w:tcPr>
          <w:p w14:paraId="6D44B88C" w14:textId="77777777" w:rsidR="00520621" w:rsidRPr="008662BF" w:rsidRDefault="00D61E89" w:rsidP="00E1385A">
            <w:pPr>
              <w:spacing w:after="0" w:line="240" w:lineRule="auto"/>
              <w:jc w:val="center"/>
              <w:rPr>
                <w:rFonts w:eastAsia="Times New Roman" w:cs="Times New Roman"/>
                <w:color w:val="000000"/>
                <w:sz w:val="20"/>
                <w:szCs w:val="20"/>
                <w:lang w:val="mk-MK"/>
              </w:rPr>
            </w:pPr>
            <w:r>
              <w:rPr>
                <w:rFonts w:eastAsia="Times New Roman" w:cs="Times New Roman"/>
                <w:color w:val="000000"/>
                <w:sz w:val="20"/>
                <w:szCs w:val="20"/>
                <w:lang w:val="mk-MK"/>
              </w:rPr>
              <w:t>/</w:t>
            </w:r>
          </w:p>
        </w:tc>
      </w:tr>
      <w:tr w:rsidR="005C06A9" w:rsidRPr="008662BF" w14:paraId="22127460" w14:textId="77777777" w:rsidTr="00520621">
        <w:tc>
          <w:tcPr>
            <w:tcW w:w="2223" w:type="dxa"/>
            <w:vMerge/>
            <w:tcBorders>
              <w:top w:val="nil"/>
              <w:left w:val="single" w:sz="4" w:space="0" w:color="auto"/>
              <w:bottom w:val="single" w:sz="4" w:space="0" w:color="auto"/>
              <w:right w:val="single" w:sz="4" w:space="0" w:color="auto"/>
            </w:tcBorders>
            <w:hideMark/>
          </w:tcPr>
          <w:p w14:paraId="4C796C65" w14:textId="77777777" w:rsidR="00520621" w:rsidRPr="008662BF" w:rsidRDefault="00520621" w:rsidP="00E1385A">
            <w:pPr>
              <w:spacing w:line="240" w:lineRule="auto"/>
              <w:jc w:val="center"/>
              <w:rPr>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9403D40"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18</w:t>
            </w:r>
          </w:p>
        </w:tc>
        <w:tc>
          <w:tcPr>
            <w:tcW w:w="4536" w:type="dxa"/>
            <w:tcBorders>
              <w:top w:val="nil"/>
              <w:left w:val="nil"/>
              <w:bottom w:val="single" w:sz="4" w:space="0" w:color="auto"/>
              <w:right w:val="single" w:sz="4" w:space="0" w:color="auto"/>
            </w:tcBorders>
            <w:shd w:val="clear" w:color="auto" w:fill="auto"/>
            <w:hideMark/>
          </w:tcPr>
          <w:p w14:paraId="607AB151" w14:textId="77777777" w:rsidR="00520621" w:rsidRPr="008662BF" w:rsidRDefault="006B418C"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Анализатор на сигнал и спектар </w:t>
            </w:r>
            <w:r w:rsidR="00520621" w:rsidRPr="008662BF">
              <w:rPr>
                <w:rFonts w:eastAsia="Times New Roman" w:cs="Times New Roman"/>
                <w:color w:val="000000"/>
                <w:sz w:val="20"/>
                <w:szCs w:val="20"/>
                <w:lang w:val="mk-MK"/>
              </w:rPr>
              <w:t>Rohde &amp; Schwarz FSW8</w:t>
            </w:r>
          </w:p>
        </w:tc>
        <w:tc>
          <w:tcPr>
            <w:tcW w:w="1275" w:type="dxa"/>
            <w:tcBorders>
              <w:top w:val="nil"/>
              <w:left w:val="nil"/>
              <w:bottom w:val="single" w:sz="4" w:space="0" w:color="auto"/>
              <w:right w:val="single" w:sz="4" w:space="0" w:color="auto"/>
            </w:tcBorders>
            <w:shd w:val="clear" w:color="auto" w:fill="auto"/>
            <w:hideMark/>
          </w:tcPr>
          <w:p w14:paraId="5DF14DEF"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72.389</w:t>
            </w:r>
          </w:p>
        </w:tc>
        <w:tc>
          <w:tcPr>
            <w:tcW w:w="1134" w:type="dxa"/>
            <w:tcBorders>
              <w:top w:val="nil"/>
              <w:left w:val="nil"/>
              <w:bottom w:val="single" w:sz="4" w:space="0" w:color="auto"/>
              <w:right w:val="single" w:sz="4" w:space="0" w:color="auto"/>
            </w:tcBorders>
            <w:shd w:val="clear" w:color="auto" w:fill="auto"/>
            <w:hideMark/>
          </w:tcPr>
          <w:p w14:paraId="0D47BE0B"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2014</w:t>
            </w:r>
          </w:p>
        </w:tc>
        <w:tc>
          <w:tcPr>
            <w:tcW w:w="2839" w:type="dxa"/>
            <w:tcBorders>
              <w:top w:val="nil"/>
              <w:left w:val="nil"/>
              <w:bottom w:val="single" w:sz="4" w:space="0" w:color="auto"/>
              <w:right w:val="single" w:sz="4" w:space="0" w:color="auto"/>
            </w:tcBorders>
            <w:shd w:val="clear" w:color="auto" w:fill="auto"/>
            <w:hideMark/>
          </w:tcPr>
          <w:p w14:paraId="145254E9" w14:textId="77777777" w:rsidR="00520621" w:rsidRPr="008662BF" w:rsidRDefault="00ED18EB" w:rsidP="00ED18EB">
            <w:pPr>
              <w:spacing w:after="0" w:line="240" w:lineRule="auto"/>
              <w:jc w:val="center"/>
              <w:rPr>
                <w:rFonts w:eastAsia="Times New Roman" w:cs="Times New Roman"/>
                <w:color w:val="000000"/>
                <w:sz w:val="20"/>
                <w:szCs w:val="20"/>
                <w:lang w:val="mk-MK"/>
              </w:rPr>
            </w:pPr>
            <w:r>
              <w:rPr>
                <w:rFonts w:eastAsia="Times New Roman" w:cs="Times New Roman"/>
                <w:color w:val="000000"/>
                <w:sz w:val="20"/>
                <w:szCs w:val="20"/>
                <w:lang w:val="mk-MK"/>
              </w:rPr>
              <w:t xml:space="preserve">Проект </w:t>
            </w:r>
            <w:r w:rsidR="00520621" w:rsidRPr="008662BF">
              <w:rPr>
                <w:rFonts w:eastAsia="Times New Roman" w:cs="Times New Roman"/>
                <w:color w:val="000000"/>
                <w:sz w:val="20"/>
                <w:szCs w:val="20"/>
                <w:lang w:val="mk-MK"/>
              </w:rPr>
              <w:t>NATO ORCA (SfP 984409)</w:t>
            </w:r>
          </w:p>
        </w:tc>
        <w:tc>
          <w:tcPr>
            <w:tcW w:w="1223" w:type="dxa"/>
            <w:tcBorders>
              <w:top w:val="nil"/>
              <w:left w:val="nil"/>
              <w:bottom w:val="single" w:sz="4" w:space="0" w:color="auto"/>
              <w:right w:val="single" w:sz="4" w:space="0" w:color="auto"/>
            </w:tcBorders>
            <w:shd w:val="clear" w:color="auto" w:fill="auto"/>
            <w:noWrap/>
            <w:vAlign w:val="center"/>
            <w:hideMark/>
          </w:tcPr>
          <w:p w14:paraId="359028DD"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&gt; 10 </w:t>
            </w:r>
            <w:r w:rsidR="00E1385A" w:rsidRPr="008662BF">
              <w:rPr>
                <w:rFonts w:eastAsia="Times New Roman" w:cs="Times New Roman"/>
                <w:color w:val="000000"/>
                <w:sz w:val="20"/>
                <w:szCs w:val="20"/>
                <w:lang w:val="mk-MK"/>
              </w:rPr>
              <w:t>год.</w:t>
            </w:r>
          </w:p>
        </w:tc>
        <w:tc>
          <w:tcPr>
            <w:tcW w:w="1102" w:type="dxa"/>
            <w:tcBorders>
              <w:top w:val="nil"/>
              <w:left w:val="nil"/>
              <w:bottom w:val="single" w:sz="4" w:space="0" w:color="auto"/>
              <w:right w:val="single" w:sz="4" w:space="0" w:color="auto"/>
            </w:tcBorders>
            <w:shd w:val="clear" w:color="auto" w:fill="auto"/>
            <w:noWrap/>
            <w:vAlign w:val="center"/>
            <w:hideMark/>
          </w:tcPr>
          <w:p w14:paraId="767C854B" w14:textId="77777777" w:rsidR="00520621" w:rsidRPr="008662BF" w:rsidRDefault="00D61E89" w:rsidP="00E1385A">
            <w:pPr>
              <w:spacing w:after="0" w:line="240" w:lineRule="auto"/>
              <w:jc w:val="center"/>
              <w:rPr>
                <w:rFonts w:eastAsia="Times New Roman" w:cs="Times New Roman"/>
                <w:color w:val="000000"/>
                <w:sz w:val="20"/>
                <w:szCs w:val="20"/>
                <w:lang w:val="mk-MK"/>
              </w:rPr>
            </w:pPr>
            <w:r>
              <w:rPr>
                <w:rFonts w:eastAsia="Times New Roman" w:cs="Times New Roman"/>
                <w:color w:val="000000"/>
                <w:sz w:val="20"/>
                <w:szCs w:val="20"/>
                <w:lang w:val="mk-MK"/>
              </w:rPr>
              <w:t>/</w:t>
            </w:r>
          </w:p>
        </w:tc>
      </w:tr>
      <w:tr w:rsidR="005C06A9" w:rsidRPr="008662BF" w14:paraId="3F861B2F" w14:textId="77777777" w:rsidTr="00520621">
        <w:tc>
          <w:tcPr>
            <w:tcW w:w="2223" w:type="dxa"/>
            <w:tcBorders>
              <w:top w:val="nil"/>
              <w:left w:val="single" w:sz="4" w:space="0" w:color="auto"/>
              <w:bottom w:val="single" w:sz="4" w:space="0" w:color="auto"/>
              <w:right w:val="single" w:sz="4" w:space="0" w:color="auto"/>
            </w:tcBorders>
            <w:shd w:val="clear" w:color="auto" w:fill="auto"/>
            <w:hideMark/>
          </w:tcPr>
          <w:p w14:paraId="39075088" w14:textId="77777777" w:rsidR="00520621" w:rsidRPr="008662BF" w:rsidRDefault="00520621" w:rsidP="00E1385A">
            <w:pPr>
              <w:spacing w:line="240" w:lineRule="auto"/>
              <w:jc w:val="center"/>
              <w:rPr>
                <w:sz w:val="20"/>
                <w:szCs w:val="20"/>
                <w:lang w:val="mk-MK"/>
              </w:rPr>
            </w:pPr>
            <w:r w:rsidRPr="008662BF">
              <w:rPr>
                <w:sz w:val="20"/>
                <w:szCs w:val="20"/>
                <w:lang w:val="mk-MK"/>
              </w:rPr>
              <w:lastRenderedPageBreak/>
              <w:t>УКИМ, Факултет за електротехника и информациски технологии, Лабораторија за електрични мерења</w:t>
            </w:r>
          </w:p>
        </w:tc>
        <w:tc>
          <w:tcPr>
            <w:tcW w:w="388" w:type="dxa"/>
            <w:tcBorders>
              <w:top w:val="nil"/>
              <w:left w:val="nil"/>
              <w:bottom w:val="single" w:sz="4" w:space="0" w:color="auto"/>
              <w:right w:val="single" w:sz="4" w:space="0" w:color="auto"/>
            </w:tcBorders>
            <w:shd w:val="clear" w:color="auto" w:fill="auto"/>
            <w:hideMark/>
          </w:tcPr>
          <w:p w14:paraId="68A93A16"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19</w:t>
            </w:r>
          </w:p>
        </w:tc>
        <w:tc>
          <w:tcPr>
            <w:tcW w:w="4536" w:type="dxa"/>
            <w:tcBorders>
              <w:top w:val="nil"/>
              <w:left w:val="nil"/>
              <w:bottom w:val="single" w:sz="4" w:space="0" w:color="auto"/>
              <w:right w:val="single" w:sz="4" w:space="0" w:color="auto"/>
            </w:tcBorders>
            <w:shd w:val="clear" w:color="auto" w:fill="auto"/>
            <w:noWrap/>
            <w:hideMark/>
          </w:tcPr>
          <w:p w14:paraId="3F263F2D" w14:textId="77777777" w:rsidR="00520621" w:rsidRPr="008662BF" w:rsidRDefault="006B418C" w:rsidP="00A1563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Калибратор </w:t>
            </w:r>
            <w:r w:rsidR="00A1563A">
              <w:rPr>
                <w:rFonts w:eastAsia="Times New Roman" w:cs="Times New Roman"/>
                <w:color w:val="000000"/>
                <w:sz w:val="20"/>
                <w:szCs w:val="20"/>
                <w:lang w:val="mk-MK"/>
              </w:rPr>
              <w:t xml:space="preserve">за </w:t>
            </w:r>
            <w:r w:rsidRPr="008662BF">
              <w:rPr>
                <w:rFonts w:eastAsia="Times New Roman" w:cs="Times New Roman"/>
                <w:color w:val="000000"/>
                <w:sz w:val="20"/>
                <w:szCs w:val="20"/>
                <w:lang w:val="mk-MK"/>
              </w:rPr>
              <w:t xml:space="preserve">повеќе производи </w:t>
            </w:r>
            <w:r w:rsidR="00520621" w:rsidRPr="008662BF">
              <w:rPr>
                <w:rFonts w:eastAsia="Times New Roman" w:cs="Times New Roman"/>
                <w:color w:val="000000"/>
                <w:sz w:val="20"/>
                <w:szCs w:val="20"/>
                <w:lang w:val="mk-MK"/>
              </w:rPr>
              <w:t>5500A Fluke</w:t>
            </w:r>
          </w:p>
        </w:tc>
        <w:tc>
          <w:tcPr>
            <w:tcW w:w="1275" w:type="dxa"/>
            <w:tcBorders>
              <w:top w:val="nil"/>
              <w:left w:val="nil"/>
              <w:bottom w:val="single" w:sz="4" w:space="0" w:color="auto"/>
              <w:right w:val="single" w:sz="4" w:space="0" w:color="auto"/>
            </w:tcBorders>
            <w:shd w:val="clear" w:color="auto" w:fill="auto"/>
            <w:noWrap/>
            <w:hideMark/>
          </w:tcPr>
          <w:p w14:paraId="39526B61"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60.000</w:t>
            </w:r>
          </w:p>
        </w:tc>
        <w:tc>
          <w:tcPr>
            <w:tcW w:w="1134" w:type="dxa"/>
            <w:tcBorders>
              <w:top w:val="nil"/>
              <w:left w:val="nil"/>
              <w:bottom w:val="single" w:sz="4" w:space="0" w:color="auto"/>
              <w:right w:val="single" w:sz="4" w:space="0" w:color="auto"/>
            </w:tcBorders>
            <w:shd w:val="clear" w:color="auto" w:fill="auto"/>
            <w:noWrap/>
            <w:hideMark/>
          </w:tcPr>
          <w:p w14:paraId="29EE2D66"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1996</w:t>
            </w:r>
          </w:p>
        </w:tc>
        <w:tc>
          <w:tcPr>
            <w:tcW w:w="2839" w:type="dxa"/>
            <w:tcBorders>
              <w:top w:val="nil"/>
              <w:left w:val="nil"/>
              <w:bottom w:val="single" w:sz="4" w:space="0" w:color="auto"/>
              <w:right w:val="single" w:sz="4" w:space="0" w:color="auto"/>
            </w:tcBorders>
            <w:shd w:val="clear" w:color="auto" w:fill="auto"/>
            <w:hideMark/>
          </w:tcPr>
          <w:p w14:paraId="31506EA2" w14:textId="238C1718" w:rsidR="00520621"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Министерство за наука на Р. </w:t>
            </w:r>
            <w:r w:rsidR="00417197">
              <w:rPr>
                <w:rFonts w:eastAsia="Times New Roman" w:cs="Times New Roman"/>
                <w:color w:val="000000"/>
                <w:sz w:val="20"/>
                <w:szCs w:val="20"/>
                <w:lang w:val="mk-MK"/>
              </w:rPr>
              <w:t>Република Северна Македонија</w:t>
            </w:r>
            <w:r w:rsidRPr="008662BF">
              <w:rPr>
                <w:rFonts w:eastAsia="Times New Roman" w:cs="Times New Roman"/>
                <w:color w:val="000000"/>
                <w:sz w:val="20"/>
                <w:szCs w:val="20"/>
                <w:lang w:val="mk-MK"/>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14:paraId="75B108C0"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w:t>
            </w:r>
          </w:p>
        </w:tc>
        <w:tc>
          <w:tcPr>
            <w:tcW w:w="1102" w:type="dxa"/>
            <w:tcBorders>
              <w:top w:val="nil"/>
              <w:left w:val="nil"/>
              <w:bottom w:val="single" w:sz="4" w:space="0" w:color="auto"/>
              <w:right w:val="single" w:sz="4" w:space="0" w:color="auto"/>
            </w:tcBorders>
            <w:shd w:val="clear" w:color="auto" w:fill="auto"/>
            <w:noWrap/>
            <w:vAlign w:val="center"/>
            <w:hideMark/>
          </w:tcPr>
          <w:p w14:paraId="23A9AE07"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700BF911" w14:textId="77777777" w:rsidTr="00520621">
        <w:tc>
          <w:tcPr>
            <w:tcW w:w="2223" w:type="dxa"/>
            <w:tcBorders>
              <w:top w:val="nil"/>
              <w:left w:val="single" w:sz="4" w:space="0" w:color="auto"/>
              <w:bottom w:val="single" w:sz="4" w:space="0" w:color="auto"/>
              <w:right w:val="single" w:sz="4" w:space="0" w:color="auto"/>
            </w:tcBorders>
            <w:shd w:val="clear" w:color="auto" w:fill="auto"/>
            <w:hideMark/>
          </w:tcPr>
          <w:p w14:paraId="16CDAF58" w14:textId="77777777" w:rsidR="00520621" w:rsidRPr="008662BF" w:rsidRDefault="00520621" w:rsidP="00E1385A">
            <w:pPr>
              <w:spacing w:after="0" w:line="240" w:lineRule="auto"/>
              <w:jc w:val="center"/>
              <w:rPr>
                <w:sz w:val="20"/>
                <w:szCs w:val="20"/>
                <w:lang w:val="mk-MK"/>
              </w:rPr>
            </w:pPr>
            <w:r w:rsidRPr="008662BF">
              <w:rPr>
                <w:sz w:val="20"/>
                <w:szCs w:val="20"/>
                <w:lang w:val="mk-MK"/>
              </w:rPr>
              <w:t>УКИМ, Факултет за електротехника и информациски технологии, Лабораторијата за контрола на храна третирана со јонизирачко зрачење</w:t>
            </w:r>
          </w:p>
        </w:tc>
        <w:tc>
          <w:tcPr>
            <w:tcW w:w="388" w:type="dxa"/>
            <w:tcBorders>
              <w:top w:val="nil"/>
              <w:left w:val="nil"/>
              <w:bottom w:val="single" w:sz="4" w:space="0" w:color="auto"/>
              <w:right w:val="single" w:sz="4" w:space="0" w:color="auto"/>
            </w:tcBorders>
            <w:shd w:val="clear" w:color="auto" w:fill="auto"/>
            <w:hideMark/>
          </w:tcPr>
          <w:p w14:paraId="6BCC9191"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4536" w:type="dxa"/>
            <w:tcBorders>
              <w:top w:val="nil"/>
              <w:left w:val="nil"/>
              <w:bottom w:val="single" w:sz="4" w:space="0" w:color="auto"/>
              <w:right w:val="single" w:sz="4" w:space="0" w:color="auto"/>
            </w:tcBorders>
            <w:shd w:val="clear" w:color="auto" w:fill="auto"/>
            <w:noWrap/>
            <w:hideMark/>
          </w:tcPr>
          <w:p w14:paraId="21F95646" w14:textId="77777777" w:rsidR="00520621" w:rsidRPr="008662BF" w:rsidRDefault="00520621"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Riso TL/OSL </w:t>
            </w:r>
            <w:r w:rsidR="006B418C" w:rsidRPr="008662BF">
              <w:rPr>
                <w:rFonts w:eastAsia="Times New Roman" w:cs="Times New Roman"/>
                <w:color w:val="000000"/>
                <w:sz w:val="20"/>
                <w:szCs w:val="20"/>
                <w:lang w:val="mk-MK"/>
              </w:rPr>
              <w:t xml:space="preserve">Систем за датирање </w:t>
            </w:r>
            <w:r w:rsidRPr="008662BF">
              <w:rPr>
                <w:rFonts w:eastAsia="Times New Roman" w:cs="Times New Roman"/>
                <w:color w:val="000000"/>
                <w:sz w:val="20"/>
                <w:szCs w:val="20"/>
                <w:lang w:val="mk-MK"/>
              </w:rPr>
              <w:t>DA-20</w:t>
            </w:r>
          </w:p>
        </w:tc>
        <w:tc>
          <w:tcPr>
            <w:tcW w:w="1275" w:type="dxa"/>
            <w:tcBorders>
              <w:top w:val="nil"/>
              <w:left w:val="nil"/>
              <w:bottom w:val="single" w:sz="4" w:space="0" w:color="auto"/>
              <w:right w:val="single" w:sz="4" w:space="0" w:color="auto"/>
            </w:tcBorders>
            <w:shd w:val="clear" w:color="auto" w:fill="auto"/>
            <w:noWrap/>
            <w:hideMark/>
          </w:tcPr>
          <w:p w14:paraId="756F72CC"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90.000</w:t>
            </w:r>
          </w:p>
        </w:tc>
        <w:tc>
          <w:tcPr>
            <w:tcW w:w="1134" w:type="dxa"/>
            <w:tcBorders>
              <w:top w:val="nil"/>
              <w:left w:val="nil"/>
              <w:bottom w:val="single" w:sz="4" w:space="0" w:color="auto"/>
              <w:right w:val="single" w:sz="4" w:space="0" w:color="auto"/>
            </w:tcBorders>
            <w:shd w:val="clear" w:color="auto" w:fill="auto"/>
            <w:noWrap/>
            <w:hideMark/>
          </w:tcPr>
          <w:p w14:paraId="4F94053A"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2016</w:t>
            </w:r>
          </w:p>
        </w:tc>
        <w:tc>
          <w:tcPr>
            <w:tcW w:w="2839" w:type="dxa"/>
            <w:tcBorders>
              <w:top w:val="nil"/>
              <w:left w:val="nil"/>
              <w:bottom w:val="single" w:sz="4" w:space="0" w:color="auto"/>
              <w:right w:val="single" w:sz="4" w:space="0" w:color="auto"/>
            </w:tcBorders>
            <w:shd w:val="clear" w:color="auto" w:fill="auto"/>
            <w:hideMark/>
          </w:tcPr>
          <w:p w14:paraId="7C996B7E" w14:textId="77777777" w:rsidR="00520621" w:rsidRPr="008662BF" w:rsidRDefault="00817179" w:rsidP="00361492">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w:t>
            </w:r>
            <w:r w:rsidR="00361492">
              <w:rPr>
                <w:rFonts w:eastAsia="Times New Roman" w:cs="Times New Roman"/>
                <w:color w:val="000000"/>
                <w:sz w:val="20"/>
                <w:szCs w:val="20"/>
                <w:lang w:val="mk-MK"/>
              </w:rPr>
              <w:t>фондови</w:t>
            </w:r>
            <w:r w:rsidRPr="008662BF">
              <w:rPr>
                <w:rFonts w:eastAsia="Times New Roman" w:cs="Times New Roman"/>
                <w:color w:val="000000"/>
                <w:sz w:val="20"/>
                <w:szCs w:val="20"/>
                <w:lang w:val="mk-MK"/>
              </w:rPr>
              <w:t xml:space="preserve">/ донации </w:t>
            </w:r>
            <w:r w:rsidR="00520621" w:rsidRPr="008662BF">
              <w:rPr>
                <w:rFonts w:eastAsia="Times New Roman" w:cs="Times New Roman"/>
                <w:color w:val="000000"/>
                <w:sz w:val="20"/>
                <w:szCs w:val="20"/>
                <w:lang w:val="mk-MK"/>
              </w:rPr>
              <w:t>(</w:t>
            </w:r>
            <w:r w:rsidRPr="008662BF">
              <w:rPr>
                <w:rFonts w:eastAsia="Times New Roman" w:cs="Times New Roman"/>
                <w:color w:val="000000"/>
                <w:sz w:val="20"/>
                <w:szCs w:val="20"/>
                <w:lang w:val="mk-MK"/>
              </w:rPr>
              <w:t>средствва од меѓународни институции во национални проекти</w:t>
            </w:r>
            <w:r w:rsidR="00520621"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24BDB06B"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w:t>
            </w:r>
          </w:p>
        </w:tc>
        <w:tc>
          <w:tcPr>
            <w:tcW w:w="1102" w:type="dxa"/>
            <w:tcBorders>
              <w:top w:val="nil"/>
              <w:left w:val="nil"/>
              <w:bottom w:val="single" w:sz="4" w:space="0" w:color="auto"/>
              <w:right w:val="single" w:sz="4" w:space="0" w:color="auto"/>
            </w:tcBorders>
            <w:shd w:val="clear" w:color="auto" w:fill="auto"/>
            <w:noWrap/>
            <w:vAlign w:val="center"/>
            <w:hideMark/>
          </w:tcPr>
          <w:p w14:paraId="1C25C53A" w14:textId="77777777" w:rsidR="00520621"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w:t>
            </w:r>
          </w:p>
        </w:tc>
      </w:tr>
      <w:tr w:rsidR="005C06A9" w:rsidRPr="008662BF" w14:paraId="46CF68AC"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165EE775" w14:textId="77777777" w:rsidR="007947BF"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Природно-математички факултет, Институт за хемија </w:t>
            </w:r>
          </w:p>
        </w:tc>
        <w:tc>
          <w:tcPr>
            <w:tcW w:w="388" w:type="dxa"/>
            <w:tcBorders>
              <w:top w:val="nil"/>
              <w:left w:val="nil"/>
              <w:bottom w:val="single" w:sz="4" w:space="0" w:color="auto"/>
              <w:right w:val="single" w:sz="4" w:space="0" w:color="auto"/>
            </w:tcBorders>
            <w:shd w:val="clear" w:color="auto" w:fill="auto"/>
            <w:hideMark/>
          </w:tcPr>
          <w:p w14:paraId="51E224B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21</w:t>
            </w:r>
          </w:p>
        </w:tc>
        <w:tc>
          <w:tcPr>
            <w:tcW w:w="4536" w:type="dxa"/>
            <w:tcBorders>
              <w:top w:val="nil"/>
              <w:left w:val="nil"/>
              <w:bottom w:val="single" w:sz="4" w:space="0" w:color="auto"/>
              <w:right w:val="single" w:sz="4" w:space="0" w:color="auto"/>
            </w:tcBorders>
            <w:shd w:val="clear" w:color="auto" w:fill="auto"/>
            <w:noWrap/>
            <w:hideMark/>
          </w:tcPr>
          <w:p w14:paraId="6BA800BC" w14:textId="77777777" w:rsidR="007947BF" w:rsidRPr="008662BF" w:rsidRDefault="006B418C"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Гасен хроматограф </w:t>
            </w:r>
            <w:r w:rsidR="007947BF" w:rsidRPr="008662BF">
              <w:rPr>
                <w:rFonts w:eastAsia="Times New Roman" w:cs="Times New Roman"/>
                <w:color w:val="000000"/>
                <w:sz w:val="20"/>
                <w:szCs w:val="20"/>
                <w:lang w:val="mk-MK"/>
              </w:rPr>
              <w:t>GC/FID/ECD</w:t>
            </w:r>
          </w:p>
        </w:tc>
        <w:tc>
          <w:tcPr>
            <w:tcW w:w="1275" w:type="dxa"/>
            <w:tcBorders>
              <w:top w:val="nil"/>
              <w:left w:val="nil"/>
              <w:bottom w:val="single" w:sz="4" w:space="0" w:color="auto"/>
              <w:right w:val="single" w:sz="4" w:space="0" w:color="auto"/>
            </w:tcBorders>
            <w:shd w:val="clear" w:color="auto" w:fill="auto"/>
            <w:noWrap/>
            <w:hideMark/>
          </w:tcPr>
          <w:p w14:paraId="27310E3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60.000</w:t>
            </w:r>
          </w:p>
        </w:tc>
        <w:tc>
          <w:tcPr>
            <w:tcW w:w="1134" w:type="dxa"/>
            <w:tcBorders>
              <w:top w:val="nil"/>
              <w:left w:val="nil"/>
              <w:bottom w:val="single" w:sz="4" w:space="0" w:color="auto"/>
              <w:right w:val="single" w:sz="4" w:space="0" w:color="auto"/>
            </w:tcBorders>
            <w:shd w:val="clear" w:color="auto" w:fill="auto"/>
            <w:noWrap/>
            <w:hideMark/>
          </w:tcPr>
          <w:p w14:paraId="1FFBB07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2020</w:t>
            </w:r>
          </w:p>
        </w:tc>
        <w:tc>
          <w:tcPr>
            <w:tcW w:w="2839" w:type="dxa"/>
            <w:tcBorders>
              <w:top w:val="nil"/>
              <w:left w:val="nil"/>
              <w:bottom w:val="single" w:sz="4" w:space="0" w:color="auto"/>
              <w:right w:val="single" w:sz="4" w:space="0" w:color="auto"/>
            </w:tcBorders>
            <w:shd w:val="clear" w:color="auto" w:fill="auto"/>
            <w:hideMark/>
          </w:tcPr>
          <w:p w14:paraId="15AEC16B"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Донацијаод Норвешка </w:t>
            </w:r>
            <w:r w:rsidR="007947BF" w:rsidRPr="008662BF">
              <w:rPr>
                <w:rFonts w:eastAsia="Times New Roman" w:cs="Times New Roman"/>
                <w:color w:val="000000"/>
                <w:sz w:val="20"/>
                <w:szCs w:val="20"/>
                <w:lang w:val="mk-MK"/>
              </w:rPr>
              <w:t>(</w:t>
            </w:r>
            <w:r w:rsidRPr="008662BF">
              <w:rPr>
                <w:rFonts w:eastAsia="Times New Roman" w:cs="Times New Roman"/>
                <w:color w:val="000000"/>
                <w:sz w:val="20"/>
                <w:szCs w:val="20"/>
                <w:lang w:val="mk-MK"/>
              </w:rPr>
              <w:t>Проект на УНОПС</w:t>
            </w:r>
            <w:r w:rsidR="007947BF"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6C3EF21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noWrap/>
            <w:vAlign w:val="center"/>
            <w:hideMark/>
          </w:tcPr>
          <w:p w14:paraId="45D9925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r>
      <w:tr w:rsidR="005C06A9" w:rsidRPr="008662BF" w14:paraId="2C9B9AEA"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1DEF6541"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040C2F2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22</w:t>
            </w:r>
          </w:p>
        </w:tc>
        <w:tc>
          <w:tcPr>
            <w:tcW w:w="4536" w:type="dxa"/>
            <w:tcBorders>
              <w:top w:val="nil"/>
              <w:left w:val="nil"/>
              <w:bottom w:val="single" w:sz="4" w:space="0" w:color="auto"/>
              <w:right w:val="single" w:sz="4" w:space="0" w:color="auto"/>
            </w:tcBorders>
            <w:shd w:val="clear" w:color="auto" w:fill="auto"/>
            <w:noWrap/>
            <w:hideMark/>
          </w:tcPr>
          <w:p w14:paraId="6278C786" w14:textId="77777777" w:rsidR="007947BF" w:rsidRPr="008662BF" w:rsidRDefault="006B418C"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Гасен хроматограф </w:t>
            </w:r>
            <w:r w:rsidR="007947BF" w:rsidRPr="008662BF">
              <w:rPr>
                <w:rFonts w:eastAsia="Times New Roman" w:cs="Times New Roman"/>
                <w:color w:val="000000"/>
                <w:sz w:val="20"/>
                <w:szCs w:val="20"/>
                <w:lang w:val="mk-MK"/>
              </w:rPr>
              <w:t>GCxGC/TOF-MS</w:t>
            </w:r>
          </w:p>
        </w:tc>
        <w:tc>
          <w:tcPr>
            <w:tcW w:w="1275" w:type="dxa"/>
            <w:tcBorders>
              <w:top w:val="nil"/>
              <w:left w:val="nil"/>
              <w:bottom w:val="single" w:sz="4" w:space="0" w:color="auto"/>
              <w:right w:val="single" w:sz="4" w:space="0" w:color="auto"/>
            </w:tcBorders>
            <w:shd w:val="clear" w:color="auto" w:fill="auto"/>
            <w:noWrap/>
            <w:hideMark/>
          </w:tcPr>
          <w:p w14:paraId="4E8B44E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300.000</w:t>
            </w:r>
          </w:p>
        </w:tc>
        <w:tc>
          <w:tcPr>
            <w:tcW w:w="1134" w:type="dxa"/>
            <w:tcBorders>
              <w:top w:val="nil"/>
              <w:left w:val="nil"/>
              <w:bottom w:val="single" w:sz="4" w:space="0" w:color="auto"/>
              <w:right w:val="single" w:sz="4" w:space="0" w:color="auto"/>
            </w:tcBorders>
            <w:shd w:val="clear" w:color="auto" w:fill="auto"/>
            <w:noWrap/>
            <w:hideMark/>
          </w:tcPr>
          <w:p w14:paraId="4FDF615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2010</w:t>
            </w:r>
          </w:p>
        </w:tc>
        <w:tc>
          <w:tcPr>
            <w:tcW w:w="2839" w:type="dxa"/>
            <w:tcBorders>
              <w:top w:val="nil"/>
              <w:left w:val="nil"/>
              <w:bottom w:val="single" w:sz="4" w:space="0" w:color="auto"/>
              <w:right w:val="single" w:sz="4" w:space="0" w:color="auto"/>
            </w:tcBorders>
            <w:shd w:val="clear" w:color="auto" w:fill="auto"/>
            <w:noWrap/>
            <w:hideMark/>
          </w:tcPr>
          <w:p w14:paraId="47A5C6AE"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Владин проект</w:t>
            </w:r>
          </w:p>
        </w:tc>
        <w:tc>
          <w:tcPr>
            <w:tcW w:w="1223" w:type="dxa"/>
            <w:tcBorders>
              <w:top w:val="nil"/>
              <w:left w:val="nil"/>
              <w:bottom w:val="single" w:sz="4" w:space="0" w:color="auto"/>
              <w:right w:val="single" w:sz="4" w:space="0" w:color="auto"/>
            </w:tcBorders>
            <w:shd w:val="clear" w:color="auto" w:fill="auto"/>
            <w:noWrap/>
            <w:vAlign w:val="center"/>
            <w:hideMark/>
          </w:tcPr>
          <w:p w14:paraId="3DC3E20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EC2A75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71E26DBC"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6892CDB6"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2EA9CA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23</w:t>
            </w:r>
          </w:p>
        </w:tc>
        <w:tc>
          <w:tcPr>
            <w:tcW w:w="4536" w:type="dxa"/>
            <w:tcBorders>
              <w:top w:val="nil"/>
              <w:left w:val="nil"/>
              <w:bottom w:val="single" w:sz="4" w:space="0" w:color="auto"/>
              <w:right w:val="single" w:sz="4" w:space="0" w:color="auto"/>
            </w:tcBorders>
            <w:shd w:val="clear" w:color="auto" w:fill="auto"/>
            <w:noWrap/>
            <w:hideMark/>
          </w:tcPr>
          <w:p w14:paraId="5D879A56" w14:textId="77777777" w:rsidR="007947BF" w:rsidRPr="008662BF" w:rsidRDefault="006B418C"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Гасен хроматограф </w:t>
            </w:r>
            <w:r w:rsidR="007947BF" w:rsidRPr="008662BF">
              <w:rPr>
                <w:rFonts w:eastAsia="Times New Roman" w:cs="Times New Roman"/>
                <w:color w:val="000000"/>
                <w:sz w:val="20"/>
                <w:szCs w:val="20"/>
                <w:lang w:val="mk-MK"/>
              </w:rPr>
              <w:t>GC/MS</w:t>
            </w:r>
          </w:p>
        </w:tc>
        <w:tc>
          <w:tcPr>
            <w:tcW w:w="1275" w:type="dxa"/>
            <w:tcBorders>
              <w:top w:val="nil"/>
              <w:left w:val="nil"/>
              <w:bottom w:val="single" w:sz="4" w:space="0" w:color="auto"/>
              <w:right w:val="single" w:sz="4" w:space="0" w:color="auto"/>
            </w:tcBorders>
            <w:shd w:val="clear" w:color="auto" w:fill="auto"/>
            <w:noWrap/>
            <w:hideMark/>
          </w:tcPr>
          <w:p w14:paraId="3638CAE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106.000</w:t>
            </w:r>
          </w:p>
        </w:tc>
        <w:tc>
          <w:tcPr>
            <w:tcW w:w="1134" w:type="dxa"/>
            <w:tcBorders>
              <w:top w:val="nil"/>
              <w:left w:val="nil"/>
              <w:bottom w:val="single" w:sz="4" w:space="0" w:color="auto"/>
              <w:right w:val="single" w:sz="4" w:space="0" w:color="auto"/>
            </w:tcBorders>
            <w:shd w:val="clear" w:color="auto" w:fill="auto"/>
            <w:noWrap/>
            <w:hideMark/>
          </w:tcPr>
          <w:p w14:paraId="3BCBFA5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2007</w:t>
            </w:r>
          </w:p>
        </w:tc>
        <w:tc>
          <w:tcPr>
            <w:tcW w:w="2839" w:type="dxa"/>
            <w:tcBorders>
              <w:top w:val="nil"/>
              <w:left w:val="nil"/>
              <w:bottom w:val="single" w:sz="4" w:space="0" w:color="auto"/>
              <w:right w:val="single" w:sz="4" w:space="0" w:color="auto"/>
            </w:tcBorders>
            <w:shd w:val="clear" w:color="auto" w:fill="auto"/>
            <w:noWrap/>
            <w:hideMark/>
          </w:tcPr>
          <w:p w14:paraId="1B4EFACD" w14:textId="77777777" w:rsidR="007947BF" w:rsidRPr="008662BF" w:rsidRDefault="00817179" w:rsidP="00D61E89">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r w:rsidR="00D61E89">
              <w:rPr>
                <w:rFonts w:eastAsia="Times New Roman" w:cs="Times New Roman"/>
                <w:color w:val="000000"/>
                <w:sz w:val="20"/>
                <w:szCs w:val="20"/>
                <w:lang w:val="mk-MK"/>
              </w:rPr>
              <w:t xml:space="preserve">од </w:t>
            </w:r>
            <w:r w:rsidR="00A25846">
              <w:rPr>
                <w:rFonts w:eastAsia="Times New Roman" w:cs="Times New Roman"/>
                <w:color w:val="000000"/>
                <w:sz w:val="20"/>
                <w:szCs w:val="20"/>
                <w:lang w:val="mk-MK"/>
              </w:rPr>
              <w:t>Организацијата за забрана на хемиско оружје (</w:t>
            </w:r>
            <w:r w:rsidR="007947BF" w:rsidRPr="008662BF">
              <w:rPr>
                <w:rFonts w:eastAsia="Times New Roman" w:cs="Times New Roman"/>
                <w:color w:val="000000"/>
                <w:sz w:val="20"/>
                <w:szCs w:val="20"/>
                <w:lang w:val="mk-MK"/>
              </w:rPr>
              <w:t>OPCW</w:t>
            </w:r>
            <w:r w:rsidR="00A25846">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noWrap/>
            <w:vAlign w:val="center"/>
            <w:hideMark/>
          </w:tcPr>
          <w:p w14:paraId="3FF84A3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noWrap/>
            <w:vAlign w:val="center"/>
            <w:hideMark/>
          </w:tcPr>
          <w:p w14:paraId="3344CFB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1AC93E52"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1698AA9A"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9D59F9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24</w:t>
            </w:r>
          </w:p>
        </w:tc>
        <w:tc>
          <w:tcPr>
            <w:tcW w:w="4536" w:type="dxa"/>
            <w:tcBorders>
              <w:top w:val="nil"/>
              <w:left w:val="nil"/>
              <w:bottom w:val="single" w:sz="4" w:space="0" w:color="auto"/>
              <w:right w:val="single" w:sz="4" w:space="0" w:color="auto"/>
            </w:tcBorders>
            <w:shd w:val="clear" w:color="auto" w:fill="auto"/>
            <w:noWrap/>
            <w:hideMark/>
          </w:tcPr>
          <w:p w14:paraId="13589FA1" w14:textId="77777777" w:rsidR="007947BF" w:rsidRPr="008662BF" w:rsidRDefault="006B418C"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Течен хроматограф </w:t>
            </w:r>
            <w:r w:rsidR="007947BF" w:rsidRPr="008662BF">
              <w:rPr>
                <w:rFonts w:eastAsia="Times New Roman" w:cs="Times New Roman"/>
                <w:color w:val="000000"/>
                <w:sz w:val="20"/>
                <w:szCs w:val="20"/>
                <w:lang w:val="mk-MK"/>
              </w:rPr>
              <w:t>HPLC/DAD/MS</w:t>
            </w:r>
          </w:p>
        </w:tc>
        <w:tc>
          <w:tcPr>
            <w:tcW w:w="1275" w:type="dxa"/>
            <w:tcBorders>
              <w:top w:val="nil"/>
              <w:left w:val="nil"/>
              <w:bottom w:val="single" w:sz="4" w:space="0" w:color="auto"/>
              <w:right w:val="single" w:sz="4" w:space="0" w:color="auto"/>
            </w:tcBorders>
            <w:shd w:val="clear" w:color="auto" w:fill="auto"/>
            <w:noWrap/>
            <w:hideMark/>
          </w:tcPr>
          <w:p w14:paraId="49F09E7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180.000</w:t>
            </w:r>
          </w:p>
        </w:tc>
        <w:tc>
          <w:tcPr>
            <w:tcW w:w="1134" w:type="dxa"/>
            <w:tcBorders>
              <w:top w:val="nil"/>
              <w:left w:val="nil"/>
              <w:bottom w:val="single" w:sz="4" w:space="0" w:color="auto"/>
              <w:right w:val="single" w:sz="4" w:space="0" w:color="auto"/>
            </w:tcBorders>
            <w:shd w:val="clear" w:color="auto" w:fill="auto"/>
            <w:noWrap/>
            <w:hideMark/>
          </w:tcPr>
          <w:p w14:paraId="2EFBC67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2008</w:t>
            </w:r>
          </w:p>
        </w:tc>
        <w:tc>
          <w:tcPr>
            <w:tcW w:w="2839" w:type="dxa"/>
            <w:tcBorders>
              <w:top w:val="nil"/>
              <w:left w:val="nil"/>
              <w:bottom w:val="single" w:sz="4" w:space="0" w:color="auto"/>
              <w:right w:val="single" w:sz="4" w:space="0" w:color="auto"/>
            </w:tcBorders>
            <w:shd w:val="clear" w:color="auto" w:fill="auto"/>
            <w:hideMark/>
          </w:tcPr>
          <w:p w14:paraId="0BF9CCE1"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проект </w:t>
            </w:r>
            <w:r w:rsidR="007947BF" w:rsidRPr="008662BF">
              <w:rPr>
                <w:rFonts w:eastAsia="Times New Roman" w:cs="Times New Roman"/>
                <w:color w:val="000000"/>
                <w:sz w:val="20"/>
                <w:szCs w:val="20"/>
                <w:lang w:val="mk-MK"/>
              </w:rPr>
              <w:t xml:space="preserve">FP7, </w:t>
            </w:r>
            <w:r w:rsidRPr="008662BF">
              <w:rPr>
                <w:rFonts w:eastAsia="Times New Roman" w:cs="Times New Roman"/>
                <w:color w:val="000000"/>
                <w:sz w:val="20"/>
                <w:szCs w:val="20"/>
                <w:lang w:val="mk-MK"/>
              </w:rPr>
              <w:t xml:space="preserve">Европска комисија </w:t>
            </w:r>
          </w:p>
        </w:tc>
        <w:tc>
          <w:tcPr>
            <w:tcW w:w="1223" w:type="dxa"/>
            <w:tcBorders>
              <w:top w:val="nil"/>
              <w:left w:val="nil"/>
              <w:bottom w:val="single" w:sz="4" w:space="0" w:color="auto"/>
              <w:right w:val="single" w:sz="4" w:space="0" w:color="auto"/>
            </w:tcBorders>
            <w:shd w:val="clear" w:color="auto" w:fill="auto"/>
            <w:noWrap/>
            <w:vAlign w:val="center"/>
            <w:hideMark/>
          </w:tcPr>
          <w:p w14:paraId="09357AB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noWrap/>
            <w:vAlign w:val="center"/>
            <w:hideMark/>
          </w:tcPr>
          <w:p w14:paraId="63B1103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r>
      <w:tr w:rsidR="005C06A9" w:rsidRPr="008662BF" w14:paraId="4E813751" w14:textId="77777777" w:rsidTr="00520621">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356885D0" w14:textId="77777777" w:rsidR="007947BF"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Медицински факултет, Институт за патологија </w:t>
            </w:r>
          </w:p>
        </w:tc>
        <w:tc>
          <w:tcPr>
            <w:tcW w:w="388" w:type="dxa"/>
            <w:tcBorders>
              <w:top w:val="nil"/>
              <w:left w:val="nil"/>
              <w:bottom w:val="single" w:sz="4" w:space="0" w:color="auto"/>
              <w:right w:val="single" w:sz="4" w:space="0" w:color="auto"/>
            </w:tcBorders>
            <w:shd w:val="clear" w:color="auto" w:fill="auto"/>
            <w:hideMark/>
          </w:tcPr>
          <w:p w14:paraId="05E254F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25</w:t>
            </w:r>
          </w:p>
        </w:tc>
        <w:tc>
          <w:tcPr>
            <w:tcW w:w="4536" w:type="dxa"/>
            <w:tcBorders>
              <w:top w:val="nil"/>
              <w:left w:val="nil"/>
              <w:bottom w:val="single" w:sz="4" w:space="0" w:color="auto"/>
              <w:right w:val="single" w:sz="4" w:space="0" w:color="auto"/>
            </w:tcBorders>
            <w:shd w:val="clear" w:color="auto" w:fill="auto"/>
            <w:noWrap/>
            <w:hideMark/>
          </w:tcPr>
          <w:p w14:paraId="56E2E18C"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Autostainer PT Link 48</w:t>
            </w:r>
          </w:p>
        </w:tc>
        <w:tc>
          <w:tcPr>
            <w:tcW w:w="1275" w:type="dxa"/>
            <w:tcBorders>
              <w:top w:val="nil"/>
              <w:left w:val="nil"/>
              <w:bottom w:val="single" w:sz="4" w:space="0" w:color="auto"/>
              <w:right w:val="single" w:sz="4" w:space="0" w:color="auto"/>
            </w:tcBorders>
            <w:shd w:val="clear" w:color="auto" w:fill="auto"/>
            <w:noWrap/>
            <w:hideMark/>
          </w:tcPr>
          <w:p w14:paraId="58F392D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13546FC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2017</w:t>
            </w:r>
          </w:p>
        </w:tc>
        <w:tc>
          <w:tcPr>
            <w:tcW w:w="2839" w:type="dxa"/>
            <w:tcBorders>
              <w:top w:val="nil"/>
              <w:left w:val="nil"/>
              <w:bottom w:val="single" w:sz="4" w:space="0" w:color="auto"/>
              <w:right w:val="single" w:sz="4" w:space="0" w:color="auto"/>
            </w:tcBorders>
            <w:shd w:val="clear" w:color="auto" w:fill="auto"/>
            <w:noWrap/>
            <w:hideMark/>
          </w:tcPr>
          <w:p w14:paraId="29504DC7"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hideMark/>
          </w:tcPr>
          <w:p w14:paraId="08C49F2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noWrap/>
            <w:vAlign w:val="center"/>
            <w:hideMark/>
          </w:tcPr>
          <w:p w14:paraId="7A19E55E" w14:textId="77777777" w:rsidR="007947BF" w:rsidRPr="008662BF" w:rsidRDefault="007947BF" w:rsidP="00D61E89">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w:t>
            </w:r>
            <w:r w:rsidR="00E1385A" w:rsidRPr="008662BF">
              <w:rPr>
                <w:rFonts w:eastAsia="Times New Roman" w:cs="Times New Roman"/>
                <w:color w:val="000000"/>
                <w:sz w:val="20"/>
                <w:szCs w:val="20"/>
                <w:lang w:val="mk-MK"/>
              </w:rPr>
              <w:t>год</w:t>
            </w:r>
            <w:r w:rsidR="00D61E89">
              <w:rPr>
                <w:rFonts w:eastAsia="Times New Roman" w:cs="Times New Roman"/>
                <w:color w:val="000000"/>
                <w:sz w:val="20"/>
                <w:szCs w:val="20"/>
                <w:lang w:val="mk-MK"/>
              </w:rPr>
              <w:t xml:space="preserve">ишно </w:t>
            </w:r>
          </w:p>
        </w:tc>
      </w:tr>
      <w:tr w:rsidR="005C06A9" w:rsidRPr="008662BF" w14:paraId="029993B0"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4E33F51E"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3A4F5FC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26</w:t>
            </w:r>
          </w:p>
        </w:tc>
        <w:tc>
          <w:tcPr>
            <w:tcW w:w="4536" w:type="dxa"/>
            <w:tcBorders>
              <w:top w:val="nil"/>
              <w:left w:val="nil"/>
              <w:bottom w:val="single" w:sz="4" w:space="0" w:color="auto"/>
              <w:right w:val="single" w:sz="4" w:space="0" w:color="auto"/>
            </w:tcBorders>
            <w:shd w:val="clear" w:color="auto" w:fill="auto"/>
            <w:noWrap/>
            <w:hideMark/>
          </w:tcPr>
          <w:p w14:paraId="121B4EDC"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BenchMark Ultra</w:t>
            </w:r>
          </w:p>
        </w:tc>
        <w:tc>
          <w:tcPr>
            <w:tcW w:w="1275" w:type="dxa"/>
            <w:tcBorders>
              <w:top w:val="nil"/>
              <w:left w:val="nil"/>
              <w:bottom w:val="single" w:sz="4" w:space="0" w:color="auto"/>
              <w:right w:val="single" w:sz="4" w:space="0" w:color="auto"/>
            </w:tcBorders>
            <w:shd w:val="clear" w:color="auto" w:fill="auto"/>
            <w:noWrap/>
            <w:hideMark/>
          </w:tcPr>
          <w:p w14:paraId="3CAD0C6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55C204B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2021</w:t>
            </w:r>
          </w:p>
        </w:tc>
        <w:tc>
          <w:tcPr>
            <w:tcW w:w="2839" w:type="dxa"/>
            <w:tcBorders>
              <w:top w:val="nil"/>
              <w:left w:val="nil"/>
              <w:bottom w:val="single" w:sz="4" w:space="0" w:color="auto"/>
              <w:right w:val="single" w:sz="4" w:space="0" w:color="auto"/>
            </w:tcBorders>
            <w:shd w:val="clear" w:color="auto" w:fill="auto"/>
            <w:noWrap/>
            <w:hideMark/>
          </w:tcPr>
          <w:p w14:paraId="0F3BC1E4"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p>
        </w:tc>
        <w:tc>
          <w:tcPr>
            <w:tcW w:w="1223" w:type="dxa"/>
            <w:tcBorders>
              <w:top w:val="nil"/>
              <w:left w:val="nil"/>
              <w:bottom w:val="single" w:sz="4" w:space="0" w:color="auto"/>
              <w:right w:val="single" w:sz="4" w:space="0" w:color="auto"/>
            </w:tcBorders>
            <w:shd w:val="clear" w:color="auto" w:fill="auto"/>
            <w:noWrap/>
            <w:vAlign w:val="center"/>
            <w:hideMark/>
          </w:tcPr>
          <w:p w14:paraId="028A006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noWrap/>
            <w:vAlign w:val="center"/>
            <w:hideMark/>
          </w:tcPr>
          <w:p w14:paraId="033E283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w:t>
            </w:r>
            <w:r w:rsidR="00D61E89" w:rsidRPr="008662BF">
              <w:rPr>
                <w:rFonts w:eastAsia="Times New Roman" w:cs="Times New Roman"/>
                <w:color w:val="000000"/>
                <w:sz w:val="20"/>
                <w:szCs w:val="20"/>
                <w:lang w:val="mk-MK"/>
              </w:rPr>
              <w:t>год</w:t>
            </w:r>
            <w:r w:rsidR="00D61E89">
              <w:rPr>
                <w:rFonts w:eastAsia="Times New Roman" w:cs="Times New Roman"/>
                <w:color w:val="000000"/>
                <w:sz w:val="20"/>
                <w:szCs w:val="20"/>
                <w:lang w:val="mk-MK"/>
              </w:rPr>
              <w:t>ишно</w:t>
            </w:r>
          </w:p>
        </w:tc>
      </w:tr>
      <w:tr w:rsidR="005C06A9" w:rsidRPr="008662BF" w14:paraId="076553F2"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58C378E9"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5E025AC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27</w:t>
            </w:r>
          </w:p>
        </w:tc>
        <w:tc>
          <w:tcPr>
            <w:tcW w:w="4536" w:type="dxa"/>
            <w:tcBorders>
              <w:top w:val="nil"/>
              <w:left w:val="nil"/>
              <w:bottom w:val="single" w:sz="4" w:space="0" w:color="auto"/>
              <w:right w:val="single" w:sz="4" w:space="0" w:color="auto"/>
            </w:tcBorders>
            <w:shd w:val="clear" w:color="auto" w:fill="auto"/>
            <w:noWrap/>
            <w:hideMark/>
          </w:tcPr>
          <w:p w14:paraId="1B6156A4" w14:textId="77777777" w:rsidR="007947BF" w:rsidRPr="008662BF" w:rsidRDefault="006B418C" w:rsidP="00A1563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Преносна електронска микроскопија </w:t>
            </w:r>
            <w:r w:rsidR="007947BF" w:rsidRPr="008662BF">
              <w:rPr>
                <w:rFonts w:eastAsia="Times New Roman" w:cs="Times New Roman"/>
                <w:color w:val="000000"/>
                <w:sz w:val="20"/>
                <w:szCs w:val="20"/>
                <w:lang w:val="mk-MK"/>
              </w:rPr>
              <w:t xml:space="preserve">JEOL 1400 </w:t>
            </w:r>
            <w:r w:rsidRPr="008662BF">
              <w:rPr>
                <w:rFonts w:eastAsia="Times New Roman" w:cs="Times New Roman"/>
                <w:color w:val="000000"/>
                <w:sz w:val="20"/>
                <w:szCs w:val="20"/>
                <w:lang w:val="mk-MK"/>
              </w:rPr>
              <w:t xml:space="preserve">и техника за поддршка </w:t>
            </w:r>
          </w:p>
        </w:tc>
        <w:tc>
          <w:tcPr>
            <w:tcW w:w="1275" w:type="dxa"/>
            <w:tcBorders>
              <w:top w:val="nil"/>
              <w:left w:val="nil"/>
              <w:bottom w:val="single" w:sz="4" w:space="0" w:color="auto"/>
              <w:right w:val="single" w:sz="4" w:space="0" w:color="auto"/>
            </w:tcBorders>
            <w:shd w:val="clear" w:color="auto" w:fill="auto"/>
            <w:noWrap/>
            <w:hideMark/>
          </w:tcPr>
          <w:p w14:paraId="00459CF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800.000</w:t>
            </w:r>
          </w:p>
        </w:tc>
        <w:tc>
          <w:tcPr>
            <w:tcW w:w="1134" w:type="dxa"/>
            <w:tcBorders>
              <w:top w:val="nil"/>
              <w:left w:val="nil"/>
              <w:bottom w:val="single" w:sz="4" w:space="0" w:color="auto"/>
              <w:right w:val="single" w:sz="4" w:space="0" w:color="auto"/>
            </w:tcBorders>
            <w:shd w:val="clear" w:color="auto" w:fill="auto"/>
            <w:noWrap/>
            <w:hideMark/>
          </w:tcPr>
          <w:p w14:paraId="09A3328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54D54DFD"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noWrap/>
            <w:vAlign w:val="center"/>
            <w:hideMark/>
          </w:tcPr>
          <w:p w14:paraId="161DC3F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30 </w:t>
            </w:r>
          </w:p>
        </w:tc>
        <w:tc>
          <w:tcPr>
            <w:tcW w:w="1102" w:type="dxa"/>
            <w:tcBorders>
              <w:top w:val="nil"/>
              <w:left w:val="nil"/>
              <w:bottom w:val="single" w:sz="4" w:space="0" w:color="auto"/>
              <w:right w:val="single" w:sz="4" w:space="0" w:color="auto"/>
            </w:tcBorders>
            <w:shd w:val="clear" w:color="auto" w:fill="auto"/>
            <w:noWrap/>
            <w:vAlign w:val="center"/>
            <w:hideMark/>
          </w:tcPr>
          <w:p w14:paraId="0EF27AF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r w:rsidR="00D61E89" w:rsidRPr="008662BF">
              <w:rPr>
                <w:rFonts w:eastAsia="Times New Roman" w:cs="Times New Roman"/>
                <w:color w:val="000000"/>
                <w:sz w:val="20"/>
                <w:szCs w:val="20"/>
                <w:lang w:val="mk-MK"/>
              </w:rPr>
              <w:t>год</w:t>
            </w:r>
            <w:r w:rsidR="00D61E89">
              <w:rPr>
                <w:rFonts w:eastAsia="Times New Roman" w:cs="Times New Roman"/>
                <w:color w:val="000000"/>
                <w:sz w:val="20"/>
                <w:szCs w:val="20"/>
                <w:lang w:val="mk-MK"/>
              </w:rPr>
              <w:t>ишно</w:t>
            </w:r>
          </w:p>
        </w:tc>
      </w:tr>
      <w:tr w:rsidR="005C06A9" w:rsidRPr="008662BF" w14:paraId="1144E605"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55520D15"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47CCB1E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28</w:t>
            </w:r>
          </w:p>
        </w:tc>
        <w:tc>
          <w:tcPr>
            <w:tcW w:w="4536" w:type="dxa"/>
            <w:tcBorders>
              <w:top w:val="nil"/>
              <w:left w:val="nil"/>
              <w:bottom w:val="single" w:sz="4" w:space="0" w:color="auto"/>
              <w:right w:val="single" w:sz="4" w:space="0" w:color="auto"/>
            </w:tcBorders>
            <w:shd w:val="clear" w:color="auto" w:fill="auto"/>
            <w:noWrap/>
            <w:hideMark/>
          </w:tcPr>
          <w:p w14:paraId="12D0B0A6"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NGS MySeQ DX</w:t>
            </w:r>
          </w:p>
        </w:tc>
        <w:tc>
          <w:tcPr>
            <w:tcW w:w="1275" w:type="dxa"/>
            <w:tcBorders>
              <w:top w:val="nil"/>
              <w:left w:val="nil"/>
              <w:bottom w:val="single" w:sz="4" w:space="0" w:color="auto"/>
              <w:right w:val="single" w:sz="4" w:space="0" w:color="auto"/>
            </w:tcBorders>
            <w:shd w:val="clear" w:color="auto" w:fill="auto"/>
            <w:noWrap/>
            <w:hideMark/>
          </w:tcPr>
          <w:p w14:paraId="6B1594B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100.000</w:t>
            </w:r>
          </w:p>
        </w:tc>
        <w:tc>
          <w:tcPr>
            <w:tcW w:w="1134" w:type="dxa"/>
            <w:tcBorders>
              <w:top w:val="nil"/>
              <w:left w:val="nil"/>
              <w:bottom w:val="single" w:sz="4" w:space="0" w:color="auto"/>
              <w:right w:val="single" w:sz="4" w:space="0" w:color="auto"/>
            </w:tcBorders>
            <w:shd w:val="clear" w:color="auto" w:fill="auto"/>
            <w:noWrap/>
            <w:hideMark/>
          </w:tcPr>
          <w:p w14:paraId="35F7041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2017</w:t>
            </w:r>
          </w:p>
        </w:tc>
        <w:tc>
          <w:tcPr>
            <w:tcW w:w="2839" w:type="dxa"/>
            <w:tcBorders>
              <w:top w:val="nil"/>
              <w:left w:val="nil"/>
              <w:bottom w:val="single" w:sz="4" w:space="0" w:color="auto"/>
              <w:right w:val="single" w:sz="4" w:space="0" w:color="auto"/>
            </w:tcBorders>
            <w:shd w:val="clear" w:color="auto" w:fill="auto"/>
            <w:noWrap/>
            <w:hideMark/>
          </w:tcPr>
          <w:p w14:paraId="60652831"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hideMark/>
          </w:tcPr>
          <w:p w14:paraId="23C3DC5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noWrap/>
            <w:vAlign w:val="center"/>
            <w:hideMark/>
          </w:tcPr>
          <w:p w14:paraId="2BE87E6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w:t>
            </w:r>
            <w:r w:rsidR="00D61E89" w:rsidRPr="008662BF">
              <w:rPr>
                <w:rFonts w:eastAsia="Times New Roman" w:cs="Times New Roman"/>
                <w:color w:val="000000"/>
                <w:sz w:val="20"/>
                <w:szCs w:val="20"/>
                <w:lang w:val="mk-MK"/>
              </w:rPr>
              <w:t>год</w:t>
            </w:r>
            <w:r w:rsidR="00D61E89">
              <w:rPr>
                <w:rFonts w:eastAsia="Times New Roman" w:cs="Times New Roman"/>
                <w:color w:val="000000"/>
                <w:sz w:val="20"/>
                <w:szCs w:val="20"/>
                <w:lang w:val="mk-MK"/>
              </w:rPr>
              <w:t>ишно</w:t>
            </w:r>
          </w:p>
        </w:tc>
      </w:tr>
      <w:tr w:rsidR="005C06A9" w:rsidRPr="008662BF" w14:paraId="2906D06E"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1B3909B0"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6355D6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29</w:t>
            </w:r>
          </w:p>
        </w:tc>
        <w:tc>
          <w:tcPr>
            <w:tcW w:w="4536" w:type="dxa"/>
            <w:tcBorders>
              <w:top w:val="nil"/>
              <w:left w:val="nil"/>
              <w:bottom w:val="single" w:sz="4" w:space="0" w:color="auto"/>
              <w:right w:val="single" w:sz="4" w:space="0" w:color="auto"/>
            </w:tcBorders>
            <w:shd w:val="clear" w:color="auto" w:fill="auto"/>
            <w:noWrap/>
            <w:hideMark/>
          </w:tcPr>
          <w:p w14:paraId="784E4383"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ABI 310</w:t>
            </w:r>
          </w:p>
        </w:tc>
        <w:tc>
          <w:tcPr>
            <w:tcW w:w="1275" w:type="dxa"/>
            <w:tcBorders>
              <w:top w:val="nil"/>
              <w:left w:val="nil"/>
              <w:bottom w:val="single" w:sz="4" w:space="0" w:color="auto"/>
              <w:right w:val="single" w:sz="4" w:space="0" w:color="auto"/>
            </w:tcBorders>
            <w:shd w:val="clear" w:color="auto" w:fill="auto"/>
            <w:noWrap/>
            <w:hideMark/>
          </w:tcPr>
          <w:p w14:paraId="6D80F0D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150.000</w:t>
            </w:r>
          </w:p>
        </w:tc>
        <w:tc>
          <w:tcPr>
            <w:tcW w:w="1134" w:type="dxa"/>
            <w:tcBorders>
              <w:top w:val="nil"/>
              <w:left w:val="nil"/>
              <w:bottom w:val="single" w:sz="4" w:space="0" w:color="auto"/>
              <w:right w:val="single" w:sz="4" w:space="0" w:color="auto"/>
            </w:tcBorders>
            <w:shd w:val="clear" w:color="auto" w:fill="auto"/>
            <w:noWrap/>
            <w:hideMark/>
          </w:tcPr>
          <w:p w14:paraId="06A4A33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7515CACB"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noWrap/>
            <w:vAlign w:val="center"/>
            <w:hideMark/>
          </w:tcPr>
          <w:p w14:paraId="6011C3D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vAlign w:val="center"/>
            <w:hideMark/>
          </w:tcPr>
          <w:p w14:paraId="2492A669" w14:textId="77777777" w:rsidR="007947BF" w:rsidRPr="008662BF" w:rsidRDefault="007947BF" w:rsidP="00E1385A">
            <w:pPr>
              <w:spacing w:after="0" w:line="240" w:lineRule="auto"/>
              <w:jc w:val="center"/>
              <w:rPr>
                <w:rFonts w:eastAsia="Times New Roman" w:cs="Times New Roman"/>
                <w:color w:val="000000"/>
                <w:sz w:val="20"/>
                <w:szCs w:val="20"/>
                <w:lang w:val="mk-MK"/>
              </w:rPr>
            </w:pPr>
          </w:p>
        </w:tc>
      </w:tr>
      <w:tr w:rsidR="005C06A9" w:rsidRPr="008662BF" w14:paraId="2395CEA5" w14:textId="77777777" w:rsidTr="00520621">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0576CDFA" w14:textId="77777777" w:rsidR="007947BF"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Медицински факултет, Институт за </w:t>
            </w:r>
            <w:r w:rsidRPr="008662BF">
              <w:rPr>
                <w:rFonts w:eastAsia="Times New Roman" w:cs="Times New Roman"/>
                <w:color w:val="000000"/>
                <w:sz w:val="20"/>
                <w:szCs w:val="20"/>
                <w:lang w:val="mk-MK"/>
              </w:rPr>
              <w:lastRenderedPageBreak/>
              <w:t xml:space="preserve">микробиологија и паразитологија </w:t>
            </w:r>
          </w:p>
        </w:tc>
        <w:tc>
          <w:tcPr>
            <w:tcW w:w="388" w:type="dxa"/>
            <w:tcBorders>
              <w:top w:val="nil"/>
              <w:left w:val="nil"/>
              <w:bottom w:val="single" w:sz="4" w:space="0" w:color="auto"/>
              <w:right w:val="single" w:sz="4" w:space="0" w:color="auto"/>
            </w:tcBorders>
            <w:shd w:val="clear" w:color="auto" w:fill="auto"/>
            <w:hideMark/>
          </w:tcPr>
          <w:p w14:paraId="39C8A44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lastRenderedPageBreak/>
              <w:t>30</w:t>
            </w:r>
          </w:p>
        </w:tc>
        <w:tc>
          <w:tcPr>
            <w:tcW w:w="4536" w:type="dxa"/>
            <w:tcBorders>
              <w:top w:val="nil"/>
              <w:left w:val="nil"/>
              <w:bottom w:val="single" w:sz="4" w:space="0" w:color="auto"/>
              <w:right w:val="single" w:sz="4" w:space="0" w:color="auto"/>
            </w:tcBorders>
            <w:shd w:val="clear" w:color="auto" w:fill="auto"/>
            <w:noWrap/>
            <w:hideMark/>
          </w:tcPr>
          <w:p w14:paraId="6152CA99"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Bact/Alert</w:t>
            </w:r>
          </w:p>
        </w:tc>
        <w:tc>
          <w:tcPr>
            <w:tcW w:w="1275" w:type="dxa"/>
            <w:tcBorders>
              <w:top w:val="nil"/>
              <w:left w:val="nil"/>
              <w:bottom w:val="single" w:sz="4" w:space="0" w:color="auto"/>
              <w:right w:val="single" w:sz="4" w:space="0" w:color="auto"/>
            </w:tcBorders>
            <w:shd w:val="clear" w:color="auto" w:fill="auto"/>
            <w:noWrap/>
            <w:hideMark/>
          </w:tcPr>
          <w:p w14:paraId="4033402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092FDEB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2017</w:t>
            </w:r>
          </w:p>
        </w:tc>
        <w:tc>
          <w:tcPr>
            <w:tcW w:w="2839" w:type="dxa"/>
            <w:tcBorders>
              <w:top w:val="nil"/>
              <w:left w:val="nil"/>
              <w:bottom w:val="single" w:sz="4" w:space="0" w:color="auto"/>
              <w:right w:val="single" w:sz="4" w:space="0" w:color="auto"/>
            </w:tcBorders>
            <w:shd w:val="clear" w:color="auto" w:fill="auto"/>
            <w:noWrap/>
            <w:hideMark/>
          </w:tcPr>
          <w:p w14:paraId="0C80238C"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hideMark/>
          </w:tcPr>
          <w:p w14:paraId="2AE0582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noWrap/>
            <w:vAlign w:val="center"/>
            <w:hideMark/>
          </w:tcPr>
          <w:p w14:paraId="7BA27CA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4CEE78BD"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452542AB"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417B72D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31</w:t>
            </w:r>
          </w:p>
        </w:tc>
        <w:tc>
          <w:tcPr>
            <w:tcW w:w="4536" w:type="dxa"/>
            <w:tcBorders>
              <w:top w:val="nil"/>
              <w:left w:val="nil"/>
              <w:bottom w:val="single" w:sz="4" w:space="0" w:color="auto"/>
              <w:right w:val="single" w:sz="4" w:space="0" w:color="auto"/>
            </w:tcBorders>
            <w:shd w:val="clear" w:color="auto" w:fill="auto"/>
            <w:noWrap/>
            <w:hideMark/>
          </w:tcPr>
          <w:p w14:paraId="37F157FB"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Imunnolite</w:t>
            </w:r>
          </w:p>
        </w:tc>
        <w:tc>
          <w:tcPr>
            <w:tcW w:w="1275" w:type="dxa"/>
            <w:tcBorders>
              <w:top w:val="nil"/>
              <w:left w:val="nil"/>
              <w:bottom w:val="single" w:sz="4" w:space="0" w:color="auto"/>
              <w:right w:val="single" w:sz="4" w:space="0" w:color="auto"/>
            </w:tcBorders>
            <w:shd w:val="clear" w:color="auto" w:fill="auto"/>
            <w:noWrap/>
            <w:hideMark/>
          </w:tcPr>
          <w:p w14:paraId="40C902A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7A77FC5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noWrap/>
            <w:hideMark/>
          </w:tcPr>
          <w:p w14:paraId="681955FF"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hideMark/>
          </w:tcPr>
          <w:p w14:paraId="2F050C2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c>
          <w:tcPr>
            <w:tcW w:w="1102" w:type="dxa"/>
            <w:tcBorders>
              <w:top w:val="nil"/>
              <w:left w:val="nil"/>
              <w:bottom w:val="single" w:sz="4" w:space="0" w:color="auto"/>
              <w:right w:val="single" w:sz="4" w:space="0" w:color="auto"/>
            </w:tcBorders>
            <w:shd w:val="clear" w:color="auto" w:fill="auto"/>
            <w:noWrap/>
            <w:vAlign w:val="center"/>
            <w:hideMark/>
          </w:tcPr>
          <w:p w14:paraId="6FAFF8F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195522BB"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739ACB3D"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473E88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32</w:t>
            </w:r>
          </w:p>
        </w:tc>
        <w:tc>
          <w:tcPr>
            <w:tcW w:w="4536" w:type="dxa"/>
            <w:tcBorders>
              <w:top w:val="nil"/>
              <w:left w:val="nil"/>
              <w:bottom w:val="single" w:sz="4" w:space="0" w:color="auto"/>
              <w:right w:val="single" w:sz="4" w:space="0" w:color="auto"/>
            </w:tcBorders>
            <w:shd w:val="clear" w:color="auto" w:fill="auto"/>
            <w:noWrap/>
            <w:hideMark/>
          </w:tcPr>
          <w:p w14:paraId="3DAC8F89"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Amplex</w:t>
            </w:r>
          </w:p>
        </w:tc>
        <w:tc>
          <w:tcPr>
            <w:tcW w:w="1275" w:type="dxa"/>
            <w:tcBorders>
              <w:top w:val="nil"/>
              <w:left w:val="nil"/>
              <w:bottom w:val="single" w:sz="4" w:space="0" w:color="auto"/>
              <w:right w:val="single" w:sz="4" w:space="0" w:color="auto"/>
            </w:tcBorders>
            <w:shd w:val="clear" w:color="auto" w:fill="auto"/>
            <w:noWrap/>
            <w:hideMark/>
          </w:tcPr>
          <w:p w14:paraId="200B445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6B49F26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2019</w:t>
            </w:r>
          </w:p>
        </w:tc>
        <w:tc>
          <w:tcPr>
            <w:tcW w:w="2839" w:type="dxa"/>
            <w:tcBorders>
              <w:top w:val="nil"/>
              <w:left w:val="nil"/>
              <w:bottom w:val="single" w:sz="4" w:space="0" w:color="auto"/>
              <w:right w:val="single" w:sz="4" w:space="0" w:color="auto"/>
            </w:tcBorders>
            <w:shd w:val="clear" w:color="auto" w:fill="auto"/>
            <w:noWrap/>
            <w:hideMark/>
          </w:tcPr>
          <w:p w14:paraId="0EE56516"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p>
        </w:tc>
        <w:tc>
          <w:tcPr>
            <w:tcW w:w="1223" w:type="dxa"/>
            <w:tcBorders>
              <w:top w:val="nil"/>
              <w:left w:val="nil"/>
              <w:bottom w:val="single" w:sz="4" w:space="0" w:color="auto"/>
              <w:right w:val="single" w:sz="4" w:space="0" w:color="auto"/>
            </w:tcBorders>
            <w:shd w:val="clear" w:color="auto" w:fill="auto"/>
            <w:noWrap/>
            <w:vAlign w:val="center"/>
            <w:hideMark/>
          </w:tcPr>
          <w:p w14:paraId="1163C6A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noWrap/>
            <w:vAlign w:val="center"/>
            <w:hideMark/>
          </w:tcPr>
          <w:p w14:paraId="3BC896F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0FF5D2F8"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722229F6"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23B0ADE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33</w:t>
            </w:r>
          </w:p>
        </w:tc>
        <w:tc>
          <w:tcPr>
            <w:tcW w:w="4536" w:type="dxa"/>
            <w:tcBorders>
              <w:top w:val="nil"/>
              <w:left w:val="nil"/>
              <w:bottom w:val="single" w:sz="4" w:space="0" w:color="auto"/>
              <w:right w:val="single" w:sz="4" w:space="0" w:color="auto"/>
            </w:tcBorders>
            <w:shd w:val="clear" w:color="auto" w:fill="auto"/>
            <w:noWrap/>
            <w:hideMark/>
          </w:tcPr>
          <w:p w14:paraId="4C0BD07B"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PCR</w:t>
            </w:r>
            <w:r w:rsidR="006B418C" w:rsidRPr="008662BF">
              <w:rPr>
                <w:rFonts w:eastAsia="Times New Roman" w:cs="Times New Roman"/>
                <w:color w:val="000000"/>
                <w:sz w:val="20"/>
                <w:szCs w:val="20"/>
                <w:lang w:val="mk-MK"/>
              </w:rPr>
              <w:t xml:space="preserve"> во реално време</w:t>
            </w:r>
          </w:p>
        </w:tc>
        <w:tc>
          <w:tcPr>
            <w:tcW w:w="1275" w:type="dxa"/>
            <w:tcBorders>
              <w:top w:val="nil"/>
              <w:left w:val="nil"/>
              <w:bottom w:val="single" w:sz="4" w:space="0" w:color="auto"/>
              <w:right w:val="single" w:sz="4" w:space="0" w:color="auto"/>
            </w:tcBorders>
            <w:shd w:val="clear" w:color="auto" w:fill="auto"/>
            <w:noWrap/>
            <w:hideMark/>
          </w:tcPr>
          <w:p w14:paraId="7C49D18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36F90A6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2010</w:t>
            </w:r>
          </w:p>
        </w:tc>
        <w:tc>
          <w:tcPr>
            <w:tcW w:w="2839" w:type="dxa"/>
            <w:tcBorders>
              <w:top w:val="nil"/>
              <w:left w:val="nil"/>
              <w:bottom w:val="single" w:sz="4" w:space="0" w:color="auto"/>
              <w:right w:val="single" w:sz="4" w:space="0" w:color="auto"/>
            </w:tcBorders>
            <w:shd w:val="clear" w:color="auto" w:fill="auto"/>
            <w:hideMark/>
          </w:tcPr>
          <w:p w14:paraId="0B100455"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noWrap/>
            <w:vAlign w:val="center"/>
            <w:hideMark/>
          </w:tcPr>
          <w:p w14:paraId="0082E33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10 </w:t>
            </w:r>
          </w:p>
        </w:tc>
        <w:tc>
          <w:tcPr>
            <w:tcW w:w="1102" w:type="dxa"/>
            <w:tcBorders>
              <w:top w:val="nil"/>
              <w:left w:val="nil"/>
              <w:bottom w:val="single" w:sz="4" w:space="0" w:color="auto"/>
              <w:right w:val="single" w:sz="4" w:space="0" w:color="auto"/>
            </w:tcBorders>
            <w:shd w:val="clear" w:color="auto" w:fill="auto"/>
            <w:noWrap/>
            <w:vAlign w:val="center"/>
            <w:hideMark/>
          </w:tcPr>
          <w:p w14:paraId="38542AA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4CD5A020"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64AB21CC"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43C87A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34</w:t>
            </w:r>
          </w:p>
        </w:tc>
        <w:tc>
          <w:tcPr>
            <w:tcW w:w="4536" w:type="dxa"/>
            <w:tcBorders>
              <w:top w:val="nil"/>
              <w:left w:val="nil"/>
              <w:bottom w:val="single" w:sz="4" w:space="0" w:color="auto"/>
              <w:right w:val="single" w:sz="4" w:space="0" w:color="auto"/>
            </w:tcBorders>
            <w:shd w:val="clear" w:color="auto" w:fill="auto"/>
            <w:noWrap/>
            <w:hideMark/>
          </w:tcPr>
          <w:p w14:paraId="712D8EEC"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VITEK</w:t>
            </w:r>
          </w:p>
        </w:tc>
        <w:tc>
          <w:tcPr>
            <w:tcW w:w="1275" w:type="dxa"/>
            <w:tcBorders>
              <w:top w:val="nil"/>
              <w:left w:val="nil"/>
              <w:bottom w:val="single" w:sz="4" w:space="0" w:color="auto"/>
              <w:right w:val="single" w:sz="4" w:space="0" w:color="auto"/>
            </w:tcBorders>
            <w:shd w:val="clear" w:color="auto" w:fill="auto"/>
            <w:noWrap/>
            <w:hideMark/>
          </w:tcPr>
          <w:p w14:paraId="7BD0F1D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19DA938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2003</w:t>
            </w:r>
          </w:p>
        </w:tc>
        <w:tc>
          <w:tcPr>
            <w:tcW w:w="2839" w:type="dxa"/>
            <w:tcBorders>
              <w:top w:val="nil"/>
              <w:left w:val="nil"/>
              <w:bottom w:val="single" w:sz="4" w:space="0" w:color="auto"/>
              <w:right w:val="single" w:sz="4" w:space="0" w:color="auto"/>
            </w:tcBorders>
            <w:shd w:val="clear" w:color="auto" w:fill="auto"/>
            <w:noWrap/>
            <w:hideMark/>
          </w:tcPr>
          <w:p w14:paraId="715B8F51"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hideMark/>
          </w:tcPr>
          <w:p w14:paraId="6096035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1-2 </w:t>
            </w:r>
          </w:p>
        </w:tc>
        <w:tc>
          <w:tcPr>
            <w:tcW w:w="1102" w:type="dxa"/>
            <w:tcBorders>
              <w:top w:val="nil"/>
              <w:left w:val="nil"/>
              <w:bottom w:val="single" w:sz="4" w:space="0" w:color="auto"/>
              <w:right w:val="single" w:sz="4" w:space="0" w:color="auto"/>
            </w:tcBorders>
            <w:shd w:val="clear" w:color="auto" w:fill="auto"/>
            <w:noWrap/>
            <w:vAlign w:val="center"/>
            <w:hideMark/>
          </w:tcPr>
          <w:p w14:paraId="760C318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2D1AB0F8"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3A6CC491"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9BDB97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35</w:t>
            </w:r>
          </w:p>
        </w:tc>
        <w:tc>
          <w:tcPr>
            <w:tcW w:w="4536" w:type="dxa"/>
            <w:tcBorders>
              <w:top w:val="nil"/>
              <w:left w:val="nil"/>
              <w:bottom w:val="single" w:sz="4" w:space="0" w:color="auto"/>
              <w:right w:val="single" w:sz="4" w:space="0" w:color="auto"/>
            </w:tcBorders>
            <w:shd w:val="clear" w:color="auto" w:fill="auto"/>
            <w:noWrap/>
            <w:hideMark/>
          </w:tcPr>
          <w:p w14:paraId="7E807B9E"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VIDAS</w:t>
            </w:r>
          </w:p>
        </w:tc>
        <w:tc>
          <w:tcPr>
            <w:tcW w:w="1275" w:type="dxa"/>
            <w:tcBorders>
              <w:top w:val="nil"/>
              <w:left w:val="nil"/>
              <w:bottom w:val="single" w:sz="4" w:space="0" w:color="auto"/>
              <w:right w:val="single" w:sz="4" w:space="0" w:color="auto"/>
            </w:tcBorders>
            <w:shd w:val="clear" w:color="auto" w:fill="auto"/>
            <w:noWrap/>
            <w:hideMark/>
          </w:tcPr>
          <w:p w14:paraId="22134C9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596D2D5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2000</w:t>
            </w:r>
          </w:p>
        </w:tc>
        <w:tc>
          <w:tcPr>
            <w:tcW w:w="2839" w:type="dxa"/>
            <w:tcBorders>
              <w:top w:val="nil"/>
              <w:left w:val="nil"/>
              <w:bottom w:val="single" w:sz="4" w:space="0" w:color="auto"/>
              <w:right w:val="single" w:sz="4" w:space="0" w:color="auto"/>
            </w:tcBorders>
            <w:shd w:val="clear" w:color="auto" w:fill="auto"/>
            <w:noWrap/>
            <w:hideMark/>
          </w:tcPr>
          <w:p w14:paraId="4C724F0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c>
          <w:tcPr>
            <w:tcW w:w="1223" w:type="dxa"/>
            <w:tcBorders>
              <w:top w:val="nil"/>
              <w:left w:val="nil"/>
              <w:bottom w:val="single" w:sz="4" w:space="0" w:color="auto"/>
              <w:right w:val="single" w:sz="4" w:space="0" w:color="auto"/>
            </w:tcBorders>
            <w:shd w:val="clear" w:color="auto" w:fill="auto"/>
            <w:noWrap/>
            <w:vAlign w:val="center"/>
            <w:hideMark/>
          </w:tcPr>
          <w:p w14:paraId="584FB91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c>
          <w:tcPr>
            <w:tcW w:w="1102" w:type="dxa"/>
            <w:tcBorders>
              <w:top w:val="nil"/>
              <w:left w:val="nil"/>
              <w:bottom w:val="single" w:sz="4" w:space="0" w:color="auto"/>
              <w:right w:val="single" w:sz="4" w:space="0" w:color="auto"/>
            </w:tcBorders>
            <w:shd w:val="clear" w:color="auto" w:fill="auto"/>
            <w:noWrap/>
            <w:vAlign w:val="center"/>
            <w:hideMark/>
          </w:tcPr>
          <w:p w14:paraId="057D25A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64A43596"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7403D522" w14:textId="77777777" w:rsidR="007947BF"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Медицински факултет, Институт за имунобиологија и хумана генетика </w:t>
            </w:r>
          </w:p>
        </w:tc>
        <w:tc>
          <w:tcPr>
            <w:tcW w:w="388" w:type="dxa"/>
            <w:tcBorders>
              <w:top w:val="nil"/>
              <w:left w:val="nil"/>
              <w:bottom w:val="single" w:sz="4" w:space="0" w:color="auto"/>
              <w:right w:val="single" w:sz="4" w:space="0" w:color="auto"/>
            </w:tcBorders>
            <w:shd w:val="clear" w:color="auto" w:fill="auto"/>
            <w:hideMark/>
          </w:tcPr>
          <w:p w14:paraId="52147EA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36</w:t>
            </w:r>
          </w:p>
        </w:tc>
        <w:tc>
          <w:tcPr>
            <w:tcW w:w="4536" w:type="dxa"/>
            <w:tcBorders>
              <w:top w:val="nil"/>
              <w:left w:val="nil"/>
              <w:bottom w:val="single" w:sz="4" w:space="0" w:color="auto"/>
              <w:right w:val="single" w:sz="4" w:space="0" w:color="auto"/>
            </w:tcBorders>
            <w:shd w:val="clear" w:color="auto" w:fill="auto"/>
            <w:noWrap/>
            <w:hideMark/>
          </w:tcPr>
          <w:p w14:paraId="774B8589"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MiniSeq Ilumina NGS </w:t>
            </w:r>
            <w:r w:rsidR="006B418C" w:rsidRPr="008662BF">
              <w:rPr>
                <w:rFonts w:eastAsia="Times New Roman" w:cs="Times New Roman"/>
                <w:color w:val="000000"/>
                <w:sz w:val="20"/>
                <w:szCs w:val="20"/>
                <w:lang w:val="mk-MK"/>
              </w:rPr>
              <w:t xml:space="preserve">платформа </w:t>
            </w:r>
          </w:p>
        </w:tc>
        <w:tc>
          <w:tcPr>
            <w:tcW w:w="1275" w:type="dxa"/>
            <w:tcBorders>
              <w:top w:val="nil"/>
              <w:left w:val="nil"/>
              <w:bottom w:val="single" w:sz="4" w:space="0" w:color="auto"/>
              <w:right w:val="single" w:sz="4" w:space="0" w:color="auto"/>
            </w:tcBorders>
            <w:shd w:val="clear" w:color="auto" w:fill="auto"/>
            <w:noWrap/>
            <w:hideMark/>
          </w:tcPr>
          <w:p w14:paraId="274ED3C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1620433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2020</w:t>
            </w:r>
          </w:p>
        </w:tc>
        <w:tc>
          <w:tcPr>
            <w:tcW w:w="2839" w:type="dxa"/>
            <w:tcBorders>
              <w:top w:val="nil"/>
              <w:left w:val="nil"/>
              <w:bottom w:val="single" w:sz="4" w:space="0" w:color="auto"/>
              <w:right w:val="single" w:sz="4" w:space="0" w:color="auto"/>
            </w:tcBorders>
            <w:shd w:val="clear" w:color="auto" w:fill="auto"/>
            <w:noWrap/>
            <w:hideMark/>
          </w:tcPr>
          <w:p w14:paraId="6EBEF2A9"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Јавни средства</w:t>
            </w:r>
          </w:p>
        </w:tc>
        <w:tc>
          <w:tcPr>
            <w:tcW w:w="1223" w:type="dxa"/>
            <w:tcBorders>
              <w:top w:val="nil"/>
              <w:left w:val="nil"/>
              <w:bottom w:val="single" w:sz="4" w:space="0" w:color="auto"/>
              <w:right w:val="single" w:sz="4" w:space="0" w:color="auto"/>
            </w:tcBorders>
            <w:shd w:val="clear" w:color="auto" w:fill="auto"/>
            <w:noWrap/>
            <w:vAlign w:val="center"/>
            <w:hideMark/>
          </w:tcPr>
          <w:p w14:paraId="2E70364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c>
          <w:tcPr>
            <w:tcW w:w="1102" w:type="dxa"/>
            <w:tcBorders>
              <w:top w:val="nil"/>
              <w:left w:val="nil"/>
              <w:bottom w:val="single" w:sz="4" w:space="0" w:color="auto"/>
              <w:right w:val="single" w:sz="4" w:space="0" w:color="auto"/>
            </w:tcBorders>
            <w:shd w:val="clear" w:color="auto" w:fill="auto"/>
            <w:noWrap/>
            <w:vAlign w:val="center"/>
            <w:hideMark/>
          </w:tcPr>
          <w:p w14:paraId="21DE350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w:t>
            </w:r>
          </w:p>
        </w:tc>
      </w:tr>
      <w:tr w:rsidR="005C06A9" w:rsidRPr="008662BF" w14:paraId="6E7C8D94"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0AA8AD9D"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041905A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37</w:t>
            </w:r>
          </w:p>
        </w:tc>
        <w:tc>
          <w:tcPr>
            <w:tcW w:w="4536" w:type="dxa"/>
            <w:tcBorders>
              <w:top w:val="nil"/>
              <w:left w:val="nil"/>
              <w:bottom w:val="single" w:sz="4" w:space="0" w:color="auto"/>
              <w:right w:val="single" w:sz="4" w:space="0" w:color="auto"/>
            </w:tcBorders>
            <w:shd w:val="clear" w:color="auto" w:fill="auto"/>
            <w:noWrap/>
            <w:hideMark/>
          </w:tcPr>
          <w:p w14:paraId="4EFA9230"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S5 studio ThermoFisher NGS </w:t>
            </w:r>
            <w:r w:rsidR="006B418C" w:rsidRPr="008662BF">
              <w:rPr>
                <w:rFonts w:eastAsia="Times New Roman" w:cs="Times New Roman"/>
                <w:color w:val="000000"/>
                <w:sz w:val="20"/>
                <w:szCs w:val="20"/>
                <w:lang w:val="mk-MK"/>
              </w:rPr>
              <w:t xml:space="preserve">платформа </w:t>
            </w:r>
          </w:p>
        </w:tc>
        <w:tc>
          <w:tcPr>
            <w:tcW w:w="1275" w:type="dxa"/>
            <w:tcBorders>
              <w:top w:val="nil"/>
              <w:left w:val="nil"/>
              <w:bottom w:val="single" w:sz="4" w:space="0" w:color="auto"/>
              <w:right w:val="single" w:sz="4" w:space="0" w:color="auto"/>
            </w:tcBorders>
            <w:shd w:val="clear" w:color="auto" w:fill="auto"/>
            <w:noWrap/>
            <w:hideMark/>
          </w:tcPr>
          <w:p w14:paraId="7DC70FF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58BBFFA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noWrap/>
            <w:hideMark/>
          </w:tcPr>
          <w:p w14:paraId="3F4B4E75" w14:textId="079A6910"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p>
        </w:tc>
        <w:tc>
          <w:tcPr>
            <w:tcW w:w="1223" w:type="dxa"/>
            <w:tcBorders>
              <w:top w:val="nil"/>
              <w:left w:val="nil"/>
              <w:bottom w:val="single" w:sz="4" w:space="0" w:color="auto"/>
              <w:right w:val="single" w:sz="4" w:space="0" w:color="auto"/>
            </w:tcBorders>
            <w:shd w:val="clear" w:color="auto" w:fill="auto"/>
            <w:noWrap/>
            <w:vAlign w:val="center"/>
            <w:hideMark/>
          </w:tcPr>
          <w:p w14:paraId="470DBF7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c>
          <w:tcPr>
            <w:tcW w:w="1102" w:type="dxa"/>
            <w:tcBorders>
              <w:top w:val="nil"/>
              <w:left w:val="nil"/>
              <w:bottom w:val="single" w:sz="4" w:space="0" w:color="auto"/>
              <w:right w:val="single" w:sz="4" w:space="0" w:color="auto"/>
            </w:tcBorders>
            <w:shd w:val="clear" w:color="auto" w:fill="auto"/>
            <w:noWrap/>
            <w:vAlign w:val="center"/>
            <w:hideMark/>
          </w:tcPr>
          <w:p w14:paraId="7576ED5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w:t>
            </w:r>
          </w:p>
        </w:tc>
      </w:tr>
      <w:tr w:rsidR="005C06A9" w:rsidRPr="008662BF" w14:paraId="6C182598"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3B505895"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46322A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38</w:t>
            </w:r>
          </w:p>
        </w:tc>
        <w:tc>
          <w:tcPr>
            <w:tcW w:w="4536" w:type="dxa"/>
            <w:tcBorders>
              <w:top w:val="nil"/>
              <w:left w:val="nil"/>
              <w:bottom w:val="single" w:sz="4" w:space="0" w:color="auto"/>
              <w:right w:val="single" w:sz="4" w:space="0" w:color="auto"/>
            </w:tcBorders>
            <w:shd w:val="clear" w:color="auto" w:fill="auto"/>
            <w:noWrap/>
            <w:hideMark/>
          </w:tcPr>
          <w:p w14:paraId="3A35F275"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Ion Chef </w:t>
            </w:r>
            <w:r w:rsidR="003425BB" w:rsidRPr="008662BF">
              <w:rPr>
                <w:rFonts w:eastAsia="Times New Roman" w:cs="Times New Roman"/>
                <w:color w:val="000000"/>
                <w:sz w:val="20"/>
                <w:szCs w:val="20"/>
                <w:lang w:val="mk-MK"/>
              </w:rPr>
              <w:t>автоматизиран ракувач со течности</w:t>
            </w:r>
          </w:p>
        </w:tc>
        <w:tc>
          <w:tcPr>
            <w:tcW w:w="1275" w:type="dxa"/>
            <w:tcBorders>
              <w:top w:val="nil"/>
              <w:left w:val="nil"/>
              <w:bottom w:val="single" w:sz="4" w:space="0" w:color="auto"/>
              <w:right w:val="single" w:sz="4" w:space="0" w:color="auto"/>
            </w:tcBorders>
            <w:shd w:val="clear" w:color="auto" w:fill="auto"/>
            <w:noWrap/>
            <w:hideMark/>
          </w:tcPr>
          <w:p w14:paraId="42A3416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0C10F08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noWrap/>
            <w:hideMark/>
          </w:tcPr>
          <w:p w14:paraId="00E811EF" w14:textId="49BD3B24"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p>
        </w:tc>
        <w:tc>
          <w:tcPr>
            <w:tcW w:w="1223" w:type="dxa"/>
            <w:tcBorders>
              <w:top w:val="nil"/>
              <w:left w:val="nil"/>
              <w:bottom w:val="single" w:sz="4" w:space="0" w:color="auto"/>
              <w:right w:val="single" w:sz="4" w:space="0" w:color="auto"/>
            </w:tcBorders>
            <w:shd w:val="clear" w:color="auto" w:fill="auto"/>
            <w:noWrap/>
            <w:vAlign w:val="center"/>
            <w:hideMark/>
          </w:tcPr>
          <w:p w14:paraId="6204BBB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c>
          <w:tcPr>
            <w:tcW w:w="1102" w:type="dxa"/>
            <w:tcBorders>
              <w:top w:val="nil"/>
              <w:left w:val="nil"/>
              <w:bottom w:val="single" w:sz="4" w:space="0" w:color="auto"/>
              <w:right w:val="single" w:sz="4" w:space="0" w:color="auto"/>
            </w:tcBorders>
            <w:shd w:val="clear" w:color="auto" w:fill="auto"/>
            <w:noWrap/>
            <w:vAlign w:val="center"/>
            <w:hideMark/>
          </w:tcPr>
          <w:p w14:paraId="6AA236A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w:t>
            </w:r>
          </w:p>
        </w:tc>
      </w:tr>
      <w:tr w:rsidR="005C06A9" w:rsidRPr="008662BF" w14:paraId="038636A0"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75673280"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309432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39</w:t>
            </w:r>
          </w:p>
        </w:tc>
        <w:tc>
          <w:tcPr>
            <w:tcW w:w="4536" w:type="dxa"/>
            <w:tcBorders>
              <w:top w:val="nil"/>
              <w:left w:val="nil"/>
              <w:bottom w:val="single" w:sz="4" w:space="0" w:color="auto"/>
              <w:right w:val="single" w:sz="4" w:space="0" w:color="auto"/>
            </w:tcBorders>
            <w:shd w:val="clear" w:color="auto" w:fill="auto"/>
            <w:noWrap/>
            <w:hideMark/>
          </w:tcPr>
          <w:p w14:paraId="6560E862" w14:textId="77777777" w:rsidR="007947BF" w:rsidRPr="008662BF" w:rsidRDefault="003425BB"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Attune NeXt цитометар за проток</w:t>
            </w:r>
          </w:p>
        </w:tc>
        <w:tc>
          <w:tcPr>
            <w:tcW w:w="1275" w:type="dxa"/>
            <w:tcBorders>
              <w:top w:val="nil"/>
              <w:left w:val="nil"/>
              <w:bottom w:val="single" w:sz="4" w:space="0" w:color="auto"/>
              <w:right w:val="single" w:sz="4" w:space="0" w:color="auto"/>
            </w:tcBorders>
            <w:shd w:val="clear" w:color="auto" w:fill="auto"/>
            <w:noWrap/>
            <w:hideMark/>
          </w:tcPr>
          <w:p w14:paraId="51BFD59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4770C69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hideMark/>
          </w:tcPr>
          <w:p w14:paraId="4C802B95"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Средства од други министерства</w:t>
            </w:r>
          </w:p>
        </w:tc>
        <w:tc>
          <w:tcPr>
            <w:tcW w:w="1223" w:type="dxa"/>
            <w:tcBorders>
              <w:top w:val="nil"/>
              <w:left w:val="nil"/>
              <w:bottom w:val="single" w:sz="4" w:space="0" w:color="auto"/>
              <w:right w:val="single" w:sz="4" w:space="0" w:color="auto"/>
            </w:tcBorders>
            <w:shd w:val="clear" w:color="auto" w:fill="auto"/>
            <w:noWrap/>
            <w:vAlign w:val="center"/>
            <w:hideMark/>
          </w:tcPr>
          <w:p w14:paraId="6C14D5F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w:t>
            </w:r>
          </w:p>
        </w:tc>
        <w:tc>
          <w:tcPr>
            <w:tcW w:w="1102" w:type="dxa"/>
            <w:tcBorders>
              <w:top w:val="nil"/>
              <w:left w:val="nil"/>
              <w:bottom w:val="single" w:sz="4" w:space="0" w:color="auto"/>
              <w:right w:val="single" w:sz="4" w:space="0" w:color="auto"/>
            </w:tcBorders>
            <w:shd w:val="clear" w:color="auto" w:fill="auto"/>
            <w:noWrap/>
            <w:vAlign w:val="center"/>
            <w:hideMark/>
          </w:tcPr>
          <w:p w14:paraId="7661083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w:t>
            </w:r>
          </w:p>
        </w:tc>
      </w:tr>
      <w:tr w:rsidR="005C06A9" w:rsidRPr="008662BF" w14:paraId="1C90484C" w14:textId="77777777" w:rsidTr="00520621">
        <w:tc>
          <w:tcPr>
            <w:tcW w:w="2223" w:type="dxa"/>
            <w:vMerge w:val="restart"/>
            <w:tcBorders>
              <w:top w:val="nil"/>
              <w:left w:val="single" w:sz="4" w:space="0" w:color="auto"/>
              <w:right w:val="single" w:sz="4" w:space="0" w:color="auto"/>
            </w:tcBorders>
            <w:vAlign w:val="center"/>
          </w:tcPr>
          <w:p w14:paraId="4EEA5497"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br/>
            </w:r>
            <w:r w:rsidR="00520621" w:rsidRPr="008662BF">
              <w:rPr>
                <w:color w:val="000000"/>
                <w:sz w:val="20"/>
                <w:szCs w:val="20"/>
                <w:lang w:val="mk-MK"/>
              </w:rPr>
              <w:t>УКИМ, Фармацевтски факултет, Центар за контрола на квалитетот на лекови</w:t>
            </w:r>
          </w:p>
        </w:tc>
        <w:tc>
          <w:tcPr>
            <w:tcW w:w="388" w:type="dxa"/>
            <w:tcBorders>
              <w:top w:val="nil"/>
              <w:left w:val="nil"/>
              <w:bottom w:val="single" w:sz="4" w:space="0" w:color="auto"/>
              <w:right w:val="single" w:sz="4" w:space="0" w:color="auto"/>
            </w:tcBorders>
            <w:shd w:val="clear" w:color="auto" w:fill="auto"/>
          </w:tcPr>
          <w:p w14:paraId="0EBC151A"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40</w:t>
            </w:r>
          </w:p>
        </w:tc>
        <w:tc>
          <w:tcPr>
            <w:tcW w:w="4536" w:type="dxa"/>
            <w:tcBorders>
              <w:top w:val="nil"/>
              <w:left w:val="nil"/>
              <w:bottom w:val="single" w:sz="4" w:space="0" w:color="auto"/>
              <w:right w:val="single" w:sz="4" w:space="0" w:color="auto"/>
            </w:tcBorders>
            <w:shd w:val="clear" w:color="auto" w:fill="auto"/>
            <w:noWrap/>
          </w:tcPr>
          <w:p w14:paraId="60823DAA" w14:textId="77777777" w:rsidR="007947BF" w:rsidRPr="008662BF" w:rsidRDefault="007947BF" w:rsidP="00E1385A">
            <w:pPr>
              <w:spacing w:line="240" w:lineRule="auto"/>
              <w:rPr>
                <w:color w:val="000000"/>
                <w:sz w:val="20"/>
                <w:szCs w:val="20"/>
                <w:lang w:val="mk-MK"/>
              </w:rPr>
            </w:pPr>
            <w:r w:rsidRPr="008662BF">
              <w:rPr>
                <w:color w:val="000000"/>
                <w:sz w:val="20"/>
                <w:szCs w:val="20"/>
                <w:lang w:val="mk-MK"/>
              </w:rPr>
              <w:t>GC Clarus 500, Perkin Elmer</w:t>
            </w:r>
          </w:p>
        </w:tc>
        <w:tc>
          <w:tcPr>
            <w:tcW w:w="1275" w:type="dxa"/>
            <w:tcBorders>
              <w:top w:val="nil"/>
              <w:left w:val="nil"/>
              <w:bottom w:val="single" w:sz="4" w:space="0" w:color="auto"/>
              <w:right w:val="single" w:sz="4" w:space="0" w:color="auto"/>
            </w:tcBorders>
            <w:shd w:val="clear" w:color="auto" w:fill="auto"/>
            <w:noWrap/>
          </w:tcPr>
          <w:p w14:paraId="7F849DF0"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tcPr>
          <w:p w14:paraId="1DABF1B5"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2004</w:t>
            </w:r>
          </w:p>
        </w:tc>
        <w:tc>
          <w:tcPr>
            <w:tcW w:w="2839" w:type="dxa"/>
            <w:tcBorders>
              <w:top w:val="nil"/>
              <w:left w:val="nil"/>
              <w:bottom w:val="single" w:sz="4" w:space="0" w:color="auto"/>
              <w:right w:val="single" w:sz="4" w:space="0" w:color="auto"/>
            </w:tcBorders>
            <w:shd w:val="clear" w:color="auto" w:fill="auto"/>
          </w:tcPr>
          <w:p w14:paraId="6864676C" w14:textId="77777777" w:rsidR="007947BF" w:rsidRPr="008662BF" w:rsidRDefault="00A2244D" w:rsidP="00E1385A">
            <w:pPr>
              <w:spacing w:line="240" w:lineRule="auto"/>
              <w:jc w:val="center"/>
              <w:rPr>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6EE07CB0" w14:textId="77777777" w:rsidR="007947BF" w:rsidRPr="008662BF" w:rsidRDefault="00D61E89" w:rsidP="00E1385A">
            <w:pPr>
              <w:spacing w:line="240" w:lineRule="auto"/>
              <w:jc w:val="center"/>
              <w:rPr>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351C5FB4"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3</w:t>
            </w:r>
          </w:p>
        </w:tc>
      </w:tr>
      <w:tr w:rsidR="005C06A9" w:rsidRPr="008662BF" w14:paraId="49E1E70F" w14:textId="77777777" w:rsidTr="00520621">
        <w:tc>
          <w:tcPr>
            <w:tcW w:w="2223" w:type="dxa"/>
            <w:vMerge/>
            <w:tcBorders>
              <w:left w:val="single" w:sz="4" w:space="0" w:color="auto"/>
              <w:right w:val="single" w:sz="4" w:space="0" w:color="auto"/>
            </w:tcBorders>
            <w:vAlign w:val="center"/>
          </w:tcPr>
          <w:p w14:paraId="66323F28"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30ADE08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41</w:t>
            </w:r>
          </w:p>
        </w:tc>
        <w:tc>
          <w:tcPr>
            <w:tcW w:w="4536" w:type="dxa"/>
            <w:tcBorders>
              <w:top w:val="nil"/>
              <w:left w:val="nil"/>
              <w:bottom w:val="single" w:sz="4" w:space="0" w:color="auto"/>
              <w:right w:val="single" w:sz="4" w:space="0" w:color="auto"/>
            </w:tcBorders>
            <w:shd w:val="clear" w:color="auto" w:fill="auto"/>
            <w:noWrap/>
          </w:tcPr>
          <w:p w14:paraId="198BBD0A"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color w:val="000000"/>
                <w:sz w:val="20"/>
                <w:szCs w:val="20"/>
                <w:lang w:val="mk-MK"/>
              </w:rPr>
              <w:t>HPLC/DAD Agilent 1100 series</w:t>
            </w:r>
          </w:p>
        </w:tc>
        <w:tc>
          <w:tcPr>
            <w:tcW w:w="1275" w:type="dxa"/>
            <w:tcBorders>
              <w:top w:val="nil"/>
              <w:left w:val="nil"/>
              <w:bottom w:val="single" w:sz="4" w:space="0" w:color="auto"/>
              <w:right w:val="single" w:sz="4" w:space="0" w:color="auto"/>
            </w:tcBorders>
            <w:shd w:val="clear" w:color="auto" w:fill="auto"/>
            <w:noWrap/>
          </w:tcPr>
          <w:p w14:paraId="20DFF73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tcPr>
          <w:p w14:paraId="4B1C810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2005</w:t>
            </w:r>
          </w:p>
        </w:tc>
        <w:tc>
          <w:tcPr>
            <w:tcW w:w="2839" w:type="dxa"/>
            <w:tcBorders>
              <w:top w:val="nil"/>
              <w:left w:val="nil"/>
              <w:bottom w:val="single" w:sz="4" w:space="0" w:color="auto"/>
              <w:right w:val="single" w:sz="4" w:space="0" w:color="auto"/>
            </w:tcBorders>
            <w:shd w:val="clear" w:color="auto" w:fill="auto"/>
          </w:tcPr>
          <w:p w14:paraId="1F8EC748"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437FD18C" w14:textId="77777777" w:rsidR="007947BF" w:rsidRPr="008662BF" w:rsidRDefault="00D61E89" w:rsidP="00E1385A">
            <w:pPr>
              <w:spacing w:after="0" w:line="240" w:lineRule="auto"/>
              <w:jc w:val="center"/>
              <w:rPr>
                <w:rFonts w:eastAsia="Times New Roman" w:cs="Times New Roman"/>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1996D12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10</w:t>
            </w:r>
          </w:p>
        </w:tc>
      </w:tr>
      <w:tr w:rsidR="005C06A9" w:rsidRPr="008662BF" w14:paraId="6E1BA5B2" w14:textId="77777777" w:rsidTr="00520621">
        <w:tc>
          <w:tcPr>
            <w:tcW w:w="2223" w:type="dxa"/>
            <w:vMerge/>
            <w:tcBorders>
              <w:left w:val="single" w:sz="4" w:space="0" w:color="auto"/>
              <w:right w:val="single" w:sz="4" w:space="0" w:color="auto"/>
            </w:tcBorders>
            <w:vAlign w:val="center"/>
          </w:tcPr>
          <w:p w14:paraId="7A69FEE4"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4F6465D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42</w:t>
            </w:r>
          </w:p>
        </w:tc>
        <w:tc>
          <w:tcPr>
            <w:tcW w:w="4536" w:type="dxa"/>
            <w:tcBorders>
              <w:top w:val="nil"/>
              <w:left w:val="nil"/>
              <w:bottom w:val="single" w:sz="4" w:space="0" w:color="auto"/>
              <w:right w:val="single" w:sz="4" w:space="0" w:color="auto"/>
            </w:tcBorders>
            <w:shd w:val="clear" w:color="auto" w:fill="auto"/>
            <w:noWrap/>
          </w:tcPr>
          <w:p w14:paraId="59A4C4FF"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color w:val="000000"/>
                <w:sz w:val="20"/>
                <w:szCs w:val="20"/>
                <w:lang w:val="mk-MK"/>
              </w:rPr>
              <w:t>RP-HPLC/DAD/FLD Agilent 1200 series</w:t>
            </w:r>
          </w:p>
        </w:tc>
        <w:tc>
          <w:tcPr>
            <w:tcW w:w="1275" w:type="dxa"/>
            <w:tcBorders>
              <w:top w:val="nil"/>
              <w:left w:val="nil"/>
              <w:bottom w:val="single" w:sz="4" w:space="0" w:color="auto"/>
              <w:right w:val="single" w:sz="4" w:space="0" w:color="auto"/>
            </w:tcBorders>
            <w:shd w:val="clear" w:color="auto" w:fill="auto"/>
            <w:noWrap/>
          </w:tcPr>
          <w:p w14:paraId="2126523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tcPr>
          <w:p w14:paraId="562BD65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2007</w:t>
            </w:r>
          </w:p>
        </w:tc>
        <w:tc>
          <w:tcPr>
            <w:tcW w:w="2839" w:type="dxa"/>
            <w:tcBorders>
              <w:top w:val="nil"/>
              <w:left w:val="nil"/>
              <w:bottom w:val="single" w:sz="4" w:space="0" w:color="auto"/>
              <w:right w:val="single" w:sz="4" w:space="0" w:color="auto"/>
            </w:tcBorders>
            <w:shd w:val="clear" w:color="auto" w:fill="auto"/>
          </w:tcPr>
          <w:p w14:paraId="6ACA14A7"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65873716" w14:textId="77777777" w:rsidR="007947BF" w:rsidRPr="008662BF" w:rsidRDefault="00D61E89" w:rsidP="00E1385A">
            <w:pPr>
              <w:spacing w:after="0" w:line="240" w:lineRule="auto"/>
              <w:jc w:val="center"/>
              <w:rPr>
                <w:rFonts w:eastAsia="Times New Roman" w:cs="Times New Roman"/>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0F5940E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10</w:t>
            </w:r>
          </w:p>
        </w:tc>
      </w:tr>
      <w:tr w:rsidR="005C06A9" w:rsidRPr="008662BF" w14:paraId="58BC6CC0" w14:textId="77777777" w:rsidTr="00520621">
        <w:tc>
          <w:tcPr>
            <w:tcW w:w="2223" w:type="dxa"/>
            <w:vMerge/>
            <w:tcBorders>
              <w:left w:val="single" w:sz="4" w:space="0" w:color="auto"/>
              <w:right w:val="single" w:sz="4" w:space="0" w:color="auto"/>
            </w:tcBorders>
            <w:vAlign w:val="center"/>
          </w:tcPr>
          <w:p w14:paraId="35B09E51"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53B65E9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43</w:t>
            </w:r>
          </w:p>
        </w:tc>
        <w:tc>
          <w:tcPr>
            <w:tcW w:w="4536" w:type="dxa"/>
            <w:tcBorders>
              <w:top w:val="nil"/>
              <w:left w:val="nil"/>
              <w:bottom w:val="single" w:sz="4" w:space="0" w:color="auto"/>
              <w:right w:val="single" w:sz="4" w:space="0" w:color="auto"/>
            </w:tcBorders>
            <w:shd w:val="clear" w:color="auto" w:fill="auto"/>
            <w:noWrap/>
          </w:tcPr>
          <w:p w14:paraId="1658C165"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color w:val="000000"/>
                <w:sz w:val="20"/>
                <w:szCs w:val="20"/>
                <w:lang w:val="mk-MK"/>
              </w:rPr>
              <w:t>UPLC/DAD/RID Nexera Shimadzu</w:t>
            </w:r>
          </w:p>
        </w:tc>
        <w:tc>
          <w:tcPr>
            <w:tcW w:w="1275" w:type="dxa"/>
            <w:tcBorders>
              <w:top w:val="nil"/>
              <w:left w:val="nil"/>
              <w:bottom w:val="single" w:sz="4" w:space="0" w:color="auto"/>
              <w:right w:val="single" w:sz="4" w:space="0" w:color="auto"/>
            </w:tcBorders>
            <w:shd w:val="clear" w:color="auto" w:fill="auto"/>
            <w:noWrap/>
          </w:tcPr>
          <w:p w14:paraId="66000C0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tcPr>
          <w:p w14:paraId="2ADADF5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tcPr>
          <w:p w14:paraId="29B78C56" w14:textId="5E2F0D92"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 xml:space="preserve">Влада на </w:t>
            </w:r>
            <w:r w:rsidR="00417197">
              <w:rPr>
                <w:color w:val="000000"/>
                <w:sz w:val="20"/>
                <w:szCs w:val="20"/>
                <w:lang w:val="mk-MK"/>
              </w:rPr>
              <w:t>Република Северна Македонија</w:t>
            </w:r>
          </w:p>
        </w:tc>
        <w:tc>
          <w:tcPr>
            <w:tcW w:w="1223" w:type="dxa"/>
            <w:tcBorders>
              <w:top w:val="nil"/>
              <w:left w:val="nil"/>
              <w:bottom w:val="single" w:sz="4" w:space="0" w:color="auto"/>
              <w:right w:val="single" w:sz="4" w:space="0" w:color="auto"/>
            </w:tcBorders>
            <w:shd w:val="clear" w:color="auto" w:fill="auto"/>
            <w:noWrap/>
            <w:vAlign w:val="center"/>
          </w:tcPr>
          <w:p w14:paraId="018F96C3" w14:textId="77777777" w:rsidR="007947BF" w:rsidRPr="008662BF" w:rsidRDefault="00D61E89" w:rsidP="00E1385A">
            <w:pPr>
              <w:spacing w:after="0" w:line="240" w:lineRule="auto"/>
              <w:jc w:val="center"/>
              <w:rPr>
                <w:rFonts w:eastAsia="Times New Roman" w:cs="Times New Roman"/>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7C97704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10</w:t>
            </w:r>
          </w:p>
        </w:tc>
      </w:tr>
      <w:tr w:rsidR="005C06A9" w:rsidRPr="008662BF" w14:paraId="1FB1B65D" w14:textId="77777777" w:rsidTr="00520621">
        <w:tc>
          <w:tcPr>
            <w:tcW w:w="2223" w:type="dxa"/>
            <w:vMerge/>
            <w:tcBorders>
              <w:left w:val="single" w:sz="4" w:space="0" w:color="auto"/>
              <w:right w:val="single" w:sz="4" w:space="0" w:color="auto"/>
            </w:tcBorders>
            <w:vAlign w:val="center"/>
          </w:tcPr>
          <w:p w14:paraId="4FA4F643"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0688537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44</w:t>
            </w:r>
          </w:p>
        </w:tc>
        <w:tc>
          <w:tcPr>
            <w:tcW w:w="4536" w:type="dxa"/>
            <w:tcBorders>
              <w:top w:val="nil"/>
              <w:left w:val="nil"/>
              <w:bottom w:val="single" w:sz="4" w:space="0" w:color="auto"/>
              <w:right w:val="single" w:sz="4" w:space="0" w:color="auto"/>
            </w:tcBorders>
            <w:shd w:val="clear" w:color="auto" w:fill="auto"/>
            <w:noWrap/>
          </w:tcPr>
          <w:p w14:paraId="36F7B282"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color w:val="000000"/>
                <w:sz w:val="20"/>
                <w:szCs w:val="20"/>
                <w:lang w:val="mk-MK"/>
              </w:rPr>
              <w:t>UPLC/DAD-MS/MS Nexera, Shimadzu</w:t>
            </w:r>
          </w:p>
        </w:tc>
        <w:tc>
          <w:tcPr>
            <w:tcW w:w="1275" w:type="dxa"/>
            <w:tcBorders>
              <w:top w:val="nil"/>
              <w:left w:val="nil"/>
              <w:bottom w:val="single" w:sz="4" w:space="0" w:color="auto"/>
              <w:right w:val="single" w:sz="4" w:space="0" w:color="auto"/>
            </w:tcBorders>
            <w:shd w:val="clear" w:color="auto" w:fill="auto"/>
            <w:noWrap/>
          </w:tcPr>
          <w:p w14:paraId="578805B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100.000</w:t>
            </w:r>
          </w:p>
        </w:tc>
        <w:tc>
          <w:tcPr>
            <w:tcW w:w="1134" w:type="dxa"/>
            <w:tcBorders>
              <w:top w:val="nil"/>
              <w:left w:val="nil"/>
              <w:bottom w:val="single" w:sz="4" w:space="0" w:color="auto"/>
              <w:right w:val="single" w:sz="4" w:space="0" w:color="auto"/>
            </w:tcBorders>
            <w:shd w:val="clear" w:color="auto" w:fill="auto"/>
            <w:noWrap/>
          </w:tcPr>
          <w:p w14:paraId="1850D55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tcPr>
          <w:p w14:paraId="70152E7D" w14:textId="0331368D"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 xml:space="preserve">Влада на </w:t>
            </w:r>
            <w:r w:rsidR="00417197">
              <w:rPr>
                <w:color w:val="000000"/>
                <w:sz w:val="20"/>
                <w:szCs w:val="20"/>
                <w:lang w:val="mk-MK"/>
              </w:rPr>
              <w:t>Република Северна Македонија</w:t>
            </w:r>
          </w:p>
        </w:tc>
        <w:tc>
          <w:tcPr>
            <w:tcW w:w="1223" w:type="dxa"/>
            <w:tcBorders>
              <w:top w:val="nil"/>
              <w:left w:val="nil"/>
              <w:bottom w:val="single" w:sz="4" w:space="0" w:color="auto"/>
              <w:right w:val="single" w:sz="4" w:space="0" w:color="auto"/>
            </w:tcBorders>
            <w:shd w:val="clear" w:color="auto" w:fill="auto"/>
            <w:noWrap/>
            <w:vAlign w:val="center"/>
          </w:tcPr>
          <w:p w14:paraId="77A560FA" w14:textId="77777777" w:rsidR="007947BF" w:rsidRPr="008662BF" w:rsidRDefault="00D61E89" w:rsidP="00E1385A">
            <w:pPr>
              <w:spacing w:after="0" w:line="240" w:lineRule="auto"/>
              <w:jc w:val="center"/>
              <w:rPr>
                <w:rFonts w:eastAsia="Times New Roman" w:cs="Times New Roman"/>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1E86427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10</w:t>
            </w:r>
          </w:p>
        </w:tc>
      </w:tr>
      <w:tr w:rsidR="005C06A9" w:rsidRPr="008662BF" w14:paraId="1676B5EE" w14:textId="77777777" w:rsidTr="00520621">
        <w:tc>
          <w:tcPr>
            <w:tcW w:w="2223" w:type="dxa"/>
            <w:vMerge/>
            <w:tcBorders>
              <w:left w:val="single" w:sz="4" w:space="0" w:color="auto"/>
              <w:right w:val="single" w:sz="4" w:space="0" w:color="auto"/>
            </w:tcBorders>
            <w:vAlign w:val="center"/>
          </w:tcPr>
          <w:p w14:paraId="7FADD869"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4B54310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45</w:t>
            </w:r>
          </w:p>
        </w:tc>
        <w:tc>
          <w:tcPr>
            <w:tcW w:w="4536" w:type="dxa"/>
            <w:tcBorders>
              <w:top w:val="nil"/>
              <w:left w:val="nil"/>
              <w:bottom w:val="single" w:sz="4" w:space="0" w:color="auto"/>
              <w:right w:val="single" w:sz="4" w:space="0" w:color="auto"/>
            </w:tcBorders>
            <w:shd w:val="clear" w:color="auto" w:fill="auto"/>
            <w:noWrap/>
          </w:tcPr>
          <w:p w14:paraId="77EA91C4"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color w:val="000000"/>
                <w:sz w:val="20"/>
                <w:szCs w:val="20"/>
                <w:lang w:val="mk-MK"/>
              </w:rPr>
              <w:t>AAS AA-7000, Shimadzu</w:t>
            </w:r>
          </w:p>
        </w:tc>
        <w:tc>
          <w:tcPr>
            <w:tcW w:w="1275" w:type="dxa"/>
            <w:tcBorders>
              <w:top w:val="nil"/>
              <w:left w:val="nil"/>
              <w:bottom w:val="single" w:sz="4" w:space="0" w:color="auto"/>
              <w:right w:val="single" w:sz="4" w:space="0" w:color="auto"/>
            </w:tcBorders>
            <w:shd w:val="clear" w:color="auto" w:fill="auto"/>
            <w:noWrap/>
          </w:tcPr>
          <w:p w14:paraId="7CE7086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tcPr>
          <w:p w14:paraId="463B6A7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2012</w:t>
            </w:r>
          </w:p>
        </w:tc>
        <w:tc>
          <w:tcPr>
            <w:tcW w:w="2839" w:type="dxa"/>
            <w:tcBorders>
              <w:top w:val="nil"/>
              <w:left w:val="nil"/>
              <w:bottom w:val="single" w:sz="4" w:space="0" w:color="auto"/>
              <w:right w:val="single" w:sz="4" w:space="0" w:color="auto"/>
            </w:tcBorders>
            <w:shd w:val="clear" w:color="auto" w:fill="auto"/>
          </w:tcPr>
          <w:p w14:paraId="706FE623" w14:textId="1990EF8E"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 xml:space="preserve">Влада на </w:t>
            </w:r>
            <w:r w:rsidR="00417197">
              <w:rPr>
                <w:color w:val="000000"/>
                <w:sz w:val="20"/>
                <w:szCs w:val="20"/>
                <w:lang w:val="mk-MK"/>
              </w:rPr>
              <w:t>Република Северна Македонија</w:t>
            </w:r>
          </w:p>
        </w:tc>
        <w:tc>
          <w:tcPr>
            <w:tcW w:w="1223" w:type="dxa"/>
            <w:tcBorders>
              <w:top w:val="nil"/>
              <w:left w:val="nil"/>
              <w:bottom w:val="single" w:sz="4" w:space="0" w:color="auto"/>
              <w:right w:val="single" w:sz="4" w:space="0" w:color="auto"/>
            </w:tcBorders>
            <w:shd w:val="clear" w:color="auto" w:fill="auto"/>
            <w:noWrap/>
            <w:vAlign w:val="center"/>
          </w:tcPr>
          <w:p w14:paraId="0FDCD28A" w14:textId="77777777" w:rsidR="007947BF" w:rsidRPr="008662BF" w:rsidRDefault="00D61E89" w:rsidP="00E1385A">
            <w:pPr>
              <w:spacing w:after="0" w:line="240" w:lineRule="auto"/>
              <w:jc w:val="center"/>
              <w:rPr>
                <w:rFonts w:eastAsia="Times New Roman" w:cs="Times New Roman"/>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2585BB7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3</w:t>
            </w:r>
          </w:p>
        </w:tc>
      </w:tr>
      <w:tr w:rsidR="005C06A9" w:rsidRPr="008662BF" w14:paraId="50805A6F" w14:textId="77777777" w:rsidTr="00520621">
        <w:tc>
          <w:tcPr>
            <w:tcW w:w="2223" w:type="dxa"/>
            <w:vMerge/>
            <w:tcBorders>
              <w:left w:val="single" w:sz="4" w:space="0" w:color="auto"/>
              <w:bottom w:val="single" w:sz="4" w:space="0" w:color="auto"/>
              <w:right w:val="single" w:sz="4" w:space="0" w:color="auto"/>
            </w:tcBorders>
            <w:vAlign w:val="center"/>
          </w:tcPr>
          <w:p w14:paraId="632E272D"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7CA1E0A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46</w:t>
            </w:r>
          </w:p>
        </w:tc>
        <w:tc>
          <w:tcPr>
            <w:tcW w:w="4536" w:type="dxa"/>
            <w:tcBorders>
              <w:top w:val="nil"/>
              <w:left w:val="nil"/>
              <w:bottom w:val="single" w:sz="4" w:space="0" w:color="auto"/>
              <w:right w:val="single" w:sz="4" w:space="0" w:color="auto"/>
            </w:tcBorders>
            <w:shd w:val="clear" w:color="auto" w:fill="auto"/>
            <w:noWrap/>
          </w:tcPr>
          <w:p w14:paraId="69338748"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color w:val="000000"/>
                <w:sz w:val="20"/>
                <w:szCs w:val="20"/>
                <w:lang w:val="mk-MK"/>
              </w:rPr>
              <w:t>UPLC/DAD Agilent 1260</w:t>
            </w:r>
          </w:p>
        </w:tc>
        <w:tc>
          <w:tcPr>
            <w:tcW w:w="1275" w:type="dxa"/>
            <w:tcBorders>
              <w:top w:val="nil"/>
              <w:left w:val="nil"/>
              <w:bottom w:val="single" w:sz="4" w:space="0" w:color="auto"/>
              <w:right w:val="single" w:sz="4" w:space="0" w:color="auto"/>
            </w:tcBorders>
            <w:shd w:val="clear" w:color="auto" w:fill="auto"/>
            <w:noWrap/>
          </w:tcPr>
          <w:p w14:paraId="78D9CCA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55.000</w:t>
            </w:r>
          </w:p>
        </w:tc>
        <w:tc>
          <w:tcPr>
            <w:tcW w:w="1134" w:type="dxa"/>
            <w:tcBorders>
              <w:top w:val="nil"/>
              <w:left w:val="nil"/>
              <w:bottom w:val="single" w:sz="4" w:space="0" w:color="auto"/>
              <w:right w:val="single" w:sz="4" w:space="0" w:color="auto"/>
            </w:tcBorders>
            <w:shd w:val="clear" w:color="auto" w:fill="auto"/>
            <w:noWrap/>
          </w:tcPr>
          <w:p w14:paraId="568D8B1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2016</w:t>
            </w:r>
          </w:p>
        </w:tc>
        <w:tc>
          <w:tcPr>
            <w:tcW w:w="2839" w:type="dxa"/>
            <w:tcBorders>
              <w:top w:val="nil"/>
              <w:left w:val="nil"/>
              <w:bottom w:val="single" w:sz="4" w:space="0" w:color="auto"/>
              <w:right w:val="single" w:sz="4" w:space="0" w:color="auto"/>
            </w:tcBorders>
            <w:shd w:val="clear" w:color="auto" w:fill="auto"/>
          </w:tcPr>
          <w:p w14:paraId="0F1E02F2"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0D63AE9F" w14:textId="77777777" w:rsidR="007947BF" w:rsidRPr="008662BF" w:rsidRDefault="00D61E89" w:rsidP="00E1385A">
            <w:pPr>
              <w:spacing w:after="0" w:line="240" w:lineRule="auto"/>
              <w:jc w:val="center"/>
              <w:rPr>
                <w:rFonts w:eastAsia="Times New Roman" w:cs="Times New Roman"/>
                <w:color w:val="000000"/>
                <w:sz w:val="20"/>
                <w:szCs w:val="20"/>
                <w:lang w:val="mk-MK"/>
              </w:rPr>
            </w:pPr>
            <w:r>
              <w:rPr>
                <w:color w:val="000000"/>
                <w:sz w:val="20"/>
                <w:szCs w:val="20"/>
                <w:lang w:val="mk-MK"/>
              </w:rPr>
              <w:t>/</w:t>
            </w:r>
          </w:p>
        </w:tc>
        <w:tc>
          <w:tcPr>
            <w:tcW w:w="1102" w:type="dxa"/>
            <w:tcBorders>
              <w:top w:val="nil"/>
              <w:left w:val="nil"/>
              <w:bottom w:val="single" w:sz="4" w:space="0" w:color="auto"/>
              <w:right w:val="single" w:sz="4" w:space="0" w:color="auto"/>
            </w:tcBorders>
            <w:shd w:val="clear" w:color="auto" w:fill="auto"/>
            <w:noWrap/>
            <w:vAlign w:val="center"/>
          </w:tcPr>
          <w:p w14:paraId="442EBFC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10</w:t>
            </w:r>
          </w:p>
        </w:tc>
      </w:tr>
      <w:tr w:rsidR="005C06A9" w:rsidRPr="008662BF" w14:paraId="2C80BC58" w14:textId="77777777" w:rsidTr="00520621">
        <w:tc>
          <w:tcPr>
            <w:tcW w:w="2223" w:type="dxa"/>
            <w:vMerge w:val="restart"/>
            <w:tcBorders>
              <w:top w:val="nil"/>
              <w:left w:val="single" w:sz="4" w:space="0" w:color="auto"/>
              <w:right w:val="single" w:sz="4" w:space="0" w:color="auto"/>
            </w:tcBorders>
            <w:vAlign w:val="center"/>
          </w:tcPr>
          <w:p w14:paraId="671A3B0D"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br/>
            </w:r>
            <w:r w:rsidR="00520621" w:rsidRPr="008662BF">
              <w:rPr>
                <w:color w:val="000000"/>
                <w:sz w:val="20"/>
                <w:szCs w:val="20"/>
                <w:lang w:val="mk-MK"/>
              </w:rPr>
              <w:t>УКИМ, Фармацевтски факултет, Центар за биомолекуларни фармацевтски анализи</w:t>
            </w:r>
          </w:p>
        </w:tc>
        <w:tc>
          <w:tcPr>
            <w:tcW w:w="388" w:type="dxa"/>
            <w:tcBorders>
              <w:top w:val="nil"/>
              <w:left w:val="nil"/>
              <w:bottom w:val="single" w:sz="4" w:space="0" w:color="auto"/>
              <w:right w:val="single" w:sz="4" w:space="0" w:color="auto"/>
            </w:tcBorders>
            <w:shd w:val="clear" w:color="auto" w:fill="auto"/>
          </w:tcPr>
          <w:p w14:paraId="74583CAF"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47</w:t>
            </w:r>
          </w:p>
        </w:tc>
        <w:tc>
          <w:tcPr>
            <w:tcW w:w="4536" w:type="dxa"/>
            <w:tcBorders>
              <w:top w:val="nil"/>
              <w:left w:val="nil"/>
              <w:bottom w:val="single" w:sz="4" w:space="0" w:color="auto"/>
              <w:right w:val="single" w:sz="4" w:space="0" w:color="auto"/>
            </w:tcBorders>
            <w:shd w:val="clear" w:color="auto" w:fill="auto"/>
            <w:noWrap/>
          </w:tcPr>
          <w:p w14:paraId="781CF30B" w14:textId="77777777" w:rsidR="007947BF" w:rsidRPr="008662BF" w:rsidRDefault="007947BF" w:rsidP="00E1385A">
            <w:pPr>
              <w:spacing w:line="240" w:lineRule="auto"/>
              <w:rPr>
                <w:color w:val="000000"/>
                <w:sz w:val="20"/>
                <w:szCs w:val="20"/>
                <w:lang w:val="mk-MK"/>
              </w:rPr>
            </w:pPr>
            <w:r w:rsidRPr="008662BF">
              <w:rPr>
                <w:color w:val="000000"/>
                <w:sz w:val="20"/>
                <w:szCs w:val="20"/>
                <w:lang w:val="mk-MK"/>
              </w:rPr>
              <w:t>A</w:t>
            </w:r>
            <w:r w:rsidR="003425BB" w:rsidRPr="008662BF">
              <w:rPr>
                <w:color w:val="000000"/>
                <w:sz w:val="20"/>
                <w:szCs w:val="20"/>
                <w:lang w:val="mk-MK"/>
              </w:rPr>
              <w:t>pplied Biosystems™ 3500 Series генетски анализатор</w:t>
            </w:r>
            <w:r w:rsidRPr="008662BF">
              <w:rPr>
                <w:color w:val="000000"/>
                <w:sz w:val="20"/>
                <w:szCs w:val="20"/>
                <w:lang w:val="mk-MK"/>
              </w:rPr>
              <w:t xml:space="preserve">, Thermo Fisher Scientific </w:t>
            </w:r>
          </w:p>
        </w:tc>
        <w:tc>
          <w:tcPr>
            <w:tcW w:w="1275" w:type="dxa"/>
            <w:tcBorders>
              <w:top w:val="nil"/>
              <w:left w:val="nil"/>
              <w:bottom w:val="single" w:sz="4" w:space="0" w:color="auto"/>
              <w:right w:val="single" w:sz="4" w:space="0" w:color="auto"/>
            </w:tcBorders>
            <w:shd w:val="clear" w:color="auto" w:fill="auto"/>
            <w:noWrap/>
          </w:tcPr>
          <w:p w14:paraId="09A4D560"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120.000</w:t>
            </w:r>
          </w:p>
        </w:tc>
        <w:tc>
          <w:tcPr>
            <w:tcW w:w="1134" w:type="dxa"/>
            <w:tcBorders>
              <w:top w:val="nil"/>
              <w:left w:val="nil"/>
              <w:bottom w:val="single" w:sz="4" w:space="0" w:color="auto"/>
              <w:right w:val="single" w:sz="4" w:space="0" w:color="auto"/>
            </w:tcBorders>
            <w:shd w:val="clear" w:color="auto" w:fill="auto"/>
            <w:noWrap/>
          </w:tcPr>
          <w:p w14:paraId="139A7867"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2012</w:t>
            </w:r>
          </w:p>
        </w:tc>
        <w:tc>
          <w:tcPr>
            <w:tcW w:w="2839" w:type="dxa"/>
            <w:tcBorders>
              <w:top w:val="nil"/>
              <w:left w:val="nil"/>
              <w:bottom w:val="single" w:sz="4" w:space="0" w:color="auto"/>
              <w:right w:val="single" w:sz="4" w:space="0" w:color="auto"/>
            </w:tcBorders>
            <w:shd w:val="clear" w:color="auto" w:fill="auto"/>
          </w:tcPr>
          <w:p w14:paraId="2809C78F" w14:textId="77777777" w:rsidR="007947BF" w:rsidRPr="008662BF" w:rsidRDefault="00A94FBB" w:rsidP="00E1385A">
            <w:pPr>
              <w:spacing w:line="240" w:lineRule="auto"/>
              <w:jc w:val="center"/>
              <w:rPr>
                <w:color w:val="000000"/>
                <w:sz w:val="20"/>
                <w:szCs w:val="20"/>
                <w:lang w:val="mk-MK"/>
              </w:rPr>
            </w:pPr>
            <w:r w:rsidRPr="008662BF">
              <w:rPr>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noWrap/>
            <w:vAlign w:val="center"/>
          </w:tcPr>
          <w:p w14:paraId="1A397F03"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tcPr>
          <w:p w14:paraId="2ACA4333"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 </w:t>
            </w:r>
          </w:p>
        </w:tc>
      </w:tr>
      <w:tr w:rsidR="005C06A9" w:rsidRPr="008662BF" w14:paraId="3E7B8CCA" w14:textId="77777777" w:rsidTr="00520621">
        <w:tc>
          <w:tcPr>
            <w:tcW w:w="2223" w:type="dxa"/>
            <w:vMerge/>
            <w:tcBorders>
              <w:left w:val="single" w:sz="4" w:space="0" w:color="auto"/>
              <w:bottom w:val="single" w:sz="4" w:space="0" w:color="auto"/>
              <w:right w:val="single" w:sz="4" w:space="0" w:color="auto"/>
            </w:tcBorders>
            <w:vAlign w:val="center"/>
          </w:tcPr>
          <w:p w14:paraId="61C63403"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0BC6523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48</w:t>
            </w:r>
          </w:p>
        </w:tc>
        <w:tc>
          <w:tcPr>
            <w:tcW w:w="4536" w:type="dxa"/>
            <w:tcBorders>
              <w:top w:val="nil"/>
              <w:left w:val="nil"/>
              <w:bottom w:val="single" w:sz="4" w:space="0" w:color="auto"/>
              <w:right w:val="single" w:sz="4" w:space="0" w:color="auto"/>
            </w:tcBorders>
            <w:shd w:val="clear" w:color="auto" w:fill="auto"/>
            <w:noWrap/>
          </w:tcPr>
          <w:p w14:paraId="524C32B6" w14:textId="77777777" w:rsidR="007947BF" w:rsidRPr="008662BF" w:rsidRDefault="003425BB" w:rsidP="00E1385A">
            <w:pPr>
              <w:spacing w:after="0" w:line="240" w:lineRule="auto"/>
              <w:rPr>
                <w:rFonts w:eastAsia="Times New Roman" w:cs="Times New Roman"/>
                <w:color w:val="000000"/>
                <w:sz w:val="20"/>
                <w:szCs w:val="20"/>
                <w:lang w:val="mk-MK"/>
              </w:rPr>
            </w:pPr>
            <w:r w:rsidRPr="008662BF">
              <w:rPr>
                <w:color w:val="000000"/>
                <w:sz w:val="20"/>
                <w:szCs w:val="20"/>
                <w:lang w:val="mk-MK"/>
              </w:rPr>
              <w:t xml:space="preserve">Miniseq system секвенцер за </w:t>
            </w:r>
            <w:r w:rsidR="007947BF" w:rsidRPr="008662BF">
              <w:rPr>
                <w:color w:val="000000"/>
                <w:sz w:val="20"/>
                <w:szCs w:val="20"/>
                <w:lang w:val="mk-MK"/>
              </w:rPr>
              <w:t>NGS, Illumina</w:t>
            </w:r>
          </w:p>
        </w:tc>
        <w:tc>
          <w:tcPr>
            <w:tcW w:w="1275" w:type="dxa"/>
            <w:tcBorders>
              <w:top w:val="nil"/>
              <w:left w:val="nil"/>
              <w:bottom w:val="single" w:sz="4" w:space="0" w:color="auto"/>
              <w:right w:val="single" w:sz="4" w:space="0" w:color="auto"/>
            </w:tcBorders>
            <w:shd w:val="clear" w:color="auto" w:fill="auto"/>
            <w:noWrap/>
          </w:tcPr>
          <w:p w14:paraId="5042553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tcPr>
          <w:p w14:paraId="1BCB3A4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2017</w:t>
            </w:r>
          </w:p>
        </w:tc>
        <w:tc>
          <w:tcPr>
            <w:tcW w:w="2839" w:type="dxa"/>
            <w:tcBorders>
              <w:top w:val="nil"/>
              <w:left w:val="nil"/>
              <w:bottom w:val="single" w:sz="4" w:space="0" w:color="auto"/>
              <w:right w:val="single" w:sz="4" w:space="0" w:color="auto"/>
            </w:tcBorders>
            <w:shd w:val="clear" w:color="auto" w:fill="auto"/>
          </w:tcPr>
          <w:p w14:paraId="5E878AD6"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10E613C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tcPr>
          <w:p w14:paraId="6592741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 </w:t>
            </w:r>
          </w:p>
        </w:tc>
      </w:tr>
      <w:tr w:rsidR="005C06A9" w:rsidRPr="008662BF" w14:paraId="119FF66D" w14:textId="77777777" w:rsidTr="00520621">
        <w:tc>
          <w:tcPr>
            <w:tcW w:w="2223" w:type="dxa"/>
            <w:vMerge w:val="restart"/>
            <w:tcBorders>
              <w:top w:val="nil"/>
              <w:left w:val="single" w:sz="4" w:space="0" w:color="auto"/>
              <w:right w:val="single" w:sz="4" w:space="0" w:color="auto"/>
            </w:tcBorders>
            <w:vAlign w:val="center"/>
          </w:tcPr>
          <w:p w14:paraId="24D4E858" w14:textId="77777777" w:rsidR="007947BF" w:rsidRPr="008662BF" w:rsidRDefault="00520621" w:rsidP="00E1385A">
            <w:pPr>
              <w:spacing w:line="240" w:lineRule="auto"/>
              <w:jc w:val="center"/>
              <w:rPr>
                <w:color w:val="000000"/>
                <w:sz w:val="20"/>
                <w:szCs w:val="20"/>
                <w:lang w:val="mk-MK"/>
              </w:rPr>
            </w:pPr>
            <w:r w:rsidRPr="008662BF">
              <w:rPr>
                <w:color w:val="000000"/>
                <w:sz w:val="20"/>
                <w:szCs w:val="20"/>
                <w:lang w:val="mk-MK"/>
              </w:rPr>
              <w:t xml:space="preserve">УКИМ, Фармацевтски факултет, Центар за природни производи </w:t>
            </w:r>
          </w:p>
        </w:tc>
        <w:tc>
          <w:tcPr>
            <w:tcW w:w="388" w:type="dxa"/>
            <w:tcBorders>
              <w:top w:val="nil"/>
              <w:left w:val="nil"/>
              <w:bottom w:val="single" w:sz="4" w:space="0" w:color="auto"/>
              <w:right w:val="single" w:sz="4" w:space="0" w:color="auto"/>
            </w:tcBorders>
            <w:shd w:val="clear" w:color="auto" w:fill="auto"/>
          </w:tcPr>
          <w:p w14:paraId="16E22BF9"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49</w:t>
            </w:r>
          </w:p>
        </w:tc>
        <w:tc>
          <w:tcPr>
            <w:tcW w:w="4536" w:type="dxa"/>
            <w:tcBorders>
              <w:top w:val="nil"/>
              <w:left w:val="nil"/>
              <w:bottom w:val="single" w:sz="4" w:space="0" w:color="auto"/>
              <w:right w:val="single" w:sz="4" w:space="0" w:color="auto"/>
            </w:tcBorders>
            <w:shd w:val="clear" w:color="auto" w:fill="auto"/>
            <w:noWrap/>
          </w:tcPr>
          <w:p w14:paraId="7DBDA52D" w14:textId="77777777" w:rsidR="007947BF" w:rsidRPr="008662BF" w:rsidRDefault="003425BB" w:rsidP="00E1385A">
            <w:pPr>
              <w:spacing w:line="240" w:lineRule="auto"/>
              <w:rPr>
                <w:color w:val="000000"/>
                <w:sz w:val="20"/>
                <w:szCs w:val="20"/>
                <w:lang w:val="mk-MK"/>
              </w:rPr>
            </w:pPr>
            <w:r w:rsidRPr="008662BF">
              <w:rPr>
                <w:color w:val="000000"/>
                <w:sz w:val="20"/>
                <w:szCs w:val="20"/>
                <w:lang w:val="mk-MK"/>
              </w:rPr>
              <w:t xml:space="preserve">Agilent 7890A гасен хроматограф поврзан со Agilent 5975C четворополен масен детектор (Agilent Technologies, USA) и Shimadzu AOC 5000 Plus Headspace автосемплер (Shimadzu Corporation, Јапонија) </w:t>
            </w:r>
          </w:p>
        </w:tc>
        <w:tc>
          <w:tcPr>
            <w:tcW w:w="1275" w:type="dxa"/>
            <w:tcBorders>
              <w:top w:val="nil"/>
              <w:left w:val="nil"/>
              <w:bottom w:val="single" w:sz="4" w:space="0" w:color="auto"/>
              <w:right w:val="single" w:sz="4" w:space="0" w:color="auto"/>
            </w:tcBorders>
            <w:shd w:val="clear" w:color="auto" w:fill="auto"/>
            <w:noWrap/>
          </w:tcPr>
          <w:p w14:paraId="6F76B89D"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105.000</w:t>
            </w:r>
          </w:p>
        </w:tc>
        <w:tc>
          <w:tcPr>
            <w:tcW w:w="1134" w:type="dxa"/>
            <w:tcBorders>
              <w:top w:val="nil"/>
              <w:left w:val="nil"/>
              <w:bottom w:val="single" w:sz="4" w:space="0" w:color="auto"/>
              <w:right w:val="single" w:sz="4" w:space="0" w:color="auto"/>
            </w:tcBorders>
            <w:shd w:val="clear" w:color="auto" w:fill="auto"/>
            <w:noWrap/>
          </w:tcPr>
          <w:p w14:paraId="3895563F"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2006</w:t>
            </w:r>
          </w:p>
        </w:tc>
        <w:tc>
          <w:tcPr>
            <w:tcW w:w="2839" w:type="dxa"/>
            <w:tcBorders>
              <w:top w:val="nil"/>
              <w:left w:val="nil"/>
              <w:bottom w:val="single" w:sz="4" w:space="0" w:color="auto"/>
              <w:right w:val="single" w:sz="4" w:space="0" w:color="auto"/>
            </w:tcBorders>
            <w:shd w:val="clear" w:color="auto" w:fill="auto"/>
          </w:tcPr>
          <w:p w14:paraId="541A886D" w14:textId="77777777" w:rsidR="007947BF" w:rsidRPr="008662BF" w:rsidRDefault="00A2244D" w:rsidP="00E1385A">
            <w:pPr>
              <w:spacing w:line="240" w:lineRule="auto"/>
              <w:jc w:val="center"/>
              <w:rPr>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18F099C3"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tcPr>
          <w:p w14:paraId="61479159" w14:textId="77777777" w:rsidR="007947BF" w:rsidRPr="008662BF" w:rsidRDefault="007947BF" w:rsidP="00E1385A">
            <w:pPr>
              <w:spacing w:line="240" w:lineRule="auto"/>
              <w:jc w:val="center"/>
              <w:rPr>
                <w:color w:val="000000"/>
                <w:sz w:val="20"/>
                <w:szCs w:val="20"/>
                <w:lang w:val="mk-MK"/>
              </w:rPr>
            </w:pPr>
            <w:r w:rsidRPr="008662BF">
              <w:rPr>
                <w:color w:val="000000"/>
                <w:sz w:val="20"/>
                <w:szCs w:val="20"/>
                <w:lang w:val="mk-MK"/>
              </w:rPr>
              <w:t> </w:t>
            </w:r>
          </w:p>
        </w:tc>
      </w:tr>
      <w:tr w:rsidR="005C06A9" w:rsidRPr="008662BF" w14:paraId="1A07EF94" w14:textId="77777777" w:rsidTr="00520621">
        <w:tc>
          <w:tcPr>
            <w:tcW w:w="2223" w:type="dxa"/>
            <w:vMerge/>
            <w:tcBorders>
              <w:left w:val="single" w:sz="4" w:space="0" w:color="auto"/>
              <w:bottom w:val="single" w:sz="4" w:space="0" w:color="auto"/>
              <w:right w:val="single" w:sz="4" w:space="0" w:color="auto"/>
            </w:tcBorders>
            <w:vAlign w:val="center"/>
          </w:tcPr>
          <w:p w14:paraId="40BD6713"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tcPr>
          <w:p w14:paraId="3D28159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50</w:t>
            </w:r>
          </w:p>
        </w:tc>
        <w:tc>
          <w:tcPr>
            <w:tcW w:w="4536" w:type="dxa"/>
            <w:tcBorders>
              <w:top w:val="nil"/>
              <w:left w:val="nil"/>
              <w:bottom w:val="single" w:sz="4" w:space="0" w:color="auto"/>
              <w:right w:val="single" w:sz="4" w:space="0" w:color="auto"/>
            </w:tcBorders>
            <w:shd w:val="clear" w:color="auto" w:fill="auto"/>
            <w:noWrap/>
          </w:tcPr>
          <w:p w14:paraId="45D081CB" w14:textId="77777777" w:rsidR="007947BF" w:rsidRPr="008662BF" w:rsidRDefault="001117DF" w:rsidP="00E1385A">
            <w:pPr>
              <w:spacing w:after="0" w:line="240" w:lineRule="auto"/>
              <w:rPr>
                <w:rFonts w:eastAsia="Times New Roman" w:cs="Times New Roman"/>
                <w:color w:val="000000"/>
                <w:sz w:val="20"/>
                <w:szCs w:val="20"/>
                <w:lang w:val="mk-MK"/>
              </w:rPr>
            </w:pPr>
            <w:r w:rsidRPr="008662BF">
              <w:rPr>
                <w:color w:val="000000"/>
                <w:sz w:val="20"/>
                <w:szCs w:val="20"/>
                <w:lang w:val="mk-MK"/>
              </w:rPr>
              <w:t>Agilent 1200 Series HPLC систем опремен со кватернарна пумпа G1311A, автосемплер G1329A, дегасер G1322A, столбен термостат G1316A и детектор UV-Vis со серија диоди G1315D (Agilent Technologies, САД)</w:t>
            </w:r>
          </w:p>
        </w:tc>
        <w:tc>
          <w:tcPr>
            <w:tcW w:w="1275" w:type="dxa"/>
            <w:tcBorders>
              <w:top w:val="nil"/>
              <w:left w:val="nil"/>
              <w:bottom w:val="single" w:sz="4" w:space="0" w:color="auto"/>
              <w:right w:val="single" w:sz="4" w:space="0" w:color="auto"/>
            </w:tcBorders>
            <w:shd w:val="clear" w:color="auto" w:fill="auto"/>
            <w:noWrap/>
          </w:tcPr>
          <w:p w14:paraId="6B1016F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80.491</w:t>
            </w:r>
          </w:p>
        </w:tc>
        <w:tc>
          <w:tcPr>
            <w:tcW w:w="1134" w:type="dxa"/>
            <w:tcBorders>
              <w:top w:val="nil"/>
              <w:left w:val="nil"/>
              <w:bottom w:val="single" w:sz="4" w:space="0" w:color="auto"/>
              <w:right w:val="single" w:sz="4" w:space="0" w:color="auto"/>
            </w:tcBorders>
            <w:shd w:val="clear" w:color="auto" w:fill="auto"/>
            <w:noWrap/>
          </w:tcPr>
          <w:p w14:paraId="634E1A3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2007</w:t>
            </w:r>
          </w:p>
        </w:tc>
        <w:tc>
          <w:tcPr>
            <w:tcW w:w="2839" w:type="dxa"/>
            <w:tcBorders>
              <w:top w:val="nil"/>
              <w:left w:val="nil"/>
              <w:bottom w:val="single" w:sz="4" w:space="0" w:color="auto"/>
              <w:right w:val="single" w:sz="4" w:space="0" w:color="auto"/>
            </w:tcBorders>
            <w:shd w:val="clear" w:color="auto" w:fill="auto"/>
          </w:tcPr>
          <w:p w14:paraId="465055AB"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noWrap/>
            <w:vAlign w:val="center"/>
          </w:tcPr>
          <w:p w14:paraId="12F368F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tcPr>
          <w:p w14:paraId="1F0EE8D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color w:val="000000"/>
                <w:sz w:val="20"/>
                <w:szCs w:val="20"/>
                <w:lang w:val="mk-MK"/>
              </w:rPr>
              <w:t> </w:t>
            </w:r>
          </w:p>
        </w:tc>
      </w:tr>
      <w:tr w:rsidR="005C06A9" w:rsidRPr="008662BF" w14:paraId="32E95170"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3D7EC853" w14:textId="77777777" w:rsidR="007947BF"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Факултет за дизајн и технологии на мебел и ентериер, Лабораторија за тестирање на мебел </w:t>
            </w:r>
          </w:p>
        </w:tc>
        <w:tc>
          <w:tcPr>
            <w:tcW w:w="388" w:type="dxa"/>
            <w:tcBorders>
              <w:top w:val="nil"/>
              <w:left w:val="nil"/>
              <w:bottom w:val="single" w:sz="4" w:space="0" w:color="auto"/>
              <w:right w:val="single" w:sz="4" w:space="0" w:color="auto"/>
            </w:tcBorders>
            <w:shd w:val="clear" w:color="auto" w:fill="auto"/>
            <w:hideMark/>
          </w:tcPr>
          <w:p w14:paraId="43D7DD8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51</w:t>
            </w:r>
          </w:p>
        </w:tc>
        <w:tc>
          <w:tcPr>
            <w:tcW w:w="4536" w:type="dxa"/>
            <w:tcBorders>
              <w:top w:val="nil"/>
              <w:left w:val="nil"/>
              <w:bottom w:val="single" w:sz="4" w:space="0" w:color="auto"/>
              <w:right w:val="single" w:sz="4" w:space="0" w:color="auto"/>
            </w:tcBorders>
            <w:shd w:val="clear" w:color="auto" w:fill="auto"/>
            <w:hideMark/>
          </w:tcPr>
          <w:p w14:paraId="4B5AB240"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KS 3040/650 PC-xp K.Schulten GmbH&amp;Co. KG</w:t>
            </w:r>
          </w:p>
        </w:tc>
        <w:tc>
          <w:tcPr>
            <w:tcW w:w="1275" w:type="dxa"/>
            <w:tcBorders>
              <w:top w:val="nil"/>
              <w:left w:val="nil"/>
              <w:bottom w:val="single" w:sz="4" w:space="0" w:color="auto"/>
              <w:right w:val="single" w:sz="4" w:space="0" w:color="auto"/>
            </w:tcBorders>
            <w:shd w:val="clear" w:color="auto" w:fill="auto"/>
            <w:noWrap/>
            <w:hideMark/>
          </w:tcPr>
          <w:p w14:paraId="7175272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107.400</w:t>
            </w:r>
          </w:p>
        </w:tc>
        <w:tc>
          <w:tcPr>
            <w:tcW w:w="1134" w:type="dxa"/>
            <w:tcBorders>
              <w:top w:val="nil"/>
              <w:left w:val="nil"/>
              <w:bottom w:val="single" w:sz="4" w:space="0" w:color="auto"/>
              <w:right w:val="single" w:sz="4" w:space="0" w:color="auto"/>
            </w:tcBorders>
            <w:shd w:val="clear" w:color="auto" w:fill="auto"/>
            <w:noWrap/>
            <w:hideMark/>
          </w:tcPr>
          <w:p w14:paraId="366BDE3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2009</w:t>
            </w:r>
          </w:p>
        </w:tc>
        <w:tc>
          <w:tcPr>
            <w:tcW w:w="2839" w:type="dxa"/>
            <w:tcBorders>
              <w:top w:val="nil"/>
              <w:left w:val="nil"/>
              <w:bottom w:val="single" w:sz="4" w:space="0" w:color="auto"/>
              <w:right w:val="single" w:sz="4" w:space="0" w:color="auto"/>
            </w:tcBorders>
            <w:shd w:val="clear" w:color="auto" w:fill="auto"/>
            <w:hideMark/>
          </w:tcPr>
          <w:p w14:paraId="6338656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(2014) </w:t>
            </w:r>
            <w:r w:rsidR="00817179" w:rsidRPr="008662BF">
              <w:rPr>
                <w:rFonts w:eastAsia="Times New Roman" w:cs="Times New Roman"/>
                <w:color w:val="000000"/>
                <w:sz w:val="20"/>
                <w:szCs w:val="20"/>
                <w:lang w:val="mk-MK"/>
              </w:rPr>
              <w:t xml:space="preserve">Факултет за шумарски науки </w:t>
            </w:r>
            <w:r w:rsidRPr="008662BF">
              <w:rPr>
                <w:rFonts w:eastAsia="Times New Roman" w:cs="Times New Roman"/>
                <w:color w:val="000000"/>
                <w:sz w:val="20"/>
                <w:szCs w:val="20"/>
                <w:lang w:val="mk-MK"/>
              </w:rPr>
              <w:t>03-325/1 19.08.2014</w:t>
            </w:r>
          </w:p>
        </w:tc>
        <w:tc>
          <w:tcPr>
            <w:tcW w:w="1223" w:type="dxa"/>
            <w:tcBorders>
              <w:top w:val="nil"/>
              <w:left w:val="nil"/>
              <w:bottom w:val="single" w:sz="4" w:space="0" w:color="auto"/>
              <w:right w:val="single" w:sz="4" w:space="0" w:color="auto"/>
            </w:tcBorders>
            <w:shd w:val="clear" w:color="auto" w:fill="auto"/>
            <w:noWrap/>
            <w:vAlign w:val="center"/>
            <w:hideMark/>
          </w:tcPr>
          <w:p w14:paraId="05970B9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20 </w:t>
            </w:r>
          </w:p>
        </w:tc>
        <w:tc>
          <w:tcPr>
            <w:tcW w:w="1102" w:type="dxa"/>
            <w:tcBorders>
              <w:top w:val="nil"/>
              <w:left w:val="nil"/>
              <w:bottom w:val="single" w:sz="4" w:space="0" w:color="auto"/>
              <w:right w:val="single" w:sz="4" w:space="0" w:color="auto"/>
            </w:tcBorders>
            <w:shd w:val="clear" w:color="auto" w:fill="auto"/>
            <w:noWrap/>
            <w:vAlign w:val="center"/>
            <w:hideMark/>
          </w:tcPr>
          <w:p w14:paraId="0EA389C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r>
      <w:tr w:rsidR="005C06A9" w:rsidRPr="008662BF" w14:paraId="2D0DE52E"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3BE60DBB"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03A982D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52</w:t>
            </w:r>
          </w:p>
        </w:tc>
        <w:tc>
          <w:tcPr>
            <w:tcW w:w="4536" w:type="dxa"/>
            <w:tcBorders>
              <w:top w:val="nil"/>
              <w:left w:val="nil"/>
              <w:bottom w:val="single" w:sz="4" w:space="0" w:color="auto"/>
              <w:right w:val="single" w:sz="4" w:space="0" w:color="auto"/>
            </w:tcBorders>
            <w:shd w:val="clear" w:color="auto" w:fill="auto"/>
            <w:hideMark/>
          </w:tcPr>
          <w:p w14:paraId="190C7B7F" w14:textId="77777777" w:rsidR="007947BF" w:rsidRPr="008662BF" w:rsidRDefault="0054039A" w:rsidP="0054039A">
            <w:pPr>
              <w:spacing w:after="0" w:line="240" w:lineRule="auto"/>
              <w:rPr>
                <w:rFonts w:eastAsia="Times New Roman" w:cs="Times New Roman"/>
                <w:color w:val="000000"/>
                <w:sz w:val="20"/>
                <w:szCs w:val="20"/>
                <w:lang w:val="mk-MK"/>
              </w:rPr>
            </w:pPr>
            <w:r w:rsidRPr="0054039A">
              <w:rPr>
                <w:rFonts w:eastAsia="Times New Roman" w:cs="Times New Roman"/>
                <w:color w:val="000000"/>
                <w:sz w:val="20"/>
                <w:szCs w:val="20"/>
                <w:lang w:val="mk-MK"/>
              </w:rPr>
              <w:t>WEINMANN (систем за испитување на наслон, испитување од страна до страна</w:t>
            </w:r>
            <w:r>
              <w:rPr>
                <w:rFonts w:eastAsia="Times New Roman" w:cs="Times New Roman"/>
                <w:color w:val="000000"/>
                <w:sz w:val="20"/>
                <w:szCs w:val="20"/>
                <w:lang w:val="mk-MK"/>
              </w:rPr>
              <w:t xml:space="preserve"> на мебел, испитување на душек </w:t>
            </w:r>
            <w:r>
              <w:rPr>
                <w:rFonts w:eastAsia="Times New Roman" w:cs="Times New Roman"/>
                <w:color w:val="000000"/>
                <w:sz w:val="20"/>
                <w:szCs w:val="20"/>
              </w:rPr>
              <w:t>P</w:t>
            </w:r>
            <w:r w:rsidRPr="0054039A">
              <w:rPr>
                <w:rFonts w:eastAsia="Times New Roman" w:cs="Times New Roman"/>
                <w:color w:val="000000"/>
                <w:sz w:val="20"/>
                <w:szCs w:val="20"/>
                <w:lang w:val="mk-MK"/>
              </w:rPr>
              <w:t>ruftechnik, испитување со удар)</w:t>
            </w:r>
          </w:p>
        </w:tc>
        <w:tc>
          <w:tcPr>
            <w:tcW w:w="1275" w:type="dxa"/>
            <w:tcBorders>
              <w:top w:val="nil"/>
              <w:left w:val="nil"/>
              <w:bottom w:val="single" w:sz="4" w:space="0" w:color="auto"/>
              <w:right w:val="single" w:sz="4" w:space="0" w:color="auto"/>
            </w:tcBorders>
            <w:shd w:val="clear" w:color="auto" w:fill="auto"/>
            <w:noWrap/>
            <w:hideMark/>
          </w:tcPr>
          <w:p w14:paraId="0EEA7C6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285.551</w:t>
            </w:r>
          </w:p>
        </w:tc>
        <w:tc>
          <w:tcPr>
            <w:tcW w:w="1134" w:type="dxa"/>
            <w:tcBorders>
              <w:top w:val="nil"/>
              <w:left w:val="nil"/>
              <w:bottom w:val="single" w:sz="4" w:space="0" w:color="auto"/>
              <w:right w:val="single" w:sz="4" w:space="0" w:color="auto"/>
            </w:tcBorders>
            <w:shd w:val="clear" w:color="auto" w:fill="auto"/>
            <w:noWrap/>
            <w:hideMark/>
          </w:tcPr>
          <w:p w14:paraId="54B21C0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2009</w:t>
            </w:r>
          </w:p>
        </w:tc>
        <w:tc>
          <w:tcPr>
            <w:tcW w:w="2839" w:type="dxa"/>
            <w:tcBorders>
              <w:top w:val="nil"/>
              <w:left w:val="nil"/>
              <w:bottom w:val="single" w:sz="4" w:space="0" w:color="auto"/>
              <w:right w:val="single" w:sz="4" w:space="0" w:color="auto"/>
            </w:tcBorders>
            <w:shd w:val="clear" w:color="auto" w:fill="auto"/>
            <w:hideMark/>
          </w:tcPr>
          <w:p w14:paraId="4FEB333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(2014) </w:t>
            </w:r>
            <w:r w:rsidR="00817179" w:rsidRPr="008662BF">
              <w:rPr>
                <w:rFonts w:eastAsia="Times New Roman" w:cs="Times New Roman"/>
                <w:color w:val="000000"/>
                <w:sz w:val="20"/>
                <w:szCs w:val="20"/>
                <w:lang w:val="mk-MK"/>
              </w:rPr>
              <w:t xml:space="preserve">Факултет за шумарски науки </w:t>
            </w:r>
            <w:r w:rsidRPr="008662BF">
              <w:rPr>
                <w:rFonts w:eastAsia="Times New Roman" w:cs="Times New Roman"/>
                <w:color w:val="000000"/>
                <w:sz w:val="20"/>
                <w:szCs w:val="20"/>
                <w:lang w:val="mk-MK"/>
              </w:rPr>
              <w:t>03 325/1 19.08.2014</w:t>
            </w:r>
          </w:p>
        </w:tc>
        <w:tc>
          <w:tcPr>
            <w:tcW w:w="1223" w:type="dxa"/>
            <w:tcBorders>
              <w:top w:val="nil"/>
              <w:left w:val="nil"/>
              <w:bottom w:val="single" w:sz="4" w:space="0" w:color="auto"/>
              <w:right w:val="single" w:sz="4" w:space="0" w:color="auto"/>
            </w:tcBorders>
            <w:shd w:val="clear" w:color="auto" w:fill="auto"/>
            <w:noWrap/>
            <w:vAlign w:val="center"/>
            <w:hideMark/>
          </w:tcPr>
          <w:p w14:paraId="0D1938B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w:t>
            </w:r>
            <w:r w:rsidR="001E3F31" w:rsidRPr="008662BF">
              <w:rPr>
                <w:rFonts w:eastAsia="Times New Roman" w:cs="Times New Roman"/>
                <w:color w:val="000000"/>
                <w:sz w:val="20"/>
                <w:szCs w:val="20"/>
                <w:lang w:val="mk-MK"/>
              </w:rPr>
              <w:t xml:space="preserve">0 </w:t>
            </w:r>
          </w:p>
        </w:tc>
        <w:tc>
          <w:tcPr>
            <w:tcW w:w="1102" w:type="dxa"/>
            <w:tcBorders>
              <w:top w:val="nil"/>
              <w:left w:val="nil"/>
              <w:bottom w:val="single" w:sz="4" w:space="0" w:color="auto"/>
              <w:right w:val="single" w:sz="4" w:space="0" w:color="auto"/>
            </w:tcBorders>
            <w:shd w:val="clear" w:color="auto" w:fill="auto"/>
            <w:noWrap/>
            <w:vAlign w:val="center"/>
            <w:hideMark/>
          </w:tcPr>
          <w:p w14:paraId="1BA1E65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r>
      <w:tr w:rsidR="005C06A9" w:rsidRPr="008662BF" w14:paraId="61A62F5F" w14:textId="77777777" w:rsidTr="00520621">
        <w:tc>
          <w:tcPr>
            <w:tcW w:w="2223" w:type="dxa"/>
            <w:tcBorders>
              <w:top w:val="nil"/>
              <w:left w:val="single" w:sz="4" w:space="0" w:color="auto"/>
              <w:bottom w:val="single" w:sz="4" w:space="0" w:color="auto"/>
              <w:right w:val="single" w:sz="4" w:space="0" w:color="auto"/>
            </w:tcBorders>
            <w:shd w:val="clear" w:color="auto" w:fill="auto"/>
            <w:vAlign w:val="center"/>
            <w:hideMark/>
          </w:tcPr>
          <w:p w14:paraId="091DE63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br/>
            </w:r>
            <w:r w:rsidR="00520621" w:rsidRPr="008662BF">
              <w:rPr>
                <w:rFonts w:eastAsia="Times New Roman" w:cs="Times New Roman"/>
                <w:color w:val="000000"/>
                <w:sz w:val="20"/>
                <w:szCs w:val="20"/>
                <w:lang w:val="mk-MK"/>
              </w:rPr>
              <w:t>УКИМ, Институт за сточарство</w:t>
            </w:r>
          </w:p>
        </w:tc>
        <w:tc>
          <w:tcPr>
            <w:tcW w:w="388" w:type="dxa"/>
            <w:tcBorders>
              <w:top w:val="nil"/>
              <w:left w:val="nil"/>
              <w:bottom w:val="single" w:sz="4" w:space="0" w:color="auto"/>
              <w:right w:val="single" w:sz="4" w:space="0" w:color="auto"/>
            </w:tcBorders>
            <w:shd w:val="clear" w:color="auto" w:fill="auto"/>
            <w:hideMark/>
          </w:tcPr>
          <w:p w14:paraId="5B14760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53</w:t>
            </w:r>
          </w:p>
        </w:tc>
        <w:tc>
          <w:tcPr>
            <w:tcW w:w="4536" w:type="dxa"/>
            <w:tcBorders>
              <w:top w:val="nil"/>
              <w:left w:val="nil"/>
              <w:bottom w:val="single" w:sz="4" w:space="0" w:color="auto"/>
              <w:right w:val="single" w:sz="4" w:space="0" w:color="auto"/>
            </w:tcBorders>
            <w:shd w:val="clear" w:color="auto" w:fill="auto"/>
            <w:hideMark/>
          </w:tcPr>
          <w:p w14:paraId="3B020740"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Milkoscan FT 6000</w:t>
            </w:r>
            <w:r w:rsidRPr="008662BF">
              <w:rPr>
                <w:rFonts w:eastAsia="Times New Roman" w:cs="Times New Roman"/>
                <w:color w:val="000000"/>
                <w:sz w:val="20"/>
                <w:szCs w:val="20"/>
                <w:lang w:val="mk-MK"/>
              </w:rPr>
              <w:br/>
              <w:t xml:space="preserve">Foss electrick, Danmark, ID 0311-2000-02 </w:t>
            </w:r>
            <w:r w:rsidRPr="008662BF">
              <w:rPr>
                <w:rFonts w:eastAsia="Times New Roman" w:cs="Times New Roman"/>
                <w:color w:val="000000"/>
                <w:sz w:val="20"/>
                <w:szCs w:val="20"/>
                <w:lang w:val="mk-MK"/>
              </w:rPr>
              <w:br/>
            </w:r>
            <w:r w:rsidR="001117DF" w:rsidRPr="008662BF">
              <w:rPr>
                <w:rFonts w:eastAsia="Times New Roman" w:cs="Times New Roman"/>
                <w:color w:val="000000"/>
                <w:sz w:val="20"/>
                <w:szCs w:val="20"/>
                <w:lang w:val="mk-MK"/>
              </w:rPr>
              <w:t>и транспортер</w:t>
            </w:r>
            <w:r w:rsidRPr="008662BF">
              <w:rPr>
                <w:rFonts w:eastAsia="Times New Roman" w:cs="Times New Roman"/>
                <w:color w:val="000000"/>
                <w:sz w:val="20"/>
                <w:szCs w:val="20"/>
                <w:lang w:val="mk-MK"/>
              </w:rPr>
              <w:t>, 4000</w:t>
            </w:r>
            <w:r w:rsidRPr="008662BF">
              <w:rPr>
                <w:rFonts w:eastAsia="Times New Roman" w:cs="Times New Roman"/>
                <w:color w:val="000000"/>
                <w:sz w:val="20"/>
                <w:szCs w:val="20"/>
                <w:lang w:val="mk-MK"/>
              </w:rPr>
              <w:br/>
              <w:t>Foss electrick, Danmark, ID 1711-2000-03</w:t>
            </w:r>
          </w:p>
        </w:tc>
        <w:tc>
          <w:tcPr>
            <w:tcW w:w="1275" w:type="dxa"/>
            <w:tcBorders>
              <w:top w:val="nil"/>
              <w:left w:val="nil"/>
              <w:bottom w:val="single" w:sz="4" w:space="0" w:color="auto"/>
              <w:right w:val="single" w:sz="4" w:space="0" w:color="auto"/>
            </w:tcBorders>
            <w:shd w:val="clear" w:color="auto" w:fill="auto"/>
            <w:noWrap/>
            <w:hideMark/>
          </w:tcPr>
          <w:p w14:paraId="57DCE80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129.188</w:t>
            </w:r>
          </w:p>
        </w:tc>
        <w:tc>
          <w:tcPr>
            <w:tcW w:w="1134" w:type="dxa"/>
            <w:tcBorders>
              <w:top w:val="nil"/>
              <w:left w:val="nil"/>
              <w:bottom w:val="single" w:sz="4" w:space="0" w:color="auto"/>
              <w:right w:val="single" w:sz="4" w:space="0" w:color="auto"/>
            </w:tcBorders>
            <w:shd w:val="clear" w:color="auto" w:fill="auto"/>
            <w:noWrap/>
            <w:hideMark/>
          </w:tcPr>
          <w:p w14:paraId="50BD72B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2000</w:t>
            </w:r>
          </w:p>
        </w:tc>
        <w:tc>
          <w:tcPr>
            <w:tcW w:w="2839" w:type="dxa"/>
            <w:tcBorders>
              <w:top w:val="nil"/>
              <w:left w:val="nil"/>
              <w:bottom w:val="single" w:sz="4" w:space="0" w:color="auto"/>
              <w:right w:val="single" w:sz="4" w:space="0" w:color="auto"/>
            </w:tcBorders>
            <w:shd w:val="clear" w:color="auto" w:fill="auto"/>
            <w:hideMark/>
          </w:tcPr>
          <w:p w14:paraId="0EE59B3D"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земјоделство, шумарство и водостопанство</w:t>
            </w:r>
          </w:p>
        </w:tc>
        <w:tc>
          <w:tcPr>
            <w:tcW w:w="1223" w:type="dxa"/>
            <w:tcBorders>
              <w:top w:val="nil"/>
              <w:left w:val="nil"/>
              <w:bottom w:val="single" w:sz="4" w:space="0" w:color="auto"/>
              <w:right w:val="single" w:sz="4" w:space="0" w:color="auto"/>
            </w:tcBorders>
            <w:shd w:val="clear" w:color="auto" w:fill="auto"/>
            <w:noWrap/>
            <w:vAlign w:val="center"/>
            <w:hideMark/>
          </w:tcPr>
          <w:p w14:paraId="198129B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0B29E79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w:t>
            </w:r>
          </w:p>
        </w:tc>
      </w:tr>
      <w:tr w:rsidR="005C06A9" w:rsidRPr="008662BF" w14:paraId="616B9811" w14:textId="77777777" w:rsidTr="00520621">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3F742D19" w14:textId="77777777" w:rsidR="007947BF" w:rsidRPr="008662BF" w:rsidRDefault="0052062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УКИМ, Институт за земјотресно инженерство и инженерска сеизмологија </w:t>
            </w:r>
          </w:p>
        </w:tc>
        <w:tc>
          <w:tcPr>
            <w:tcW w:w="388" w:type="dxa"/>
            <w:tcBorders>
              <w:top w:val="nil"/>
              <w:left w:val="nil"/>
              <w:bottom w:val="single" w:sz="4" w:space="0" w:color="auto"/>
              <w:right w:val="single" w:sz="4" w:space="0" w:color="auto"/>
            </w:tcBorders>
            <w:shd w:val="clear" w:color="auto" w:fill="auto"/>
            <w:hideMark/>
          </w:tcPr>
          <w:p w14:paraId="66F2ECE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54</w:t>
            </w:r>
          </w:p>
        </w:tc>
        <w:tc>
          <w:tcPr>
            <w:tcW w:w="4536" w:type="dxa"/>
            <w:tcBorders>
              <w:top w:val="nil"/>
              <w:left w:val="nil"/>
              <w:bottom w:val="single" w:sz="4" w:space="0" w:color="auto"/>
              <w:right w:val="single" w:sz="4" w:space="0" w:color="auto"/>
            </w:tcBorders>
            <w:shd w:val="clear" w:color="auto" w:fill="auto"/>
            <w:noWrap/>
            <w:hideMark/>
          </w:tcPr>
          <w:p w14:paraId="10772513" w14:textId="77777777" w:rsidR="007947BF" w:rsidRPr="008662BF" w:rsidRDefault="001117D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Вибро платформа </w:t>
            </w:r>
          </w:p>
        </w:tc>
        <w:tc>
          <w:tcPr>
            <w:tcW w:w="1275" w:type="dxa"/>
            <w:tcBorders>
              <w:top w:val="nil"/>
              <w:left w:val="nil"/>
              <w:bottom w:val="single" w:sz="4" w:space="0" w:color="auto"/>
              <w:right w:val="single" w:sz="4" w:space="0" w:color="auto"/>
            </w:tcBorders>
            <w:shd w:val="clear" w:color="auto" w:fill="auto"/>
            <w:noWrap/>
            <w:hideMark/>
          </w:tcPr>
          <w:p w14:paraId="45D6047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1.800.000</w:t>
            </w:r>
          </w:p>
        </w:tc>
        <w:tc>
          <w:tcPr>
            <w:tcW w:w="1134" w:type="dxa"/>
            <w:tcBorders>
              <w:top w:val="nil"/>
              <w:left w:val="nil"/>
              <w:bottom w:val="single" w:sz="4" w:space="0" w:color="auto"/>
              <w:right w:val="single" w:sz="4" w:space="0" w:color="auto"/>
            </w:tcBorders>
            <w:shd w:val="clear" w:color="auto" w:fill="auto"/>
            <w:noWrap/>
            <w:hideMark/>
          </w:tcPr>
          <w:p w14:paraId="3E7757A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1980</w:t>
            </w:r>
          </w:p>
        </w:tc>
        <w:tc>
          <w:tcPr>
            <w:tcW w:w="2839" w:type="dxa"/>
            <w:tcBorders>
              <w:top w:val="nil"/>
              <w:left w:val="nil"/>
              <w:bottom w:val="single" w:sz="4" w:space="0" w:color="auto"/>
              <w:right w:val="single" w:sz="4" w:space="0" w:color="auto"/>
            </w:tcBorders>
            <w:shd w:val="clear" w:color="auto" w:fill="auto"/>
            <w:hideMark/>
          </w:tcPr>
          <w:p w14:paraId="036966A7" w14:textId="77777777" w:rsidR="007947BF" w:rsidRPr="008662BF" w:rsidRDefault="00A2244D" w:rsidP="00B424EB">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r w:rsidR="007947BF" w:rsidRPr="008662BF">
              <w:rPr>
                <w:rFonts w:eastAsia="Times New Roman" w:cs="Times New Roman"/>
                <w:color w:val="000000"/>
                <w:sz w:val="20"/>
                <w:szCs w:val="20"/>
                <w:lang w:val="mk-MK"/>
              </w:rPr>
              <w:t xml:space="preserve"> (</w:t>
            </w:r>
            <w:r w:rsidR="00B424EB">
              <w:rPr>
                <w:rFonts w:eastAsia="Times New Roman" w:cs="Times New Roman"/>
                <w:color w:val="000000"/>
                <w:sz w:val="20"/>
                <w:szCs w:val="20"/>
                <w:lang w:val="mk-MK"/>
              </w:rPr>
              <w:t>ИЗИИС</w:t>
            </w:r>
            <w:r w:rsidR="007947BF" w:rsidRPr="008662BF">
              <w:rPr>
                <w:rFonts w:eastAsia="Times New Roman" w:cs="Times New Roman"/>
                <w:color w:val="000000"/>
                <w:sz w:val="20"/>
                <w:szCs w:val="20"/>
                <w:lang w:val="mk-MK"/>
              </w:rPr>
              <w:t>)</w:t>
            </w:r>
          </w:p>
        </w:tc>
        <w:tc>
          <w:tcPr>
            <w:tcW w:w="1223" w:type="dxa"/>
            <w:tcBorders>
              <w:top w:val="nil"/>
              <w:left w:val="nil"/>
              <w:bottom w:val="single" w:sz="4" w:space="0" w:color="auto"/>
              <w:right w:val="single" w:sz="4" w:space="0" w:color="auto"/>
            </w:tcBorders>
            <w:shd w:val="clear" w:color="auto" w:fill="auto"/>
            <w:vAlign w:val="center"/>
            <w:hideMark/>
          </w:tcPr>
          <w:p w14:paraId="7D93B9C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40-</w:t>
            </w:r>
            <w:r w:rsidR="001E3F31" w:rsidRPr="008662BF">
              <w:rPr>
                <w:rFonts w:eastAsia="Times New Roman" w:cs="Times New Roman"/>
                <w:color w:val="000000"/>
                <w:sz w:val="20"/>
                <w:szCs w:val="20"/>
                <w:lang w:val="mk-MK"/>
              </w:rPr>
              <w:t>во тек</w:t>
            </w:r>
          </w:p>
        </w:tc>
        <w:tc>
          <w:tcPr>
            <w:tcW w:w="1102" w:type="dxa"/>
            <w:tcBorders>
              <w:top w:val="nil"/>
              <w:left w:val="nil"/>
              <w:bottom w:val="single" w:sz="4" w:space="0" w:color="auto"/>
              <w:right w:val="single" w:sz="4" w:space="0" w:color="auto"/>
            </w:tcBorders>
            <w:shd w:val="clear" w:color="auto" w:fill="auto"/>
            <w:noWrap/>
            <w:vAlign w:val="center"/>
            <w:hideMark/>
          </w:tcPr>
          <w:p w14:paraId="274A1DF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w:t>
            </w:r>
          </w:p>
        </w:tc>
      </w:tr>
      <w:tr w:rsidR="005C06A9" w:rsidRPr="008662BF" w14:paraId="42155FAB"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77B5A521"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0E8CE4D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55</w:t>
            </w:r>
          </w:p>
        </w:tc>
        <w:tc>
          <w:tcPr>
            <w:tcW w:w="4536" w:type="dxa"/>
            <w:tcBorders>
              <w:top w:val="nil"/>
              <w:left w:val="nil"/>
              <w:bottom w:val="single" w:sz="4" w:space="0" w:color="auto"/>
              <w:right w:val="single" w:sz="4" w:space="0" w:color="auto"/>
            </w:tcBorders>
            <w:shd w:val="clear" w:color="auto" w:fill="auto"/>
            <w:noWrap/>
            <w:hideMark/>
          </w:tcPr>
          <w:p w14:paraId="4E33DDB4" w14:textId="7B92B3FC"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MTS </w:t>
            </w:r>
            <w:r w:rsidR="001117DF" w:rsidRPr="008662BF">
              <w:rPr>
                <w:rFonts w:eastAsia="Times New Roman" w:cs="Times New Roman"/>
                <w:color w:val="000000"/>
                <w:sz w:val="20"/>
                <w:szCs w:val="20"/>
                <w:lang w:val="mk-MK"/>
              </w:rPr>
              <w:t>дигитален контролор за вибро</w:t>
            </w:r>
            <w:r w:rsidR="006572DC">
              <w:rPr>
                <w:rFonts w:eastAsia="Times New Roman" w:cs="Times New Roman"/>
                <w:color w:val="000000"/>
                <w:sz w:val="20"/>
                <w:szCs w:val="20"/>
                <w:lang w:val="mk-MK"/>
              </w:rPr>
              <w:t>-</w:t>
            </w:r>
            <w:r w:rsidR="001117DF" w:rsidRPr="008662BF">
              <w:rPr>
                <w:rFonts w:eastAsia="Times New Roman" w:cs="Times New Roman"/>
                <w:color w:val="000000"/>
                <w:sz w:val="20"/>
                <w:szCs w:val="20"/>
                <w:lang w:val="mk-MK"/>
              </w:rPr>
              <w:t xml:space="preserve">платформа </w:t>
            </w:r>
          </w:p>
        </w:tc>
        <w:tc>
          <w:tcPr>
            <w:tcW w:w="1275" w:type="dxa"/>
            <w:tcBorders>
              <w:top w:val="nil"/>
              <w:left w:val="nil"/>
              <w:bottom w:val="single" w:sz="4" w:space="0" w:color="auto"/>
              <w:right w:val="single" w:sz="4" w:space="0" w:color="auto"/>
            </w:tcBorders>
            <w:shd w:val="clear" w:color="auto" w:fill="auto"/>
            <w:noWrap/>
            <w:hideMark/>
          </w:tcPr>
          <w:p w14:paraId="36CD14D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430.000</w:t>
            </w:r>
          </w:p>
        </w:tc>
        <w:tc>
          <w:tcPr>
            <w:tcW w:w="1134" w:type="dxa"/>
            <w:tcBorders>
              <w:top w:val="nil"/>
              <w:left w:val="nil"/>
              <w:bottom w:val="single" w:sz="4" w:space="0" w:color="auto"/>
              <w:right w:val="single" w:sz="4" w:space="0" w:color="auto"/>
            </w:tcBorders>
            <w:shd w:val="clear" w:color="auto" w:fill="auto"/>
            <w:noWrap/>
            <w:hideMark/>
          </w:tcPr>
          <w:p w14:paraId="74A441E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5C815305"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Средства од меѓународни проекти</w:t>
            </w:r>
            <w:r w:rsidR="007947BF" w:rsidRPr="008662BF">
              <w:rPr>
                <w:rFonts w:eastAsia="Times New Roman" w:cs="Times New Roman"/>
                <w:color w:val="000000"/>
                <w:sz w:val="20"/>
                <w:szCs w:val="20"/>
                <w:lang w:val="mk-MK"/>
              </w:rPr>
              <w:t xml:space="preserve"> (</w:t>
            </w:r>
            <w:r w:rsidR="00817179" w:rsidRPr="008662BF">
              <w:rPr>
                <w:rFonts w:eastAsia="Times New Roman" w:cs="Times New Roman"/>
                <w:color w:val="000000"/>
                <w:sz w:val="20"/>
                <w:szCs w:val="20"/>
                <w:lang w:val="mk-MK"/>
              </w:rPr>
              <w:t xml:space="preserve">Проект </w:t>
            </w:r>
            <w:r w:rsidR="007947BF" w:rsidRPr="008662BF">
              <w:rPr>
                <w:rFonts w:eastAsia="Times New Roman" w:cs="Times New Roman"/>
                <w:color w:val="000000"/>
                <w:sz w:val="20"/>
                <w:szCs w:val="20"/>
                <w:lang w:val="mk-MK"/>
              </w:rPr>
              <w:t>SERIES)</w:t>
            </w:r>
          </w:p>
        </w:tc>
        <w:tc>
          <w:tcPr>
            <w:tcW w:w="1223" w:type="dxa"/>
            <w:tcBorders>
              <w:top w:val="nil"/>
              <w:left w:val="nil"/>
              <w:bottom w:val="single" w:sz="4" w:space="0" w:color="auto"/>
              <w:right w:val="single" w:sz="4" w:space="0" w:color="auto"/>
            </w:tcBorders>
            <w:shd w:val="clear" w:color="auto" w:fill="auto"/>
            <w:vAlign w:val="center"/>
            <w:hideMark/>
          </w:tcPr>
          <w:p w14:paraId="685ADCD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00D68E1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4B766C29"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49040B1F"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3B2B8E1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56</w:t>
            </w:r>
          </w:p>
        </w:tc>
        <w:tc>
          <w:tcPr>
            <w:tcW w:w="4536" w:type="dxa"/>
            <w:tcBorders>
              <w:top w:val="nil"/>
              <w:left w:val="nil"/>
              <w:bottom w:val="single" w:sz="4" w:space="0" w:color="auto"/>
              <w:right w:val="single" w:sz="4" w:space="0" w:color="auto"/>
            </w:tcBorders>
            <w:shd w:val="clear" w:color="auto" w:fill="auto"/>
            <w:hideMark/>
          </w:tcPr>
          <w:p w14:paraId="10F5C193"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Поставување на инструменти (акцелерометри, LVDT, LP, SG) </w:t>
            </w:r>
          </w:p>
        </w:tc>
        <w:tc>
          <w:tcPr>
            <w:tcW w:w="1275" w:type="dxa"/>
            <w:tcBorders>
              <w:top w:val="nil"/>
              <w:left w:val="nil"/>
              <w:bottom w:val="single" w:sz="4" w:space="0" w:color="auto"/>
              <w:right w:val="single" w:sz="4" w:space="0" w:color="auto"/>
            </w:tcBorders>
            <w:shd w:val="clear" w:color="auto" w:fill="auto"/>
            <w:noWrap/>
            <w:hideMark/>
          </w:tcPr>
          <w:p w14:paraId="3F0FDC0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90.000</w:t>
            </w:r>
          </w:p>
        </w:tc>
        <w:tc>
          <w:tcPr>
            <w:tcW w:w="1134" w:type="dxa"/>
            <w:tcBorders>
              <w:top w:val="nil"/>
              <w:left w:val="nil"/>
              <w:bottom w:val="single" w:sz="4" w:space="0" w:color="auto"/>
              <w:right w:val="single" w:sz="4" w:space="0" w:color="auto"/>
            </w:tcBorders>
            <w:shd w:val="clear" w:color="auto" w:fill="auto"/>
            <w:noWrap/>
            <w:hideMark/>
          </w:tcPr>
          <w:p w14:paraId="5E77BD4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hideMark/>
          </w:tcPr>
          <w:p w14:paraId="32A5E98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80% </w:t>
            </w:r>
            <w:r w:rsidR="00817179" w:rsidRPr="008662BF">
              <w:rPr>
                <w:rFonts w:eastAsia="Times New Roman" w:cs="Times New Roman"/>
                <w:color w:val="000000"/>
                <w:sz w:val="20"/>
                <w:szCs w:val="20"/>
                <w:lang w:val="mk-MK"/>
              </w:rPr>
              <w:t xml:space="preserve">Средства од странство/ донација </w:t>
            </w:r>
            <w:r w:rsidRPr="008662BF">
              <w:rPr>
                <w:rFonts w:eastAsia="Times New Roman" w:cs="Times New Roman"/>
                <w:color w:val="000000"/>
                <w:sz w:val="20"/>
                <w:szCs w:val="20"/>
                <w:lang w:val="mk-MK"/>
              </w:rPr>
              <w:t>(DAAD)</w:t>
            </w:r>
          </w:p>
        </w:tc>
        <w:tc>
          <w:tcPr>
            <w:tcW w:w="1223" w:type="dxa"/>
            <w:tcBorders>
              <w:top w:val="nil"/>
              <w:left w:val="nil"/>
              <w:bottom w:val="single" w:sz="4" w:space="0" w:color="auto"/>
              <w:right w:val="single" w:sz="4" w:space="0" w:color="auto"/>
            </w:tcBorders>
            <w:shd w:val="clear" w:color="auto" w:fill="auto"/>
            <w:vAlign w:val="center"/>
            <w:hideMark/>
          </w:tcPr>
          <w:p w14:paraId="21FC762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6D4D59A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6188C4BD"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192035CA"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03BC588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57</w:t>
            </w:r>
          </w:p>
        </w:tc>
        <w:tc>
          <w:tcPr>
            <w:tcW w:w="4536" w:type="dxa"/>
            <w:tcBorders>
              <w:top w:val="nil"/>
              <w:left w:val="nil"/>
              <w:bottom w:val="single" w:sz="4" w:space="0" w:color="auto"/>
              <w:right w:val="single" w:sz="4" w:space="0" w:color="auto"/>
            </w:tcBorders>
            <w:shd w:val="clear" w:color="auto" w:fill="auto"/>
            <w:noWrap/>
            <w:hideMark/>
          </w:tcPr>
          <w:p w14:paraId="6B9C29B2"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NI-PXI </w:t>
            </w:r>
            <w:r w:rsidR="00641B64" w:rsidRPr="008662BF">
              <w:rPr>
                <w:rFonts w:eastAsia="Times New Roman" w:cs="Times New Roman"/>
                <w:color w:val="000000"/>
                <w:sz w:val="20"/>
                <w:szCs w:val="20"/>
                <w:lang w:val="mk-MK"/>
              </w:rPr>
              <w:t xml:space="preserve">систем за собирање податоци </w:t>
            </w:r>
          </w:p>
        </w:tc>
        <w:tc>
          <w:tcPr>
            <w:tcW w:w="1275" w:type="dxa"/>
            <w:tcBorders>
              <w:top w:val="nil"/>
              <w:left w:val="nil"/>
              <w:bottom w:val="single" w:sz="4" w:space="0" w:color="auto"/>
              <w:right w:val="single" w:sz="4" w:space="0" w:color="auto"/>
            </w:tcBorders>
            <w:shd w:val="clear" w:color="auto" w:fill="auto"/>
            <w:noWrap/>
            <w:hideMark/>
          </w:tcPr>
          <w:p w14:paraId="60F893E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noWrap/>
            <w:hideMark/>
          </w:tcPr>
          <w:p w14:paraId="3B4E5FF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2006</w:t>
            </w:r>
          </w:p>
        </w:tc>
        <w:tc>
          <w:tcPr>
            <w:tcW w:w="2839" w:type="dxa"/>
            <w:tcBorders>
              <w:top w:val="nil"/>
              <w:left w:val="nil"/>
              <w:bottom w:val="single" w:sz="4" w:space="0" w:color="auto"/>
              <w:right w:val="single" w:sz="4" w:space="0" w:color="auto"/>
            </w:tcBorders>
            <w:shd w:val="clear" w:color="auto" w:fill="auto"/>
            <w:hideMark/>
          </w:tcPr>
          <w:p w14:paraId="48C4E4F8" w14:textId="77777777" w:rsidR="007947BF" w:rsidRPr="008662BF" w:rsidRDefault="001E3F3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Меѓународни донации </w:t>
            </w:r>
            <w:r w:rsidR="007947BF" w:rsidRPr="008662BF">
              <w:rPr>
                <w:rFonts w:eastAsia="Times New Roman" w:cs="Times New Roman"/>
                <w:color w:val="000000"/>
                <w:sz w:val="20"/>
                <w:szCs w:val="20"/>
                <w:lang w:val="mk-MK"/>
              </w:rPr>
              <w:t>(DAAD)</w:t>
            </w:r>
          </w:p>
        </w:tc>
        <w:tc>
          <w:tcPr>
            <w:tcW w:w="1223" w:type="dxa"/>
            <w:tcBorders>
              <w:top w:val="nil"/>
              <w:left w:val="nil"/>
              <w:bottom w:val="single" w:sz="4" w:space="0" w:color="auto"/>
              <w:right w:val="single" w:sz="4" w:space="0" w:color="auto"/>
            </w:tcBorders>
            <w:shd w:val="clear" w:color="auto" w:fill="auto"/>
            <w:vAlign w:val="center"/>
            <w:hideMark/>
          </w:tcPr>
          <w:p w14:paraId="4490CE3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02430E5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57B4BA3E"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56F070E9"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1287AD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58</w:t>
            </w:r>
          </w:p>
        </w:tc>
        <w:tc>
          <w:tcPr>
            <w:tcW w:w="4536" w:type="dxa"/>
            <w:tcBorders>
              <w:top w:val="nil"/>
              <w:left w:val="nil"/>
              <w:bottom w:val="single" w:sz="4" w:space="0" w:color="auto"/>
              <w:right w:val="single" w:sz="4" w:space="0" w:color="auto"/>
            </w:tcBorders>
            <w:shd w:val="clear" w:color="auto" w:fill="auto"/>
            <w:noWrap/>
            <w:hideMark/>
          </w:tcPr>
          <w:p w14:paraId="68FDDFB9"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Други системи за собирање податоци </w:t>
            </w:r>
          </w:p>
        </w:tc>
        <w:tc>
          <w:tcPr>
            <w:tcW w:w="1275" w:type="dxa"/>
            <w:tcBorders>
              <w:top w:val="nil"/>
              <w:left w:val="nil"/>
              <w:bottom w:val="single" w:sz="4" w:space="0" w:color="auto"/>
              <w:right w:val="single" w:sz="4" w:space="0" w:color="auto"/>
            </w:tcBorders>
            <w:shd w:val="clear" w:color="auto" w:fill="auto"/>
            <w:noWrap/>
            <w:hideMark/>
          </w:tcPr>
          <w:p w14:paraId="6E7CB6F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70.000</w:t>
            </w:r>
          </w:p>
        </w:tc>
        <w:tc>
          <w:tcPr>
            <w:tcW w:w="1134" w:type="dxa"/>
            <w:tcBorders>
              <w:top w:val="nil"/>
              <w:left w:val="nil"/>
              <w:bottom w:val="single" w:sz="4" w:space="0" w:color="auto"/>
              <w:right w:val="single" w:sz="4" w:space="0" w:color="auto"/>
            </w:tcBorders>
            <w:shd w:val="clear" w:color="auto" w:fill="auto"/>
            <w:noWrap/>
            <w:hideMark/>
          </w:tcPr>
          <w:p w14:paraId="4183034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2012</w:t>
            </w:r>
          </w:p>
        </w:tc>
        <w:tc>
          <w:tcPr>
            <w:tcW w:w="2839" w:type="dxa"/>
            <w:tcBorders>
              <w:top w:val="nil"/>
              <w:left w:val="nil"/>
              <w:bottom w:val="single" w:sz="4" w:space="0" w:color="auto"/>
              <w:right w:val="single" w:sz="4" w:space="0" w:color="auto"/>
            </w:tcBorders>
            <w:shd w:val="clear" w:color="auto" w:fill="auto"/>
            <w:hideMark/>
          </w:tcPr>
          <w:p w14:paraId="5A20CE5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90% </w:t>
            </w:r>
            <w:r w:rsidR="00A2244D" w:rsidRPr="008662BF">
              <w:rPr>
                <w:rFonts w:eastAsia="Times New Roman" w:cs="Times New Roman"/>
                <w:color w:val="000000"/>
                <w:sz w:val="20"/>
                <w:szCs w:val="20"/>
                <w:lang w:val="mk-MK"/>
              </w:rPr>
              <w:t>Сопствени средства</w:t>
            </w:r>
            <w:r w:rsidRPr="008662BF">
              <w:rPr>
                <w:rFonts w:eastAsia="Times New Roman" w:cs="Times New Roman"/>
                <w:color w:val="000000"/>
                <w:sz w:val="20"/>
                <w:szCs w:val="20"/>
                <w:lang w:val="mk-MK"/>
              </w:rPr>
              <w:t xml:space="preserve"> 10% </w:t>
            </w:r>
            <w:r w:rsidR="001E3F31" w:rsidRPr="008662BF">
              <w:rPr>
                <w:rFonts w:eastAsia="Times New Roman" w:cs="Times New Roman"/>
                <w:color w:val="000000"/>
                <w:sz w:val="20"/>
                <w:szCs w:val="20"/>
                <w:lang w:val="mk-MK"/>
              </w:rPr>
              <w:t xml:space="preserve">од меѓународни проекти </w:t>
            </w:r>
            <w:r w:rsidRPr="008662BF">
              <w:rPr>
                <w:rFonts w:eastAsia="Times New Roman" w:cs="Times New Roman"/>
                <w:color w:val="000000"/>
                <w:sz w:val="20"/>
                <w:szCs w:val="20"/>
                <w:lang w:val="mk-MK"/>
              </w:rPr>
              <w:t>(NATO SPS)</w:t>
            </w:r>
          </w:p>
        </w:tc>
        <w:tc>
          <w:tcPr>
            <w:tcW w:w="1223" w:type="dxa"/>
            <w:tcBorders>
              <w:top w:val="nil"/>
              <w:left w:val="nil"/>
              <w:bottom w:val="single" w:sz="4" w:space="0" w:color="auto"/>
              <w:right w:val="single" w:sz="4" w:space="0" w:color="auto"/>
            </w:tcBorders>
            <w:shd w:val="clear" w:color="auto" w:fill="auto"/>
            <w:vAlign w:val="center"/>
            <w:hideMark/>
          </w:tcPr>
          <w:p w14:paraId="3799F2B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28015F6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5EA72A32"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4B59CA98"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4EBDFC8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59</w:t>
            </w:r>
          </w:p>
        </w:tc>
        <w:tc>
          <w:tcPr>
            <w:tcW w:w="4536" w:type="dxa"/>
            <w:tcBorders>
              <w:top w:val="nil"/>
              <w:left w:val="nil"/>
              <w:bottom w:val="single" w:sz="4" w:space="0" w:color="auto"/>
              <w:right w:val="single" w:sz="4" w:space="0" w:color="auto"/>
            </w:tcBorders>
            <w:shd w:val="clear" w:color="auto" w:fill="auto"/>
            <w:hideMark/>
          </w:tcPr>
          <w:p w14:paraId="698E135F"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Триаксијален апарат за статичко и динамичко тестирање </w:t>
            </w:r>
          </w:p>
        </w:tc>
        <w:tc>
          <w:tcPr>
            <w:tcW w:w="1275" w:type="dxa"/>
            <w:tcBorders>
              <w:top w:val="nil"/>
              <w:left w:val="nil"/>
              <w:bottom w:val="single" w:sz="4" w:space="0" w:color="auto"/>
              <w:right w:val="single" w:sz="4" w:space="0" w:color="auto"/>
            </w:tcBorders>
            <w:shd w:val="clear" w:color="auto" w:fill="auto"/>
            <w:noWrap/>
            <w:hideMark/>
          </w:tcPr>
          <w:p w14:paraId="0A8A0A2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60.000</w:t>
            </w:r>
          </w:p>
        </w:tc>
        <w:tc>
          <w:tcPr>
            <w:tcW w:w="1134" w:type="dxa"/>
            <w:tcBorders>
              <w:top w:val="nil"/>
              <w:left w:val="nil"/>
              <w:bottom w:val="single" w:sz="4" w:space="0" w:color="auto"/>
              <w:right w:val="single" w:sz="4" w:space="0" w:color="auto"/>
            </w:tcBorders>
            <w:shd w:val="clear" w:color="auto" w:fill="auto"/>
            <w:noWrap/>
            <w:hideMark/>
          </w:tcPr>
          <w:p w14:paraId="6CB4C14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6D66A5D7"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Средства од меѓународни проекти</w:t>
            </w:r>
            <w:r w:rsidR="007947BF" w:rsidRPr="008662BF">
              <w:rPr>
                <w:rFonts w:eastAsia="Times New Roman" w:cs="Times New Roman"/>
                <w:color w:val="000000"/>
                <w:sz w:val="20"/>
                <w:szCs w:val="20"/>
                <w:lang w:val="mk-MK"/>
              </w:rPr>
              <w:t xml:space="preserve"> (UREDITEME)</w:t>
            </w:r>
          </w:p>
        </w:tc>
        <w:tc>
          <w:tcPr>
            <w:tcW w:w="1223" w:type="dxa"/>
            <w:tcBorders>
              <w:top w:val="nil"/>
              <w:left w:val="nil"/>
              <w:bottom w:val="single" w:sz="4" w:space="0" w:color="auto"/>
              <w:right w:val="single" w:sz="4" w:space="0" w:color="auto"/>
            </w:tcBorders>
            <w:shd w:val="clear" w:color="auto" w:fill="auto"/>
            <w:vAlign w:val="center"/>
            <w:hideMark/>
          </w:tcPr>
          <w:p w14:paraId="15F5110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noWrap/>
            <w:vAlign w:val="center"/>
            <w:hideMark/>
          </w:tcPr>
          <w:p w14:paraId="759B375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60</w:t>
            </w:r>
          </w:p>
        </w:tc>
      </w:tr>
      <w:tr w:rsidR="005C06A9" w:rsidRPr="008662BF" w14:paraId="112142DB" w14:textId="77777777" w:rsidTr="00520621">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4E0AAA7D" w14:textId="77777777" w:rsidR="007947BF" w:rsidRPr="008662BF" w:rsidRDefault="006C2AE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Универзитет </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Свети Климент Охридски</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 ЈНУ Хидробиолошки завод Охрид</w:t>
            </w:r>
          </w:p>
        </w:tc>
        <w:tc>
          <w:tcPr>
            <w:tcW w:w="388" w:type="dxa"/>
            <w:tcBorders>
              <w:top w:val="nil"/>
              <w:left w:val="nil"/>
              <w:bottom w:val="single" w:sz="4" w:space="0" w:color="auto"/>
              <w:right w:val="single" w:sz="4" w:space="0" w:color="auto"/>
            </w:tcBorders>
            <w:shd w:val="clear" w:color="auto" w:fill="auto"/>
            <w:hideMark/>
          </w:tcPr>
          <w:p w14:paraId="0A3B4D9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60</w:t>
            </w:r>
          </w:p>
        </w:tc>
        <w:tc>
          <w:tcPr>
            <w:tcW w:w="4536" w:type="dxa"/>
            <w:tcBorders>
              <w:top w:val="nil"/>
              <w:left w:val="nil"/>
              <w:bottom w:val="single" w:sz="4" w:space="0" w:color="auto"/>
              <w:right w:val="single" w:sz="4" w:space="0" w:color="auto"/>
            </w:tcBorders>
            <w:shd w:val="clear" w:color="auto" w:fill="auto"/>
            <w:hideMark/>
          </w:tcPr>
          <w:p w14:paraId="201C349B"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Брод Lehmar </w:t>
            </w:r>
          </w:p>
        </w:tc>
        <w:tc>
          <w:tcPr>
            <w:tcW w:w="1275" w:type="dxa"/>
            <w:tcBorders>
              <w:top w:val="nil"/>
              <w:left w:val="nil"/>
              <w:bottom w:val="single" w:sz="4" w:space="0" w:color="auto"/>
              <w:right w:val="single" w:sz="4" w:space="0" w:color="auto"/>
            </w:tcBorders>
            <w:shd w:val="clear" w:color="auto" w:fill="auto"/>
            <w:hideMark/>
          </w:tcPr>
          <w:p w14:paraId="751AF23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458.185</w:t>
            </w:r>
          </w:p>
        </w:tc>
        <w:tc>
          <w:tcPr>
            <w:tcW w:w="1134" w:type="dxa"/>
            <w:tcBorders>
              <w:top w:val="nil"/>
              <w:left w:val="nil"/>
              <w:bottom w:val="single" w:sz="4" w:space="0" w:color="auto"/>
              <w:right w:val="single" w:sz="4" w:space="0" w:color="auto"/>
            </w:tcBorders>
            <w:shd w:val="clear" w:color="auto" w:fill="auto"/>
            <w:hideMark/>
          </w:tcPr>
          <w:p w14:paraId="25CB85B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1999</w:t>
            </w:r>
          </w:p>
        </w:tc>
        <w:tc>
          <w:tcPr>
            <w:tcW w:w="2839" w:type="dxa"/>
            <w:tcBorders>
              <w:top w:val="nil"/>
              <w:left w:val="nil"/>
              <w:bottom w:val="single" w:sz="4" w:space="0" w:color="auto"/>
              <w:right w:val="single" w:sz="4" w:space="0" w:color="auto"/>
            </w:tcBorders>
            <w:shd w:val="clear" w:color="auto" w:fill="auto"/>
            <w:hideMark/>
          </w:tcPr>
          <w:p w14:paraId="0BD4C36D" w14:textId="77777777" w:rsidR="007947BF" w:rsidRPr="008662BF" w:rsidRDefault="0081717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Донација</w:t>
            </w:r>
            <w:r w:rsidR="001E3F31" w:rsidRPr="008662BF">
              <w:rPr>
                <w:rFonts w:eastAsia="Times New Roman" w:cs="Times New Roman"/>
                <w:color w:val="000000"/>
                <w:sz w:val="20"/>
                <w:szCs w:val="20"/>
                <w:lang w:val="mk-MK"/>
              </w:rPr>
              <w:t xml:space="preserve">од Светска банка </w:t>
            </w:r>
          </w:p>
        </w:tc>
        <w:tc>
          <w:tcPr>
            <w:tcW w:w="1223" w:type="dxa"/>
            <w:tcBorders>
              <w:top w:val="nil"/>
              <w:left w:val="nil"/>
              <w:bottom w:val="single" w:sz="4" w:space="0" w:color="auto"/>
              <w:right w:val="single" w:sz="4" w:space="0" w:color="auto"/>
            </w:tcBorders>
            <w:shd w:val="clear" w:color="auto" w:fill="auto"/>
            <w:vAlign w:val="center"/>
            <w:hideMark/>
          </w:tcPr>
          <w:p w14:paraId="7C59E43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vAlign w:val="center"/>
            <w:hideMark/>
          </w:tcPr>
          <w:p w14:paraId="1F94237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w:t>
            </w:r>
          </w:p>
        </w:tc>
      </w:tr>
      <w:tr w:rsidR="005C06A9" w:rsidRPr="008662BF" w14:paraId="0D90F9D7"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440E8EFE"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D90926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61</w:t>
            </w:r>
          </w:p>
        </w:tc>
        <w:tc>
          <w:tcPr>
            <w:tcW w:w="4536" w:type="dxa"/>
            <w:tcBorders>
              <w:top w:val="nil"/>
              <w:left w:val="nil"/>
              <w:bottom w:val="single" w:sz="4" w:space="0" w:color="auto"/>
              <w:right w:val="single" w:sz="4" w:space="0" w:color="auto"/>
            </w:tcBorders>
            <w:shd w:val="clear" w:color="auto" w:fill="auto"/>
            <w:hideMark/>
          </w:tcPr>
          <w:p w14:paraId="2E4D0AA7"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BOB 2 </w:t>
            </w:r>
            <w:r w:rsidR="001117DF" w:rsidRPr="008662BF">
              <w:rPr>
                <w:rFonts w:eastAsia="Times New Roman" w:cs="Times New Roman"/>
                <w:color w:val="000000"/>
                <w:sz w:val="20"/>
                <w:szCs w:val="20"/>
                <w:lang w:val="mk-MK"/>
              </w:rPr>
              <w:t xml:space="preserve">со целосна опрема </w:t>
            </w:r>
          </w:p>
        </w:tc>
        <w:tc>
          <w:tcPr>
            <w:tcW w:w="1275" w:type="dxa"/>
            <w:tcBorders>
              <w:top w:val="nil"/>
              <w:left w:val="nil"/>
              <w:bottom w:val="single" w:sz="4" w:space="0" w:color="auto"/>
              <w:right w:val="single" w:sz="4" w:space="0" w:color="auto"/>
            </w:tcBorders>
            <w:shd w:val="clear" w:color="auto" w:fill="auto"/>
            <w:hideMark/>
          </w:tcPr>
          <w:p w14:paraId="5C9E7A1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81.712</w:t>
            </w:r>
          </w:p>
        </w:tc>
        <w:tc>
          <w:tcPr>
            <w:tcW w:w="1134" w:type="dxa"/>
            <w:tcBorders>
              <w:top w:val="nil"/>
              <w:left w:val="nil"/>
              <w:bottom w:val="single" w:sz="4" w:space="0" w:color="auto"/>
              <w:right w:val="single" w:sz="4" w:space="0" w:color="auto"/>
            </w:tcBorders>
            <w:shd w:val="clear" w:color="auto" w:fill="auto"/>
            <w:hideMark/>
          </w:tcPr>
          <w:p w14:paraId="46BF956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2013</w:t>
            </w:r>
          </w:p>
        </w:tc>
        <w:tc>
          <w:tcPr>
            <w:tcW w:w="2839" w:type="dxa"/>
            <w:tcBorders>
              <w:top w:val="nil"/>
              <w:left w:val="nil"/>
              <w:bottom w:val="single" w:sz="4" w:space="0" w:color="auto"/>
              <w:right w:val="single" w:sz="4" w:space="0" w:color="auto"/>
            </w:tcBorders>
            <w:shd w:val="clear" w:color="auto" w:fill="auto"/>
            <w:hideMark/>
          </w:tcPr>
          <w:p w14:paraId="3ED2AB31" w14:textId="77777777" w:rsidR="007947BF" w:rsidRPr="008662BF" w:rsidRDefault="001E3F31"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ИПА проект</w:t>
            </w:r>
          </w:p>
        </w:tc>
        <w:tc>
          <w:tcPr>
            <w:tcW w:w="1223" w:type="dxa"/>
            <w:tcBorders>
              <w:top w:val="nil"/>
              <w:left w:val="nil"/>
              <w:bottom w:val="single" w:sz="4" w:space="0" w:color="auto"/>
              <w:right w:val="single" w:sz="4" w:space="0" w:color="auto"/>
            </w:tcBorders>
            <w:shd w:val="clear" w:color="auto" w:fill="auto"/>
            <w:vAlign w:val="center"/>
            <w:hideMark/>
          </w:tcPr>
          <w:p w14:paraId="32FE416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5F20EF8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w:t>
            </w:r>
          </w:p>
        </w:tc>
      </w:tr>
      <w:tr w:rsidR="005C06A9" w:rsidRPr="008662BF" w14:paraId="2C8B5805" w14:textId="77777777" w:rsidTr="00520621">
        <w:tc>
          <w:tcPr>
            <w:tcW w:w="2223" w:type="dxa"/>
            <w:tcBorders>
              <w:top w:val="nil"/>
              <w:left w:val="single" w:sz="4" w:space="0" w:color="auto"/>
              <w:bottom w:val="single" w:sz="4" w:space="0" w:color="auto"/>
              <w:right w:val="single" w:sz="4" w:space="0" w:color="auto"/>
            </w:tcBorders>
            <w:shd w:val="clear" w:color="auto" w:fill="auto"/>
            <w:vAlign w:val="center"/>
            <w:hideMark/>
          </w:tcPr>
          <w:p w14:paraId="0DCD55A5" w14:textId="77777777" w:rsidR="006C2AE9" w:rsidRPr="008662BF" w:rsidRDefault="006C2AE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lastRenderedPageBreak/>
              <w:t xml:space="preserve">Универзитет </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Свети Климент Охридски</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 xml:space="preserve">, Ветеринарен факултет, </w:t>
            </w:r>
          </w:p>
          <w:p w14:paraId="195B58AF" w14:textId="77777777" w:rsidR="007947BF" w:rsidRPr="008662BF" w:rsidRDefault="006C2AE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Центар за научно-истражувачка и апликативна дејност</w:t>
            </w:r>
          </w:p>
        </w:tc>
        <w:tc>
          <w:tcPr>
            <w:tcW w:w="388" w:type="dxa"/>
            <w:tcBorders>
              <w:top w:val="nil"/>
              <w:left w:val="nil"/>
              <w:bottom w:val="single" w:sz="4" w:space="0" w:color="auto"/>
              <w:right w:val="single" w:sz="4" w:space="0" w:color="auto"/>
            </w:tcBorders>
            <w:shd w:val="clear" w:color="auto" w:fill="auto"/>
            <w:hideMark/>
          </w:tcPr>
          <w:p w14:paraId="6065FED3"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62</w:t>
            </w:r>
          </w:p>
        </w:tc>
        <w:tc>
          <w:tcPr>
            <w:tcW w:w="4536" w:type="dxa"/>
            <w:tcBorders>
              <w:top w:val="nil"/>
              <w:left w:val="nil"/>
              <w:bottom w:val="single" w:sz="4" w:space="0" w:color="auto"/>
              <w:right w:val="single" w:sz="4" w:space="0" w:color="auto"/>
            </w:tcBorders>
            <w:shd w:val="clear" w:color="auto" w:fill="auto"/>
            <w:hideMark/>
          </w:tcPr>
          <w:p w14:paraId="43EDC8E8"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PCR System:</w:t>
            </w:r>
            <w:r w:rsidRPr="008662BF">
              <w:rPr>
                <w:rFonts w:eastAsia="Times New Roman" w:cs="Times New Roman"/>
                <w:color w:val="000000"/>
                <w:sz w:val="20"/>
                <w:szCs w:val="20"/>
                <w:lang w:val="mk-MK"/>
              </w:rPr>
              <w:br/>
              <w:t xml:space="preserve">Agilent Stratagene MX3005P QPCR System: Agilent 2100 </w:t>
            </w:r>
            <w:r w:rsidR="00641B64" w:rsidRPr="008662BF">
              <w:rPr>
                <w:rFonts w:eastAsia="Times New Roman" w:cs="Times New Roman"/>
                <w:color w:val="000000"/>
                <w:sz w:val="20"/>
                <w:szCs w:val="20"/>
                <w:lang w:val="mk-MK"/>
              </w:rPr>
              <w:t>биоанализатор + лаптоп</w:t>
            </w:r>
            <w:r w:rsidRPr="008662BF">
              <w:rPr>
                <w:rFonts w:eastAsia="Times New Roman" w:cs="Times New Roman"/>
                <w:color w:val="000000"/>
                <w:sz w:val="20"/>
                <w:szCs w:val="20"/>
                <w:lang w:val="mk-MK"/>
              </w:rPr>
              <w:t>;</w:t>
            </w:r>
          </w:p>
        </w:tc>
        <w:tc>
          <w:tcPr>
            <w:tcW w:w="1275" w:type="dxa"/>
            <w:tcBorders>
              <w:top w:val="nil"/>
              <w:left w:val="nil"/>
              <w:bottom w:val="single" w:sz="4" w:space="0" w:color="auto"/>
              <w:right w:val="single" w:sz="4" w:space="0" w:color="auto"/>
            </w:tcBorders>
            <w:shd w:val="clear" w:color="auto" w:fill="auto"/>
            <w:hideMark/>
          </w:tcPr>
          <w:p w14:paraId="1441477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54.524</w:t>
            </w:r>
          </w:p>
        </w:tc>
        <w:tc>
          <w:tcPr>
            <w:tcW w:w="1134" w:type="dxa"/>
            <w:tcBorders>
              <w:top w:val="nil"/>
              <w:left w:val="nil"/>
              <w:bottom w:val="single" w:sz="4" w:space="0" w:color="auto"/>
              <w:right w:val="single" w:sz="4" w:space="0" w:color="auto"/>
            </w:tcBorders>
            <w:shd w:val="clear" w:color="auto" w:fill="auto"/>
            <w:hideMark/>
          </w:tcPr>
          <w:p w14:paraId="275FA29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1AEDF040"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vAlign w:val="center"/>
            <w:hideMark/>
          </w:tcPr>
          <w:p w14:paraId="352675D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F842BA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w:t>
            </w:r>
          </w:p>
        </w:tc>
      </w:tr>
      <w:tr w:rsidR="005C06A9" w:rsidRPr="008662BF" w14:paraId="3D1C9BD4" w14:textId="77777777" w:rsidTr="00520621">
        <w:tc>
          <w:tcPr>
            <w:tcW w:w="2223" w:type="dxa"/>
            <w:vMerge w:val="restart"/>
            <w:tcBorders>
              <w:top w:val="nil"/>
              <w:left w:val="single" w:sz="4" w:space="0" w:color="auto"/>
              <w:bottom w:val="single" w:sz="4" w:space="0" w:color="auto"/>
              <w:right w:val="single" w:sz="4" w:space="0" w:color="auto"/>
            </w:tcBorders>
            <w:shd w:val="clear" w:color="auto" w:fill="auto"/>
            <w:vAlign w:val="center"/>
            <w:hideMark/>
          </w:tcPr>
          <w:p w14:paraId="78BC940D" w14:textId="77777777" w:rsidR="007947BF" w:rsidRPr="008662BF" w:rsidRDefault="006C2AE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Универзитет </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Гоце Делчев</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 Факултет за природни и технички науки, Истражувачка група АМБИКОН</w:t>
            </w:r>
          </w:p>
        </w:tc>
        <w:tc>
          <w:tcPr>
            <w:tcW w:w="388" w:type="dxa"/>
            <w:tcBorders>
              <w:top w:val="nil"/>
              <w:left w:val="nil"/>
              <w:bottom w:val="single" w:sz="4" w:space="0" w:color="auto"/>
              <w:right w:val="single" w:sz="4" w:space="0" w:color="auto"/>
            </w:tcBorders>
            <w:shd w:val="clear" w:color="auto" w:fill="auto"/>
            <w:hideMark/>
          </w:tcPr>
          <w:p w14:paraId="7588A79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63</w:t>
            </w:r>
          </w:p>
        </w:tc>
        <w:tc>
          <w:tcPr>
            <w:tcW w:w="4536" w:type="dxa"/>
            <w:tcBorders>
              <w:top w:val="nil"/>
              <w:left w:val="nil"/>
              <w:bottom w:val="single" w:sz="4" w:space="0" w:color="auto"/>
              <w:right w:val="single" w:sz="4" w:space="0" w:color="auto"/>
            </w:tcBorders>
            <w:shd w:val="clear" w:color="auto" w:fill="auto"/>
            <w:hideMark/>
          </w:tcPr>
          <w:p w14:paraId="16912E6F"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Електронски микроскоп за скенирање TESACN VEGA 3 + EDS Oxford analytics + Опрема за подготовка на примероци</w:t>
            </w:r>
          </w:p>
        </w:tc>
        <w:tc>
          <w:tcPr>
            <w:tcW w:w="1275" w:type="dxa"/>
            <w:tcBorders>
              <w:top w:val="nil"/>
              <w:left w:val="nil"/>
              <w:bottom w:val="single" w:sz="4" w:space="0" w:color="auto"/>
              <w:right w:val="single" w:sz="4" w:space="0" w:color="auto"/>
            </w:tcBorders>
            <w:shd w:val="clear" w:color="auto" w:fill="auto"/>
            <w:hideMark/>
          </w:tcPr>
          <w:p w14:paraId="5AAF1A2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500.000</w:t>
            </w:r>
          </w:p>
        </w:tc>
        <w:tc>
          <w:tcPr>
            <w:tcW w:w="1134" w:type="dxa"/>
            <w:tcBorders>
              <w:top w:val="nil"/>
              <w:left w:val="nil"/>
              <w:bottom w:val="single" w:sz="4" w:space="0" w:color="auto"/>
              <w:right w:val="single" w:sz="4" w:space="0" w:color="auto"/>
            </w:tcBorders>
            <w:shd w:val="clear" w:color="auto" w:fill="auto"/>
            <w:hideMark/>
          </w:tcPr>
          <w:p w14:paraId="0A8C705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2011, 2014</w:t>
            </w:r>
          </w:p>
        </w:tc>
        <w:tc>
          <w:tcPr>
            <w:tcW w:w="2839" w:type="dxa"/>
            <w:tcBorders>
              <w:top w:val="nil"/>
              <w:left w:val="nil"/>
              <w:bottom w:val="single" w:sz="4" w:space="0" w:color="auto"/>
              <w:right w:val="single" w:sz="4" w:space="0" w:color="auto"/>
            </w:tcBorders>
            <w:shd w:val="clear" w:color="auto" w:fill="auto"/>
            <w:hideMark/>
          </w:tcPr>
          <w:p w14:paraId="48BD94D7"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r w:rsidR="007947BF" w:rsidRPr="008662BF">
              <w:rPr>
                <w:rFonts w:eastAsia="Times New Roman" w:cs="Times New Roman"/>
                <w:color w:val="000000"/>
                <w:sz w:val="20"/>
                <w:szCs w:val="20"/>
                <w:lang w:val="mk-MK"/>
              </w:rPr>
              <w:t xml:space="preserve"> (90%) + </w:t>
            </w:r>
            <w:r w:rsidR="00667DE4">
              <w:rPr>
                <w:rFonts w:eastAsia="Times New Roman" w:cs="Times New Roman"/>
                <w:color w:val="000000"/>
                <w:sz w:val="20"/>
                <w:szCs w:val="20"/>
                <w:lang w:val="mk-MK"/>
              </w:rPr>
              <w:t>с</w:t>
            </w:r>
            <w:r w:rsidR="00A2244D" w:rsidRPr="008662BF">
              <w:rPr>
                <w:rFonts w:eastAsia="Times New Roman" w:cs="Times New Roman"/>
                <w:color w:val="000000"/>
                <w:sz w:val="20"/>
                <w:szCs w:val="20"/>
                <w:lang w:val="mk-MK"/>
              </w:rPr>
              <w:t>опствени средства</w:t>
            </w:r>
            <w:r w:rsidR="007947BF" w:rsidRPr="008662BF">
              <w:rPr>
                <w:rFonts w:eastAsia="Times New Roman" w:cs="Times New Roman"/>
                <w:color w:val="000000"/>
                <w:sz w:val="20"/>
                <w:szCs w:val="20"/>
                <w:lang w:val="mk-MK"/>
              </w:rPr>
              <w:t xml:space="preserve"> (10 %)</w:t>
            </w:r>
          </w:p>
        </w:tc>
        <w:tc>
          <w:tcPr>
            <w:tcW w:w="1223" w:type="dxa"/>
            <w:tcBorders>
              <w:top w:val="nil"/>
              <w:left w:val="nil"/>
              <w:bottom w:val="single" w:sz="4" w:space="0" w:color="auto"/>
              <w:right w:val="single" w:sz="4" w:space="0" w:color="auto"/>
            </w:tcBorders>
            <w:shd w:val="clear" w:color="auto" w:fill="auto"/>
            <w:vAlign w:val="center"/>
            <w:hideMark/>
          </w:tcPr>
          <w:p w14:paraId="2C03C58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27BDF2E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w:t>
            </w:r>
          </w:p>
        </w:tc>
      </w:tr>
      <w:tr w:rsidR="005C06A9" w:rsidRPr="008662BF" w14:paraId="244344D9"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0D92DCED"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5632197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64</w:t>
            </w:r>
          </w:p>
        </w:tc>
        <w:tc>
          <w:tcPr>
            <w:tcW w:w="4536" w:type="dxa"/>
            <w:tcBorders>
              <w:top w:val="nil"/>
              <w:left w:val="nil"/>
              <w:bottom w:val="single" w:sz="4" w:space="0" w:color="auto"/>
              <w:right w:val="single" w:sz="4" w:space="0" w:color="auto"/>
            </w:tcBorders>
            <w:shd w:val="clear" w:color="auto" w:fill="auto"/>
            <w:hideMark/>
          </w:tcPr>
          <w:p w14:paraId="5B078188"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Рендген дифрактометар Shimadzu XRD 6000</w:t>
            </w:r>
          </w:p>
        </w:tc>
        <w:tc>
          <w:tcPr>
            <w:tcW w:w="1275" w:type="dxa"/>
            <w:tcBorders>
              <w:top w:val="nil"/>
              <w:left w:val="nil"/>
              <w:bottom w:val="single" w:sz="4" w:space="0" w:color="auto"/>
              <w:right w:val="single" w:sz="4" w:space="0" w:color="auto"/>
            </w:tcBorders>
            <w:shd w:val="clear" w:color="auto" w:fill="auto"/>
            <w:hideMark/>
          </w:tcPr>
          <w:p w14:paraId="4A012B0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150.000</w:t>
            </w:r>
          </w:p>
        </w:tc>
        <w:tc>
          <w:tcPr>
            <w:tcW w:w="1134" w:type="dxa"/>
            <w:tcBorders>
              <w:top w:val="nil"/>
              <w:left w:val="nil"/>
              <w:bottom w:val="single" w:sz="4" w:space="0" w:color="auto"/>
              <w:right w:val="single" w:sz="4" w:space="0" w:color="auto"/>
            </w:tcBorders>
            <w:shd w:val="clear" w:color="auto" w:fill="auto"/>
            <w:hideMark/>
          </w:tcPr>
          <w:p w14:paraId="29DD7A1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 + 2015</w:t>
            </w:r>
          </w:p>
        </w:tc>
        <w:tc>
          <w:tcPr>
            <w:tcW w:w="2839" w:type="dxa"/>
            <w:tcBorders>
              <w:top w:val="nil"/>
              <w:left w:val="nil"/>
              <w:bottom w:val="single" w:sz="4" w:space="0" w:color="auto"/>
              <w:right w:val="single" w:sz="4" w:space="0" w:color="auto"/>
            </w:tcBorders>
            <w:shd w:val="clear" w:color="auto" w:fill="auto"/>
            <w:hideMark/>
          </w:tcPr>
          <w:p w14:paraId="30A1EBE5"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r w:rsidR="007947BF" w:rsidRPr="008662BF">
              <w:rPr>
                <w:rFonts w:eastAsia="Times New Roman" w:cs="Times New Roman"/>
                <w:color w:val="000000"/>
                <w:sz w:val="20"/>
                <w:szCs w:val="20"/>
                <w:lang w:val="mk-MK"/>
              </w:rPr>
              <w:t xml:space="preserve"> (90%) + </w:t>
            </w:r>
            <w:r w:rsidR="00667DE4">
              <w:rPr>
                <w:rFonts w:eastAsia="Times New Roman" w:cs="Times New Roman"/>
                <w:color w:val="000000"/>
                <w:sz w:val="20"/>
                <w:szCs w:val="20"/>
                <w:lang w:val="mk-MK"/>
              </w:rPr>
              <w:t>с</w:t>
            </w:r>
            <w:r w:rsidR="00A2244D" w:rsidRPr="008662BF">
              <w:rPr>
                <w:rFonts w:eastAsia="Times New Roman" w:cs="Times New Roman"/>
                <w:color w:val="000000"/>
                <w:sz w:val="20"/>
                <w:szCs w:val="20"/>
                <w:lang w:val="mk-MK"/>
              </w:rPr>
              <w:t>опствени средства</w:t>
            </w:r>
            <w:r w:rsidR="007947BF" w:rsidRPr="008662BF">
              <w:rPr>
                <w:rFonts w:eastAsia="Times New Roman" w:cs="Times New Roman"/>
                <w:color w:val="000000"/>
                <w:sz w:val="20"/>
                <w:szCs w:val="20"/>
                <w:lang w:val="mk-MK"/>
              </w:rPr>
              <w:t xml:space="preserve"> (10 %)</w:t>
            </w:r>
          </w:p>
        </w:tc>
        <w:tc>
          <w:tcPr>
            <w:tcW w:w="1223" w:type="dxa"/>
            <w:tcBorders>
              <w:top w:val="nil"/>
              <w:left w:val="nil"/>
              <w:bottom w:val="single" w:sz="4" w:space="0" w:color="auto"/>
              <w:right w:val="single" w:sz="4" w:space="0" w:color="auto"/>
            </w:tcBorders>
            <w:shd w:val="clear" w:color="auto" w:fill="auto"/>
            <w:vAlign w:val="center"/>
            <w:hideMark/>
          </w:tcPr>
          <w:p w14:paraId="4EE38FB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0B0D9CC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r>
      <w:tr w:rsidR="005C06A9" w:rsidRPr="008662BF" w14:paraId="4C53029E"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43B4FD2B"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161274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65</w:t>
            </w:r>
          </w:p>
        </w:tc>
        <w:tc>
          <w:tcPr>
            <w:tcW w:w="4536" w:type="dxa"/>
            <w:tcBorders>
              <w:top w:val="nil"/>
              <w:left w:val="nil"/>
              <w:bottom w:val="single" w:sz="4" w:space="0" w:color="auto"/>
              <w:right w:val="single" w:sz="4" w:space="0" w:color="auto"/>
            </w:tcBorders>
            <w:shd w:val="clear" w:color="auto" w:fill="auto"/>
            <w:hideMark/>
          </w:tcPr>
          <w:p w14:paraId="572C7B4D" w14:textId="77777777" w:rsidR="007947BF" w:rsidRPr="008662BF" w:rsidRDefault="00641B6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Флуоросцентен рендген спектрофотометар Shimadzu EDX 900</w:t>
            </w:r>
          </w:p>
        </w:tc>
        <w:tc>
          <w:tcPr>
            <w:tcW w:w="1275" w:type="dxa"/>
            <w:tcBorders>
              <w:top w:val="nil"/>
              <w:left w:val="nil"/>
              <w:bottom w:val="single" w:sz="4" w:space="0" w:color="auto"/>
              <w:right w:val="single" w:sz="4" w:space="0" w:color="auto"/>
            </w:tcBorders>
            <w:shd w:val="clear" w:color="auto" w:fill="auto"/>
            <w:hideMark/>
          </w:tcPr>
          <w:p w14:paraId="60830EC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80.000</w:t>
            </w:r>
          </w:p>
        </w:tc>
        <w:tc>
          <w:tcPr>
            <w:tcW w:w="1134" w:type="dxa"/>
            <w:tcBorders>
              <w:top w:val="nil"/>
              <w:left w:val="nil"/>
              <w:bottom w:val="single" w:sz="4" w:space="0" w:color="auto"/>
              <w:right w:val="single" w:sz="4" w:space="0" w:color="auto"/>
            </w:tcBorders>
            <w:shd w:val="clear" w:color="auto" w:fill="auto"/>
            <w:hideMark/>
          </w:tcPr>
          <w:p w14:paraId="1EDA4E3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 +2015</w:t>
            </w:r>
          </w:p>
        </w:tc>
        <w:tc>
          <w:tcPr>
            <w:tcW w:w="2839" w:type="dxa"/>
            <w:tcBorders>
              <w:top w:val="nil"/>
              <w:left w:val="nil"/>
              <w:bottom w:val="single" w:sz="4" w:space="0" w:color="auto"/>
              <w:right w:val="single" w:sz="4" w:space="0" w:color="auto"/>
            </w:tcBorders>
            <w:shd w:val="clear" w:color="auto" w:fill="auto"/>
            <w:hideMark/>
          </w:tcPr>
          <w:p w14:paraId="37F78C17"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r w:rsidR="007947BF" w:rsidRPr="008662BF">
              <w:rPr>
                <w:rFonts w:eastAsia="Times New Roman" w:cs="Times New Roman"/>
                <w:color w:val="000000"/>
                <w:sz w:val="20"/>
                <w:szCs w:val="20"/>
                <w:lang w:val="mk-MK"/>
              </w:rPr>
              <w:t xml:space="preserve"> (80%) + </w:t>
            </w:r>
            <w:r w:rsidR="00667DE4">
              <w:rPr>
                <w:rFonts w:eastAsia="Times New Roman" w:cs="Times New Roman"/>
                <w:color w:val="000000"/>
                <w:sz w:val="20"/>
                <w:szCs w:val="20"/>
                <w:lang w:val="mk-MK"/>
              </w:rPr>
              <w:t>с</w:t>
            </w:r>
            <w:r w:rsidR="00A2244D" w:rsidRPr="008662BF">
              <w:rPr>
                <w:rFonts w:eastAsia="Times New Roman" w:cs="Times New Roman"/>
                <w:color w:val="000000"/>
                <w:sz w:val="20"/>
                <w:szCs w:val="20"/>
                <w:lang w:val="mk-MK"/>
              </w:rPr>
              <w:t>опствени средства</w:t>
            </w:r>
            <w:r w:rsidR="007947BF" w:rsidRPr="008662BF">
              <w:rPr>
                <w:rFonts w:eastAsia="Times New Roman" w:cs="Times New Roman"/>
                <w:color w:val="000000"/>
                <w:sz w:val="20"/>
                <w:szCs w:val="20"/>
                <w:lang w:val="mk-MK"/>
              </w:rPr>
              <w:t xml:space="preserve"> (20%)</w:t>
            </w:r>
          </w:p>
        </w:tc>
        <w:tc>
          <w:tcPr>
            <w:tcW w:w="1223" w:type="dxa"/>
            <w:tcBorders>
              <w:top w:val="nil"/>
              <w:left w:val="nil"/>
              <w:bottom w:val="single" w:sz="4" w:space="0" w:color="auto"/>
              <w:right w:val="single" w:sz="4" w:space="0" w:color="auto"/>
            </w:tcBorders>
            <w:shd w:val="clear" w:color="auto" w:fill="auto"/>
            <w:vAlign w:val="center"/>
            <w:hideMark/>
          </w:tcPr>
          <w:p w14:paraId="2EC62EB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03FAEC9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r>
      <w:tr w:rsidR="005C06A9" w:rsidRPr="008662BF" w14:paraId="5F346EF6"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27985638"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A306EA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66</w:t>
            </w:r>
          </w:p>
        </w:tc>
        <w:tc>
          <w:tcPr>
            <w:tcW w:w="4536" w:type="dxa"/>
            <w:tcBorders>
              <w:top w:val="nil"/>
              <w:left w:val="nil"/>
              <w:bottom w:val="single" w:sz="4" w:space="0" w:color="auto"/>
              <w:right w:val="single" w:sz="4" w:space="0" w:color="auto"/>
            </w:tcBorders>
            <w:shd w:val="clear" w:color="auto" w:fill="auto"/>
            <w:hideMark/>
          </w:tcPr>
          <w:p w14:paraId="4F10A027" w14:textId="77777777"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Микроскоп со сонда за скенирање SPM970</w:t>
            </w:r>
          </w:p>
        </w:tc>
        <w:tc>
          <w:tcPr>
            <w:tcW w:w="1275" w:type="dxa"/>
            <w:tcBorders>
              <w:top w:val="nil"/>
              <w:left w:val="nil"/>
              <w:bottom w:val="single" w:sz="4" w:space="0" w:color="auto"/>
              <w:right w:val="single" w:sz="4" w:space="0" w:color="auto"/>
            </w:tcBorders>
            <w:shd w:val="clear" w:color="auto" w:fill="auto"/>
            <w:hideMark/>
          </w:tcPr>
          <w:p w14:paraId="4BDCE29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70.000</w:t>
            </w:r>
          </w:p>
        </w:tc>
        <w:tc>
          <w:tcPr>
            <w:tcW w:w="1134" w:type="dxa"/>
            <w:tcBorders>
              <w:top w:val="nil"/>
              <w:left w:val="nil"/>
              <w:bottom w:val="single" w:sz="4" w:space="0" w:color="auto"/>
              <w:right w:val="single" w:sz="4" w:space="0" w:color="auto"/>
            </w:tcBorders>
            <w:shd w:val="clear" w:color="auto" w:fill="auto"/>
            <w:hideMark/>
          </w:tcPr>
          <w:p w14:paraId="73ECABD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59885448"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5E16229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123A3CA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w:t>
            </w:r>
          </w:p>
        </w:tc>
      </w:tr>
      <w:tr w:rsidR="005C06A9" w:rsidRPr="008662BF" w14:paraId="21387985"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7991ACFA"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64A5FC5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67</w:t>
            </w:r>
          </w:p>
        </w:tc>
        <w:tc>
          <w:tcPr>
            <w:tcW w:w="4536" w:type="dxa"/>
            <w:tcBorders>
              <w:top w:val="nil"/>
              <w:left w:val="nil"/>
              <w:bottom w:val="single" w:sz="4" w:space="0" w:color="auto"/>
              <w:right w:val="single" w:sz="4" w:space="0" w:color="auto"/>
            </w:tcBorders>
            <w:shd w:val="clear" w:color="auto" w:fill="auto"/>
            <w:hideMark/>
          </w:tcPr>
          <w:p w14:paraId="4ECD6EE4" w14:textId="77777777"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Анализатор за големина на честички SALD 3101</w:t>
            </w:r>
          </w:p>
        </w:tc>
        <w:tc>
          <w:tcPr>
            <w:tcW w:w="1275" w:type="dxa"/>
            <w:tcBorders>
              <w:top w:val="nil"/>
              <w:left w:val="nil"/>
              <w:bottom w:val="single" w:sz="4" w:space="0" w:color="auto"/>
              <w:right w:val="single" w:sz="4" w:space="0" w:color="auto"/>
            </w:tcBorders>
            <w:shd w:val="clear" w:color="auto" w:fill="auto"/>
            <w:hideMark/>
          </w:tcPr>
          <w:p w14:paraId="3A23F4E6"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100.000</w:t>
            </w:r>
          </w:p>
        </w:tc>
        <w:tc>
          <w:tcPr>
            <w:tcW w:w="1134" w:type="dxa"/>
            <w:tcBorders>
              <w:top w:val="nil"/>
              <w:left w:val="nil"/>
              <w:bottom w:val="single" w:sz="4" w:space="0" w:color="auto"/>
              <w:right w:val="single" w:sz="4" w:space="0" w:color="auto"/>
            </w:tcBorders>
            <w:shd w:val="clear" w:color="auto" w:fill="auto"/>
            <w:hideMark/>
          </w:tcPr>
          <w:p w14:paraId="1076EDC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3D8BC28E"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35B3995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460DF9E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34D0AC39"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0E9AA70E"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5E077F5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68</w:t>
            </w:r>
          </w:p>
        </w:tc>
        <w:tc>
          <w:tcPr>
            <w:tcW w:w="4536" w:type="dxa"/>
            <w:tcBorders>
              <w:top w:val="nil"/>
              <w:left w:val="nil"/>
              <w:bottom w:val="single" w:sz="4" w:space="0" w:color="auto"/>
              <w:right w:val="single" w:sz="4" w:space="0" w:color="auto"/>
            </w:tcBorders>
            <w:shd w:val="clear" w:color="auto" w:fill="auto"/>
            <w:hideMark/>
          </w:tcPr>
          <w:p w14:paraId="60AD9388" w14:textId="77777777"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Високо чувствителна опрема за одредување радон за примероци од вода, воздух и почва</w:t>
            </w:r>
          </w:p>
        </w:tc>
        <w:tc>
          <w:tcPr>
            <w:tcW w:w="1275" w:type="dxa"/>
            <w:tcBorders>
              <w:top w:val="nil"/>
              <w:left w:val="nil"/>
              <w:bottom w:val="single" w:sz="4" w:space="0" w:color="auto"/>
              <w:right w:val="single" w:sz="4" w:space="0" w:color="auto"/>
            </w:tcBorders>
            <w:shd w:val="clear" w:color="auto" w:fill="auto"/>
            <w:hideMark/>
          </w:tcPr>
          <w:p w14:paraId="7E01C19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70.000</w:t>
            </w:r>
          </w:p>
        </w:tc>
        <w:tc>
          <w:tcPr>
            <w:tcW w:w="1134" w:type="dxa"/>
            <w:tcBorders>
              <w:top w:val="nil"/>
              <w:left w:val="nil"/>
              <w:bottom w:val="single" w:sz="4" w:space="0" w:color="auto"/>
              <w:right w:val="single" w:sz="4" w:space="0" w:color="auto"/>
            </w:tcBorders>
            <w:shd w:val="clear" w:color="auto" w:fill="auto"/>
            <w:hideMark/>
          </w:tcPr>
          <w:p w14:paraId="246BA68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hideMark/>
          </w:tcPr>
          <w:p w14:paraId="50DF59A3"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vAlign w:val="center"/>
            <w:hideMark/>
          </w:tcPr>
          <w:p w14:paraId="237E939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49F0C55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4</w:t>
            </w:r>
          </w:p>
        </w:tc>
      </w:tr>
      <w:tr w:rsidR="005C06A9" w:rsidRPr="008662BF" w14:paraId="6B371351" w14:textId="77777777" w:rsidTr="00520621">
        <w:tc>
          <w:tcPr>
            <w:tcW w:w="2223" w:type="dxa"/>
            <w:vMerge/>
            <w:tcBorders>
              <w:top w:val="nil"/>
              <w:left w:val="single" w:sz="4" w:space="0" w:color="auto"/>
              <w:bottom w:val="single" w:sz="4" w:space="0" w:color="auto"/>
              <w:right w:val="single" w:sz="4" w:space="0" w:color="auto"/>
            </w:tcBorders>
            <w:vAlign w:val="center"/>
            <w:hideMark/>
          </w:tcPr>
          <w:p w14:paraId="446BD0F6"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73C476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69</w:t>
            </w:r>
          </w:p>
        </w:tc>
        <w:tc>
          <w:tcPr>
            <w:tcW w:w="4536" w:type="dxa"/>
            <w:tcBorders>
              <w:top w:val="nil"/>
              <w:left w:val="nil"/>
              <w:bottom w:val="single" w:sz="4" w:space="0" w:color="auto"/>
              <w:right w:val="single" w:sz="4" w:space="0" w:color="auto"/>
            </w:tcBorders>
            <w:shd w:val="clear" w:color="auto" w:fill="auto"/>
            <w:hideMark/>
          </w:tcPr>
          <w:p w14:paraId="5E8D2D89" w14:textId="460FB791"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Специфична помала опрема, </w:t>
            </w:r>
            <w:r w:rsidR="006572DC">
              <w:rPr>
                <w:rFonts w:eastAsia="Times New Roman" w:cs="Times New Roman"/>
                <w:color w:val="000000"/>
                <w:sz w:val="20"/>
                <w:szCs w:val="20"/>
                <w:lang w:val="mk-MK"/>
              </w:rPr>
              <w:t>што</w:t>
            </w:r>
            <w:r w:rsidRPr="008662BF">
              <w:rPr>
                <w:rFonts w:eastAsia="Times New Roman" w:cs="Times New Roman"/>
                <w:color w:val="000000"/>
                <w:sz w:val="20"/>
                <w:szCs w:val="20"/>
                <w:lang w:val="mk-MK"/>
              </w:rPr>
              <w:t xml:space="preserve"> се состои од опрема за земање примероци, аналитичка и мерна опрема + референтни материјали</w:t>
            </w:r>
          </w:p>
        </w:tc>
        <w:tc>
          <w:tcPr>
            <w:tcW w:w="1275" w:type="dxa"/>
            <w:tcBorders>
              <w:top w:val="nil"/>
              <w:left w:val="nil"/>
              <w:bottom w:val="single" w:sz="4" w:space="0" w:color="auto"/>
              <w:right w:val="single" w:sz="4" w:space="0" w:color="auto"/>
            </w:tcBorders>
            <w:shd w:val="clear" w:color="auto" w:fill="auto"/>
            <w:hideMark/>
          </w:tcPr>
          <w:p w14:paraId="6918D43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300.000</w:t>
            </w:r>
          </w:p>
        </w:tc>
        <w:tc>
          <w:tcPr>
            <w:tcW w:w="1134" w:type="dxa"/>
            <w:tcBorders>
              <w:top w:val="nil"/>
              <w:left w:val="nil"/>
              <w:bottom w:val="single" w:sz="4" w:space="0" w:color="auto"/>
              <w:right w:val="single" w:sz="4" w:space="0" w:color="auto"/>
            </w:tcBorders>
            <w:shd w:val="clear" w:color="auto" w:fill="auto"/>
            <w:hideMark/>
          </w:tcPr>
          <w:p w14:paraId="7892D81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2012-2020</w:t>
            </w:r>
          </w:p>
        </w:tc>
        <w:tc>
          <w:tcPr>
            <w:tcW w:w="2839" w:type="dxa"/>
            <w:tcBorders>
              <w:top w:val="nil"/>
              <w:left w:val="nil"/>
              <w:bottom w:val="single" w:sz="4" w:space="0" w:color="auto"/>
              <w:right w:val="single" w:sz="4" w:space="0" w:color="auto"/>
            </w:tcBorders>
            <w:shd w:val="clear" w:color="auto" w:fill="auto"/>
            <w:hideMark/>
          </w:tcPr>
          <w:p w14:paraId="3479B3F7" w14:textId="77777777" w:rsidR="007947BF" w:rsidRPr="008662BF" w:rsidRDefault="00A2244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vAlign w:val="center"/>
            <w:hideMark/>
          </w:tcPr>
          <w:p w14:paraId="3BF9E61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 +</w:t>
            </w:r>
          </w:p>
        </w:tc>
        <w:tc>
          <w:tcPr>
            <w:tcW w:w="1102" w:type="dxa"/>
            <w:tcBorders>
              <w:top w:val="nil"/>
              <w:left w:val="nil"/>
              <w:bottom w:val="single" w:sz="4" w:space="0" w:color="auto"/>
              <w:right w:val="single" w:sz="4" w:space="0" w:color="auto"/>
            </w:tcBorders>
            <w:shd w:val="clear" w:color="auto" w:fill="auto"/>
            <w:vAlign w:val="center"/>
            <w:hideMark/>
          </w:tcPr>
          <w:p w14:paraId="7CFC041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30</w:t>
            </w:r>
          </w:p>
        </w:tc>
      </w:tr>
      <w:tr w:rsidR="005C06A9" w:rsidRPr="008662BF" w14:paraId="4FD5C4BA" w14:textId="77777777" w:rsidTr="00520621">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3AED0695" w14:textId="77777777" w:rsidR="007947BF" w:rsidRPr="008662BF" w:rsidRDefault="006C2AE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Универзитет </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Гоце Делчев</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 Факултет за медицински науки, Истражувачка група за здравствени науки</w:t>
            </w:r>
          </w:p>
        </w:tc>
        <w:tc>
          <w:tcPr>
            <w:tcW w:w="388" w:type="dxa"/>
            <w:tcBorders>
              <w:top w:val="nil"/>
              <w:left w:val="nil"/>
              <w:bottom w:val="single" w:sz="4" w:space="0" w:color="auto"/>
              <w:right w:val="single" w:sz="4" w:space="0" w:color="auto"/>
            </w:tcBorders>
            <w:shd w:val="clear" w:color="auto" w:fill="auto"/>
            <w:hideMark/>
          </w:tcPr>
          <w:p w14:paraId="32225B3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70</w:t>
            </w:r>
          </w:p>
        </w:tc>
        <w:tc>
          <w:tcPr>
            <w:tcW w:w="4536" w:type="dxa"/>
            <w:tcBorders>
              <w:top w:val="nil"/>
              <w:left w:val="nil"/>
              <w:bottom w:val="single" w:sz="4" w:space="0" w:color="auto"/>
              <w:right w:val="single" w:sz="4" w:space="0" w:color="auto"/>
            </w:tcBorders>
            <w:shd w:val="clear" w:color="auto" w:fill="auto"/>
            <w:hideMark/>
          </w:tcPr>
          <w:p w14:paraId="6B124C0E" w14:textId="77777777" w:rsidR="00222524"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РАДИОФАРМАЦИЈА</w:t>
            </w:r>
          </w:p>
          <w:p w14:paraId="37FCB7B0" w14:textId="77777777"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Лиофилизатор</w:t>
            </w:r>
          </w:p>
        </w:tc>
        <w:tc>
          <w:tcPr>
            <w:tcW w:w="1275" w:type="dxa"/>
            <w:tcBorders>
              <w:top w:val="nil"/>
              <w:left w:val="nil"/>
              <w:bottom w:val="single" w:sz="4" w:space="0" w:color="auto"/>
              <w:right w:val="single" w:sz="4" w:space="0" w:color="auto"/>
            </w:tcBorders>
            <w:shd w:val="clear" w:color="auto" w:fill="auto"/>
            <w:hideMark/>
          </w:tcPr>
          <w:p w14:paraId="751FA57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hideMark/>
          </w:tcPr>
          <w:p w14:paraId="5A1CA25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178D0694"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184211D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39B42AA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w:t>
            </w:r>
          </w:p>
        </w:tc>
      </w:tr>
      <w:tr w:rsidR="005C06A9" w:rsidRPr="008662BF" w14:paraId="469B9F6A"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56E8EEE8"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4122243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71</w:t>
            </w:r>
          </w:p>
        </w:tc>
        <w:tc>
          <w:tcPr>
            <w:tcW w:w="4536" w:type="dxa"/>
            <w:tcBorders>
              <w:top w:val="nil"/>
              <w:left w:val="nil"/>
              <w:bottom w:val="single" w:sz="4" w:space="0" w:color="auto"/>
              <w:right w:val="single" w:sz="4" w:space="0" w:color="auto"/>
            </w:tcBorders>
            <w:shd w:val="clear" w:color="auto" w:fill="auto"/>
            <w:hideMark/>
          </w:tcPr>
          <w:p w14:paraId="55D4BF21" w14:textId="77777777" w:rsidR="007947BF" w:rsidRPr="008662BF" w:rsidRDefault="00F731E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Изотопска изолациона комора</w:t>
            </w:r>
          </w:p>
        </w:tc>
        <w:tc>
          <w:tcPr>
            <w:tcW w:w="1275" w:type="dxa"/>
            <w:tcBorders>
              <w:top w:val="nil"/>
              <w:left w:val="nil"/>
              <w:bottom w:val="single" w:sz="4" w:space="0" w:color="auto"/>
              <w:right w:val="single" w:sz="4" w:space="0" w:color="auto"/>
            </w:tcBorders>
            <w:shd w:val="clear" w:color="auto" w:fill="auto"/>
            <w:hideMark/>
          </w:tcPr>
          <w:p w14:paraId="5DB52AB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100.000</w:t>
            </w:r>
          </w:p>
        </w:tc>
        <w:tc>
          <w:tcPr>
            <w:tcW w:w="1134" w:type="dxa"/>
            <w:tcBorders>
              <w:top w:val="nil"/>
              <w:left w:val="nil"/>
              <w:bottom w:val="single" w:sz="4" w:space="0" w:color="auto"/>
              <w:right w:val="single" w:sz="4" w:space="0" w:color="auto"/>
            </w:tcBorders>
            <w:shd w:val="clear" w:color="auto" w:fill="auto"/>
            <w:hideMark/>
          </w:tcPr>
          <w:p w14:paraId="0A3433C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0FB41558"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0AA38A9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 +</w:t>
            </w:r>
          </w:p>
        </w:tc>
        <w:tc>
          <w:tcPr>
            <w:tcW w:w="1102" w:type="dxa"/>
            <w:tcBorders>
              <w:top w:val="nil"/>
              <w:left w:val="nil"/>
              <w:bottom w:val="single" w:sz="4" w:space="0" w:color="auto"/>
              <w:right w:val="single" w:sz="4" w:space="0" w:color="auto"/>
            </w:tcBorders>
            <w:shd w:val="clear" w:color="auto" w:fill="auto"/>
            <w:vAlign w:val="center"/>
            <w:hideMark/>
          </w:tcPr>
          <w:p w14:paraId="3F08907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w:t>
            </w:r>
          </w:p>
        </w:tc>
      </w:tr>
      <w:tr w:rsidR="005C06A9" w:rsidRPr="008662BF" w14:paraId="3C87B136"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5B3F9274"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30E24A0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72</w:t>
            </w:r>
          </w:p>
        </w:tc>
        <w:tc>
          <w:tcPr>
            <w:tcW w:w="4536" w:type="dxa"/>
            <w:tcBorders>
              <w:top w:val="nil"/>
              <w:left w:val="nil"/>
              <w:bottom w:val="single" w:sz="4" w:space="0" w:color="auto"/>
              <w:right w:val="single" w:sz="4" w:space="0" w:color="auto"/>
            </w:tcBorders>
            <w:shd w:val="clear" w:color="auto" w:fill="auto"/>
            <w:hideMark/>
          </w:tcPr>
          <w:p w14:paraId="743EB8DE"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Phosphorus/Instant imaging system</w:t>
            </w:r>
          </w:p>
        </w:tc>
        <w:tc>
          <w:tcPr>
            <w:tcW w:w="1275" w:type="dxa"/>
            <w:tcBorders>
              <w:top w:val="nil"/>
              <w:left w:val="nil"/>
              <w:bottom w:val="single" w:sz="4" w:space="0" w:color="auto"/>
              <w:right w:val="single" w:sz="4" w:space="0" w:color="auto"/>
            </w:tcBorders>
            <w:shd w:val="clear" w:color="auto" w:fill="auto"/>
            <w:hideMark/>
          </w:tcPr>
          <w:p w14:paraId="2547240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hideMark/>
          </w:tcPr>
          <w:p w14:paraId="353E9C8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3E07BB6A"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49AD993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23DBA64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w:t>
            </w:r>
          </w:p>
        </w:tc>
      </w:tr>
      <w:tr w:rsidR="005C06A9" w:rsidRPr="008662BF" w14:paraId="6D4BAD53"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3CA64B45"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52A26A0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73</w:t>
            </w:r>
          </w:p>
        </w:tc>
        <w:tc>
          <w:tcPr>
            <w:tcW w:w="4536" w:type="dxa"/>
            <w:tcBorders>
              <w:top w:val="nil"/>
              <w:left w:val="nil"/>
              <w:bottom w:val="single" w:sz="4" w:space="0" w:color="auto"/>
              <w:right w:val="single" w:sz="4" w:space="0" w:color="auto"/>
            </w:tcBorders>
            <w:shd w:val="clear" w:color="auto" w:fill="auto"/>
            <w:hideMark/>
          </w:tcPr>
          <w:p w14:paraId="3BCBB30B"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HPLC </w:t>
            </w:r>
          </w:p>
        </w:tc>
        <w:tc>
          <w:tcPr>
            <w:tcW w:w="1275" w:type="dxa"/>
            <w:tcBorders>
              <w:top w:val="nil"/>
              <w:left w:val="nil"/>
              <w:bottom w:val="single" w:sz="4" w:space="0" w:color="auto"/>
              <w:right w:val="single" w:sz="4" w:space="0" w:color="auto"/>
            </w:tcBorders>
            <w:shd w:val="clear" w:color="auto" w:fill="auto"/>
            <w:hideMark/>
          </w:tcPr>
          <w:p w14:paraId="10A06E9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100.000</w:t>
            </w:r>
          </w:p>
        </w:tc>
        <w:tc>
          <w:tcPr>
            <w:tcW w:w="1134" w:type="dxa"/>
            <w:tcBorders>
              <w:top w:val="nil"/>
              <w:left w:val="nil"/>
              <w:bottom w:val="single" w:sz="4" w:space="0" w:color="auto"/>
              <w:right w:val="single" w:sz="4" w:space="0" w:color="auto"/>
            </w:tcBorders>
            <w:shd w:val="clear" w:color="auto" w:fill="auto"/>
            <w:hideMark/>
          </w:tcPr>
          <w:p w14:paraId="75BE3B5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1DF66453"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10738C2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3BD4C9B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w:t>
            </w:r>
          </w:p>
        </w:tc>
      </w:tr>
      <w:tr w:rsidR="005C06A9" w:rsidRPr="008662BF" w14:paraId="1A95694A"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0B45314E"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881436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74</w:t>
            </w:r>
          </w:p>
        </w:tc>
        <w:tc>
          <w:tcPr>
            <w:tcW w:w="4536" w:type="dxa"/>
            <w:tcBorders>
              <w:top w:val="nil"/>
              <w:left w:val="nil"/>
              <w:bottom w:val="single" w:sz="4" w:space="0" w:color="auto"/>
              <w:right w:val="single" w:sz="4" w:space="0" w:color="auto"/>
            </w:tcBorders>
            <w:shd w:val="clear" w:color="auto" w:fill="auto"/>
            <w:hideMark/>
          </w:tcPr>
          <w:p w14:paraId="12034D2A" w14:textId="77777777" w:rsidR="007947BF" w:rsidRPr="008662BF" w:rsidRDefault="00F731E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Дополнителна помала опрема, која се состои од аналитичка опрема, </w:t>
            </w:r>
            <w:r w:rsidR="006572DC">
              <w:rPr>
                <w:rFonts w:eastAsia="Times New Roman" w:cs="Times New Roman"/>
                <w:color w:val="000000"/>
                <w:sz w:val="20"/>
                <w:szCs w:val="20"/>
                <w:lang w:val="mk-MK"/>
              </w:rPr>
              <w:t xml:space="preserve">од </w:t>
            </w:r>
            <w:r w:rsidRPr="008662BF">
              <w:rPr>
                <w:rFonts w:eastAsia="Times New Roman" w:cs="Times New Roman"/>
                <w:color w:val="000000"/>
                <w:sz w:val="20"/>
                <w:szCs w:val="20"/>
                <w:lang w:val="mk-MK"/>
              </w:rPr>
              <w:t>опрема за подготовка и складирање примероци</w:t>
            </w:r>
          </w:p>
        </w:tc>
        <w:tc>
          <w:tcPr>
            <w:tcW w:w="1275" w:type="dxa"/>
            <w:tcBorders>
              <w:top w:val="nil"/>
              <w:left w:val="nil"/>
              <w:bottom w:val="single" w:sz="4" w:space="0" w:color="auto"/>
              <w:right w:val="single" w:sz="4" w:space="0" w:color="auto"/>
            </w:tcBorders>
            <w:shd w:val="clear" w:color="auto" w:fill="auto"/>
            <w:hideMark/>
          </w:tcPr>
          <w:p w14:paraId="23B4053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200.000</w:t>
            </w:r>
          </w:p>
        </w:tc>
        <w:tc>
          <w:tcPr>
            <w:tcW w:w="1134" w:type="dxa"/>
            <w:tcBorders>
              <w:top w:val="nil"/>
              <w:left w:val="nil"/>
              <w:bottom w:val="single" w:sz="4" w:space="0" w:color="auto"/>
              <w:right w:val="single" w:sz="4" w:space="0" w:color="auto"/>
            </w:tcBorders>
            <w:shd w:val="clear" w:color="auto" w:fill="auto"/>
            <w:hideMark/>
          </w:tcPr>
          <w:p w14:paraId="4C3921B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46CE4FCD"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73D856C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4D85A19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w:t>
            </w:r>
          </w:p>
        </w:tc>
      </w:tr>
      <w:tr w:rsidR="005C06A9" w:rsidRPr="008662BF" w14:paraId="2ECB97C4"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70F4F546"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007283E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75</w:t>
            </w:r>
          </w:p>
        </w:tc>
        <w:tc>
          <w:tcPr>
            <w:tcW w:w="4536" w:type="dxa"/>
            <w:tcBorders>
              <w:top w:val="nil"/>
              <w:left w:val="nil"/>
              <w:bottom w:val="single" w:sz="4" w:space="0" w:color="auto"/>
              <w:right w:val="single" w:sz="4" w:space="0" w:color="auto"/>
            </w:tcBorders>
            <w:shd w:val="clear" w:color="auto" w:fill="auto"/>
            <w:hideMark/>
          </w:tcPr>
          <w:p w14:paraId="443A158C" w14:textId="77777777" w:rsidR="00222524"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СТОМАТОЛОШКА ЛАБОРАТОРИЈА </w:t>
            </w:r>
          </w:p>
          <w:p w14:paraId="0359684B" w14:textId="77777777"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CAD CAM систем</w:t>
            </w:r>
          </w:p>
        </w:tc>
        <w:tc>
          <w:tcPr>
            <w:tcW w:w="1275" w:type="dxa"/>
            <w:tcBorders>
              <w:top w:val="nil"/>
              <w:left w:val="nil"/>
              <w:bottom w:val="single" w:sz="4" w:space="0" w:color="auto"/>
              <w:right w:val="single" w:sz="4" w:space="0" w:color="auto"/>
            </w:tcBorders>
            <w:shd w:val="clear" w:color="auto" w:fill="auto"/>
            <w:hideMark/>
          </w:tcPr>
          <w:p w14:paraId="1802A851"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200.000</w:t>
            </w:r>
          </w:p>
        </w:tc>
        <w:tc>
          <w:tcPr>
            <w:tcW w:w="1134" w:type="dxa"/>
            <w:tcBorders>
              <w:top w:val="nil"/>
              <w:left w:val="nil"/>
              <w:bottom w:val="single" w:sz="4" w:space="0" w:color="auto"/>
              <w:right w:val="single" w:sz="4" w:space="0" w:color="auto"/>
            </w:tcBorders>
            <w:shd w:val="clear" w:color="auto" w:fill="auto"/>
            <w:hideMark/>
          </w:tcPr>
          <w:p w14:paraId="38FFDF3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4B229512"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08BDC2D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72E74EEC" w14:textId="77777777" w:rsidR="007947BF" w:rsidRPr="008662BF" w:rsidRDefault="004753F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Само за образование</w:t>
            </w:r>
          </w:p>
        </w:tc>
      </w:tr>
      <w:tr w:rsidR="005C06A9" w:rsidRPr="008662BF" w14:paraId="4FB0468E"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538A008F"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0445D4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76</w:t>
            </w:r>
          </w:p>
        </w:tc>
        <w:tc>
          <w:tcPr>
            <w:tcW w:w="4536" w:type="dxa"/>
            <w:tcBorders>
              <w:top w:val="nil"/>
              <w:left w:val="nil"/>
              <w:bottom w:val="single" w:sz="4" w:space="0" w:color="auto"/>
              <w:right w:val="single" w:sz="4" w:space="0" w:color="auto"/>
            </w:tcBorders>
            <w:shd w:val="clear" w:color="auto" w:fill="auto"/>
            <w:hideMark/>
          </w:tcPr>
          <w:p w14:paraId="09BBDCF1" w14:textId="77777777" w:rsidR="007947BF" w:rsidRPr="008662BF" w:rsidRDefault="00222524"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Стоматолошки ласери</w:t>
            </w:r>
          </w:p>
        </w:tc>
        <w:tc>
          <w:tcPr>
            <w:tcW w:w="1275" w:type="dxa"/>
            <w:tcBorders>
              <w:top w:val="nil"/>
              <w:left w:val="nil"/>
              <w:bottom w:val="single" w:sz="4" w:space="0" w:color="auto"/>
              <w:right w:val="single" w:sz="4" w:space="0" w:color="auto"/>
            </w:tcBorders>
            <w:shd w:val="clear" w:color="auto" w:fill="auto"/>
            <w:hideMark/>
          </w:tcPr>
          <w:p w14:paraId="0717C32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hideMark/>
          </w:tcPr>
          <w:p w14:paraId="35A73C9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6BCD0D67"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3488155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63A86ED1" w14:textId="77777777" w:rsidR="007947BF" w:rsidRPr="008662BF" w:rsidRDefault="004753F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Само за образование</w:t>
            </w:r>
          </w:p>
        </w:tc>
      </w:tr>
      <w:tr w:rsidR="005C06A9" w:rsidRPr="008662BF" w14:paraId="248EA1CA"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388F8E60"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7655DC1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77</w:t>
            </w:r>
          </w:p>
        </w:tc>
        <w:tc>
          <w:tcPr>
            <w:tcW w:w="4536" w:type="dxa"/>
            <w:tcBorders>
              <w:top w:val="nil"/>
              <w:left w:val="nil"/>
              <w:bottom w:val="single" w:sz="4" w:space="0" w:color="auto"/>
              <w:right w:val="single" w:sz="4" w:space="0" w:color="auto"/>
            </w:tcBorders>
            <w:shd w:val="clear" w:color="auto" w:fill="auto"/>
            <w:hideMark/>
          </w:tcPr>
          <w:p w14:paraId="56E8D7FC" w14:textId="64021A9A" w:rsidR="007947BF" w:rsidRPr="008662BF" w:rsidRDefault="004753FD"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Дополнителна помала опрема, </w:t>
            </w:r>
            <w:r w:rsidR="006572DC">
              <w:rPr>
                <w:rFonts w:eastAsia="Times New Roman" w:cs="Times New Roman"/>
                <w:color w:val="000000"/>
                <w:sz w:val="20"/>
                <w:szCs w:val="20"/>
                <w:lang w:val="mk-MK"/>
              </w:rPr>
              <w:t>што</w:t>
            </w:r>
            <w:r w:rsidRPr="008662BF">
              <w:rPr>
                <w:rFonts w:eastAsia="Times New Roman" w:cs="Times New Roman"/>
                <w:color w:val="000000"/>
                <w:sz w:val="20"/>
                <w:szCs w:val="20"/>
                <w:lang w:val="mk-MK"/>
              </w:rPr>
              <w:t xml:space="preserve"> се состои од ласери, мотори, миксери и сушари.</w:t>
            </w:r>
          </w:p>
        </w:tc>
        <w:tc>
          <w:tcPr>
            <w:tcW w:w="1275" w:type="dxa"/>
            <w:tcBorders>
              <w:top w:val="nil"/>
              <w:left w:val="nil"/>
              <w:bottom w:val="single" w:sz="4" w:space="0" w:color="auto"/>
              <w:right w:val="single" w:sz="4" w:space="0" w:color="auto"/>
            </w:tcBorders>
            <w:shd w:val="clear" w:color="auto" w:fill="auto"/>
            <w:hideMark/>
          </w:tcPr>
          <w:p w14:paraId="3DB2CDF7"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100.000</w:t>
            </w:r>
          </w:p>
        </w:tc>
        <w:tc>
          <w:tcPr>
            <w:tcW w:w="1134" w:type="dxa"/>
            <w:tcBorders>
              <w:top w:val="nil"/>
              <w:left w:val="nil"/>
              <w:bottom w:val="single" w:sz="4" w:space="0" w:color="auto"/>
              <w:right w:val="single" w:sz="4" w:space="0" w:color="auto"/>
            </w:tcBorders>
            <w:shd w:val="clear" w:color="auto" w:fill="auto"/>
            <w:hideMark/>
          </w:tcPr>
          <w:p w14:paraId="0F945A6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w:t>
            </w:r>
          </w:p>
        </w:tc>
        <w:tc>
          <w:tcPr>
            <w:tcW w:w="2839" w:type="dxa"/>
            <w:tcBorders>
              <w:top w:val="nil"/>
              <w:left w:val="nil"/>
              <w:bottom w:val="single" w:sz="4" w:space="0" w:color="auto"/>
              <w:right w:val="single" w:sz="4" w:space="0" w:color="auto"/>
            </w:tcBorders>
            <w:shd w:val="clear" w:color="auto" w:fill="auto"/>
            <w:hideMark/>
          </w:tcPr>
          <w:p w14:paraId="495C8A1D"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7E2B67E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623EF6CB" w14:textId="77777777" w:rsidR="007947BF" w:rsidRPr="008662BF" w:rsidRDefault="004753FD"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Само за образование</w:t>
            </w:r>
          </w:p>
        </w:tc>
      </w:tr>
      <w:tr w:rsidR="005C06A9" w:rsidRPr="008662BF" w14:paraId="68828366" w14:textId="77777777" w:rsidTr="00520621">
        <w:tc>
          <w:tcPr>
            <w:tcW w:w="2223" w:type="dxa"/>
            <w:vMerge w:val="restart"/>
            <w:tcBorders>
              <w:top w:val="nil"/>
              <w:left w:val="single" w:sz="4" w:space="0" w:color="auto"/>
              <w:bottom w:val="single" w:sz="4" w:space="0" w:color="000000"/>
              <w:right w:val="single" w:sz="4" w:space="0" w:color="auto"/>
            </w:tcBorders>
            <w:shd w:val="clear" w:color="auto" w:fill="auto"/>
            <w:vAlign w:val="center"/>
            <w:hideMark/>
          </w:tcPr>
          <w:p w14:paraId="0EE18645" w14:textId="77777777" w:rsidR="007947BF" w:rsidRPr="008662BF" w:rsidRDefault="006C2AE9"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Универзитет </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Гоце Делчев</w:t>
            </w:r>
            <w:r w:rsidR="00667DE4">
              <w:rPr>
                <w:rFonts w:eastAsia="Times New Roman" w:cs="Times New Roman"/>
                <w:color w:val="000000"/>
                <w:sz w:val="20"/>
                <w:szCs w:val="20"/>
                <w:lang w:val="mk-MK"/>
              </w:rPr>
              <w:t>“</w:t>
            </w:r>
            <w:r w:rsidRPr="008662BF">
              <w:rPr>
                <w:rFonts w:eastAsia="Times New Roman" w:cs="Times New Roman"/>
                <w:color w:val="000000"/>
                <w:sz w:val="20"/>
                <w:szCs w:val="20"/>
                <w:lang w:val="mk-MK"/>
              </w:rPr>
              <w:t>, Земјоделски факултет, УНИЛАБ</w:t>
            </w:r>
          </w:p>
        </w:tc>
        <w:tc>
          <w:tcPr>
            <w:tcW w:w="388" w:type="dxa"/>
            <w:tcBorders>
              <w:top w:val="nil"/>
              <w:left w:val="nil"/>
              <w:bottom w:val="single" w:sz="4" w:space="0" w:color="auto"/>
              <w:right w:val="single" w:sz="4" w:space="0" w:color="auto"/>
            </w:tcBorders>
            <w:shd w:val="clear" w:color="auto" w:fill="auto"/>
            <w:hideMark/>
          </w:tcPr>
          <w:p w14:paraId="7CE8CE45"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78</w:t>
            </w:r>
          </w:p>
        </w:tc>
        <w:tc>
          <w:tcPr>
            <w:tcW w:w="4536" w:type="dxa"/>
            <w:tcBorders>
              <w:top w:val="nil"/>
              <w:left w:val="nil"/>
              <w:bottom w:val="single" w:sz="4" w:space="0" w:color="auto"/>
              <w:right w:val="single" w:sz="4" w:space="0" w:color="auto"/>
            </w:tcBorders>
            <w:shd w:val="clear" w:color="auto" w:fill="auto"/>
            <w:hideMark/>
          </w:tcPr>
          <w:p w14:paraId="0A3E18AB" w14:textId="77777777" w:rsidR="007947BF" w:rsidRPr="008662BF" w:rsidRDefault="004753FD"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Гасна хроматографија </w:t>
            </w:r>
            <w:r w:rsidR="007947BF" w:rsidRPr="008662BF">
              <w:rPr>
                <w:rFonts w:eastAsia="Times New Roman" w:cs="Times New Roman"/>
                <w:color w:val="000000"/>
                <w:sz w:val="20"/>
                <w:szCs w:val="20"/>
                <w:lang w:val="mk-MK"/>
              </w:rPr>
              <w:t xml:space="preserve">PACKAGE 450/320-MS TRIPLE QUAD GC/MS/MS </w:t>
            </w:r>
          </w:p>
        </w:tc>
        <w:tc>
          <w:tcPr>
            <w:tcW w:w="1275" w:type="dxa"/>
            <w:tcBorders>
              <w:top w:val="nil"/>
              <w:left w:val="nil"/>
              <w:bottom w:val="single" w:sz="4" w:space="0" w:color="auto"/>
              <w:right w:val="single" w:sz="4" w:space="0" w:color="auto"/>
            </w:tcBorders>
            <w:shd w:val="clear" w:color="auto" w:fill="auto"/>
            <w:hideMark/>
          </w:tcPr>
          <w:p w14:paraId="0B45054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80.000</w:t>
            </w:r>
          </w:p>
        </w:tc>
        <w:tc>
          <w:tcPr>
            <w:tcW w:w="1134" w:type="dxa"/>
            <w:tcBorders>
              <w:top w:val="nil"/>
              <w:left w:val="nil"/>
              <w:bottom w:val="single" w:sz="4" w:space="0" w:color="auto"/>
              <w:right w:val="single" w:sz="4" w:space="0" w:color="auto"/>
            </w:tcBorders>
            <w:shd w:val="clear" w:color="auto" w:fill="auto"/>
            <w:hideMark/>
          </w:tcPr>
          <w:p w14:paraId="71E9491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2015</w:t>
            </w:r>
          </w:p>
        </w:tc>
        <w:tc>
          <w:tcPr>
            <w:tcW w:w="2839" w:type="dxa"/>
            <w:tcBorders>
              <w:top w:val="nil"/>
              <w:left w:val="nil"/>
              <w:bottom w:val="single" w:sz="4" w:space="0" w:color="auto"/>
              <w:right w:val="single" w:sz="4" w:space="0" w:color="auto"/>
            </w:tcBorders>
            <w:shd w:val="clear" w:color="auto" w:fill="auto"/>
            <w:hideMark/>
          </w:tcPr>
          <w:p w14:paraId="1DA6DE31"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25A6ACA2"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06398A7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6F6FD618"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71F7BD6A"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482A71C9"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79</w:t>
            </w:r>
          </w:p>
        </w:tc>
        <w:tc>
          <w:tcPr>
            <w:tcW w:w="4536" w:type="dxa"/>
            <w:tcBorders>
              <w:top w:val="nil"/>
              <w:left w:val="nil"/>
              <w:bottom w:val="single" w:sz="4" w:space="0" w:color="auto"/>
              <w:right w:val="single" w:sz="4" w:space="0" w:color="auto"/>
            </w:tcBorders>
            <w:shd w:val="clear" w:color="auto" w:fill="auto"/>
            <w:hideMark/>
          </w:tcPr>
          <w:p w14:paraId="1F5C039D"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ICP MS </w:t>
            </w:r>
            <w:r w:rsidR="004753FD" w:rsidRPr="008662BF">
              <w:rPr>
                <w:rFonts w:eastAsia="Times New Roman" w:cs="Times New Roman"/>
                <w:color w:val="000000"/>
                <w:sz w:val="20"/>
                <w:szCs w:val="20"/>
                <w:lang w:val="mk-MK"/>
              </w:rPr>
              <w:t>–</w:t>
            </w:r>
            <w:r w:rsidRPr="008662BF">
              <w:rPr>
                <w:rFonts w:eastAsia="Times New Roman" w:cs="Times New Roman"/>
                <w:color w:val="000000"/>
                <w:sz w:val="20"/>
                <w:szCs w:val="20"/>
                <w:lang w:val="mk-MK"/>
              </w:rPr>
              <w:t xml:space="preserve"> Agilent</w:t>
            </w:r>
          </w:p>
        </w:tc>
        <w:tc>
          <w:tcPr>
            <w:tcW w:w="1275" w:type="dxa"/>
            <w:tcBorders>
              <w:top w:val="nil"/>
              <w:left w:val="nil"/>
              <w:bottom w:val="single" w:sz="4" w:space="0" w:color="auto"/>
              <w:right w:val="single" w:sz="4" w:space="0" w:color="auto"/>
            </w:tcBorders>
            <w:shd w:val="clear" w:color="auto" w:fill="auto"/>
            <w:hideMark/>
          </w:tcPr>
          <w:p w14:paraId="28035E7A"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150.000</w:t>
            </w:r>
          </w:p>
        </w:tc>
        <w:tc>
          <w:tcPr>
            <w:tcW w:w="1134" w:type="dxa"/>
            <w:tcBorders>
              <w:top w:val="nil"/>
              <w:left w:val="nil"/>
              <w:bottom w:val="single" w:sz="4" w:space="0" w:color="auto"/>
              <w:right w:val="single" w:sz="4" w:space="0" w:color="auto"/>
            </w:tcBorders>
            <w:shd w:val="clear" w:color="auto" w:fill="auto"/>
            <w:hideMark/>
          </w:tcPr>
          <w:p w14:paraId="244C29E4"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2008</w:t>
            </w:r>
          </w:p>
        </w:tc>
        <w:tc>
          <w:tcPr>
            <w:tcW w:w="2839" w:type="dxa"/>
            <w:tcBorders>
              <w:top w:val="nil"/>
              <w:left w:val="nil"/>
              <w:bottom w:val="single" w:sz="4" w:space="0" w:color="auto"/>
              <w:right w:val="single" w:sz="4" w:space="0" w:color="auto"/>
            </w:tcBorders>
            <w:shd w:val="clear" w:color="auto" w:fill="auto"/>
            <w:hideMark/>
          </w:tcPr>
          <w:p w14:paraId="18EFD2D1"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43775E3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55671A7B"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3D0C8AAA"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307548C3"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1E752600"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80</w:t>
            </w:r>
          </w:p>
        </w:tc>
        <w:tc>
          <w:tcPr>
            <w:tcW w:w="4536" w:type="dxa"/>
            <w:tcBorders>
              <w:top w:val="nil"/>
              <w:left w:val="nil"/>
              <w:bottom w:val="single" w:sz="4" w:space="0" w:color="auto"/>
              <w:right w:val="single" w:sz="4" w:space="0" w:color="auto"/>
            </w:tcBorders>
            <w:shd w:val="clear" w:color="auto" w:fill="auto"/>
            <w:hideMark/>
          </w:tcPr>
          <w:p w14:paraId="0F3F9A94" w14:textId="77777777" w:rsidR="007947BF" w:rsidRPr="008662BF" w:rsidRDefault="007947BF"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ICP OES Shimazdu</w:t>
            </w:r>
          </w:p>
        </w:tc>
        <w:tc>
          <w:tcPr>
            <w:tcW w:w="1275" w:type="dxa"/>
            <w:tcBorders>
              <w:top w:val="nil"/>
              <w:left w:val="nil"/>
              <w:bottom w:val="single" w:sz="4" w:space="0" w:color="auto"/>
              <w:right w:val="single" w:sz="4" w:space="0" w:color="auto"/>
            </w:tcBorders>
            <w:shd w:val="clear" w:color="auto" w:fill="auto"/>
            <w:hideMark/>
          </w:tcPr>
          <w:p w14:paraId="1619EBAC"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w:t>
            </w:r>
          </w:p>
        </w:tc>
        <w:tc>
          <w:tcPr>
            <w:tcW w:w="1134" w:type="dxa"/>
            <w:tcBorders>
              <w:top w:val="nil"/>
              <w:left w:val="nil"/>
              <w:bottom w:val="single" w:sz="4" w:space="0" w:color="auto"/>
              <w:right w:val="single" w:sz="4" w:space="0" w:color="auto"/>
            </w:tcBorders>
            <w:shd w:val="clear" w:color="auto" w:fill="auto"/>
            <w:hideMark/>
          </w:tcPr>
          <w:p w14:paraId="7B72D90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2015</w:t>
            </w:r>
          </w:p>
        </w:tc>
        <w:tc>
          <w:tcPr>
            <w:tcW w:w="2839" w:type="dxa"/>
            <w:tcBorders>
              <w:top w:val="nil"/>
              <w:left w:val="nil"/>
              <w:bottom w:val="single" w:sz="4" w:space="0" w:color="auto"/>
              <w:right w:val="single" w:sz="4" w:space="0" w:color="auto"/>
            </w:tcBorders>
            <w:shd w:val="clear" w:color="auto" w:fill="auto"/>
            <w:hideMark/>
          </w:tcPr>
          <w:p w14:paraId="7FFD06E8" w14:textId="77777777" w:rsidR="007947BF" w:rsidRPr="008662BF" w:rsidRDefault="00A94FBB"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p>
        </w:tc>
        <w:tc>
          <w:tcPr>
            <w:tcW w:w="1223" w:type="dxa"/>
            <w:tcBorders>
              <w:top w:val="nil"/>
              <w:left w:val="nil"/>
              <w:bottom w:val="single" w:sz="4" w:space="0" w:color="auto"/>
              <w:right w:val="single" w:sz="4" w:space="0" w:color="auto"/>
            </w:tcBorders>
            <w:shd w:val="clear" w:color="auto" w:fill="auto"/>
            <w:vAlign w:val="center"/>
            <w:hideMark/>
          </w:tcPr>
          <w:p w14:paraId="28FEEDF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56FCD88D"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4EA89D3E" w14:textId="77777777" w:rsidTr="00520621">
        <w:tc>
          <w:tcPr>
            <w:tcW w:w="2223" w:type="dxa"/>
            <w:vMerge/>
            <w:tcBorders>
              <w:top w:val="nil"/>
              <w:left w:val="single" w:sz="4" w:space="0" w:color="auto"/>
              <w:bottom w:val="single" w:sz="4" w:space="0" w:color="000000"/>
              <w:right w:val="single" w:sz="4" w:space="0" w:color="auto"/>
            </w:tcBorders>
            <w:vAlign w:val="center"/>
            <w:hideMark/>
          </w:tcPr>
          <w:p w14:paraId="253075C0" w14:textId="77777777" w:rsidR="007947BF" w:rsidRPr="008662BF" w:rsidRDefault="007947BF" w:rsidP="00E1385A">
            <w:pPr>
              <w:spacing w:after="0" w:line="240" w:lineRule="auto"/>
              <w:rPr>
                <w:rFonts w:eastAsia="Times New Roman" w:cs="Times New Roman"/>
                <w:color w:val="000000"/>
                <w:sz w:val="20"/>
                <w:szCs w:val="20"/>
                <w:lang w:val="mk-MK"/>
              </w:rPr>
            </w:pPr>
          </w:p>
        </w:tc>
        <w:tc>
          <w:tcPr>
            <w:tcW w:w="388" w:type="dxa"/>
            <w:tcBorders>
              <w:top w:val="nil"/>
              <w:left w:val="nil"/>
              <w:bottom w:val="single" w:sz="4" w:space="0" w:color="auto"/>
              <w:right w:val="single" w:sz="4" w:space="0" w:color="auto"/>
            </w:tcBorders>
            <w:shd w:val="clear" w:color="auto" w:fill="auto"/>
            <w:hideMark/>
          </w:tcPr>
          <w:p w14:paraId="4F21FFF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81</w:t>
            </w:r>
          </w:p>
        </w:tc>
        <w:tc>
          <w:tcPr>
            <w:tcW w:w="4536" w:type="dxa"/>
            <w:tcBorders>
              <w:top w:val="nil"/>
              <w:left w:val="nil"/>
              <w:bottom w:val="single" w:sz="4" w:space="0" w:color="auto"/>
              <w:right w:val="single" w:sz="4" w:space="0" w:color="auto"/>
            </w:tcBorders>
            <w:shd w:val="clear" w:color="auto" w:fill="auto"/>
            <w:hideMark/>
          </w:tcPr>
          <w:p w14:paraId="6666AAC8" w14:textId="3FC3797C" w:rsidR="007947BF" w:rsidRPr="008662BF" w:rsidRDefault="004753FD"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Дополнителна помала опрема, </w:t>
            </w:r>
            <w:r w:rsidR="006572DC">
              <w:rPr>
                <w:rFonts w:eastAsia="Times New Roman" w:cs="Times New Roman"/>
                <w:color w:val="000000"/>
                <w:sz w:val="20"/>
                <w:szCs w:val="20"/>
                <w:lang w:val="mk-MK"/>
              </w:rPr>
              <w:t>што</w:t>
            </w:r>
            <w:r w:rsidRPr="008662BF">
              <w:rPr>
                <w:rFonts w:eastAsia="Times New Roman" w:cs="Times New Roman"/>
                <w:color w:val="000000"/>
                <w:sz w:val="20"/>
                <w:szCs w:val="20"/>
                <w:lang w:val="mk-MK"/>
              </w:rPr>
              <w:t xml:space="preserve"> се состои од аналитичка опрема, опрема за подготовка и складирање примероци </w:t>
            </w:r>
          </w:p>
        </w:tc>
        <w:tc>
          <w:tcPr>
            <w:tcW w:w="1275" w:type="dxa"/>
            <w:tcBorders>
              <w:top w:val="nil"/>
              <w:left w:val="nil"/>
              <w:bottom w:val="single" w:sz="4" w:space="0" w:color="auto"/>
              <w:right w:val="single" w:sz="4" w:space="0" w:color="auto"/>
            </w:tcBorders>
            <w:shd w:val="clear" w:color="auto" w:fill="auto"/>
            <w:hideMark/>
          </w:tcPr>
          <w:p w14:paraId="0BB2AFF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500.000</w:t>
            </w:r>
          </w:p>
        </w:tc>
        <w:tc>
          <w:tcPr>
            <w:tcW w:w="1134" w:type="dxa"/>
            <w:tcBorders>
              <w:top w:val="nil"/>
              <w:left w:val="nil"/>
              <w:bottom w:val="single" w:sz="4" w:space="0" w:color="auto"/>
              <w:right w:val="single" w:sz="4" w:space="0" w:color="auto"/>
            </w:tcBorders>
            <w:shd w:val="clear" w:color="auto" w:fill="auto"/>
            <w:hideMark/>
          </w:tcPr>
          <w:p w14:paraId="61168E58"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2011-2018</w:t>
            </w:r>
          </w:p>
        </w:tc>
        <w:tc>
          <w:tcPr>
            <w:tcW w:w="2839" w:type="dxa"/>
            <w:tcBorders>
              <w:top w:val="nil"/>
              <w:left w:val="nil"/>
              <w:bottom w:val="single" w:sz="4" w:space="0" w:color="auto"/>
              <w:right w:val="single" w:sz="4" w:space="0" w:color="auto"/>
            </w:tcBorders>
            <w:shd w:val="clear" w:color="auto" w:fill="auto"/>
            <w:hideMark/>
          </w:tcPr>
          <w:p w14:paraId="395FB576" w14:textId="77777777" w:rsidR="007947BF" w:rsidRPr="008662BF" w:rsidRDefault="00A94FBB" w:rsidP="00B424EB">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Министерство за образование и наука</w:t>
            </w:r>
            <w:r w:rsidR="007947BF" w:rsidRPr="008662BF">
              <w:rPr>
                <w:rFonts w:eastAsia="Times New Roman" w:cs="Times New Roman"/>
                <w:color w:val="000000"/>
                <w:sz w:val="20"/>
                <w:szCs w:val="20"/>
                <w:lang w:val="mk-MK"/>
              </w:rPr>
              <w:t xml:space="preserve"> (80%) </w:t>
            </w:r>
            <w:r w:rsidR="00B424EB">
              <w:rPr>
                <w:rFonts w:eastAsia="Times New Roman" w:cs="Times New Roman"/>
                <w:color w:val="000000"/>
                <w:sz w:val="20"/>
                <w:szCs w:val="20"/>
                <w:lang w:val="mk-MK"/>
              </w:rPr>
              <w:t>/ с</w:t>
            </w:r>
            <w:r w:rsidR="00A2244D" w:rsidRPr="008662BF">
              <w:rPr>
                <w:rFonts w:eastAsia="Times New Roman" w:cs="Times New Roman"/>
                <w:color w:val="000000"/>
                <w:sz w:val="20"/>
                <w:szCs w:val="20"/>
                <w:lang w:val="mk-MK"/>
              </w:rPr>
              <w:t>опствени средства</w:t>
            </w:r>
            <w:r w:rsidR="007947BF" w:rsidRPr="008662BF">
              <w:rPr>
                <w:rFonts w:eastAsia="Times New Roman" w:cs="Times New Roman"/>
                <w:color w:val="000000"/>
                <w:sz w:val="20"/>
                <w:szCs w:val="20"/>
                <w:lang w:val="mk-MK"/>
              </w:rPr>
              <w:t xml:space="preserve"> (20%) </w:t>
            </w:r>
          </w:p>
        </w:tc>
        <w:tc>
          <w:tcPr>
            <w:tcW w:w="1223" w:type="dxa"/>
            <w:tcBorders>
              <w:top w:val="nil"/>
              <w:left w:val="nil"/>
              <w:bottom w:val="single" w:sz="4" w:space="0" w:color="auto"/>
              <w:right w:val="single" w:sz="4" w:space="0" w:color="auto"/>
            </w:tcBorders>
            <w:shd w:val="clear" w:color="auto" w:fill="auto"/>
            <w:vAlign w:val="center"/>
            <w:hideMark/>
          </w:tcPr>
          <w:p w14:paraId="27C1547F"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w:t>
            </w:r>
          </w:p>
        </w:tc>
        <w:tc>
          <w:tcPr>
            <w:tcW w:w="1102" w:type="dxa"/>
            <w:tcBorders>
              <w:top w:val="nil"/>
              <w:left w:val="nil"/>
              <w:bottom w:val="single" w:sz="4" w:space="0" w:color="auto"/>
              <w:right w:val="single" w:sz="4" w:space="0" w:color="auto"/>
            </w:tcBorders>
            <w:shd w:val="clear" w:color="auto" w:fill="auto"/>
            <w:vAlign w:val="center"/>
            <w:hideMark/>
          </w:tcPr>
          <w:p w14:paraId="3ED363CE" w14:textId="77777777" w:rsidR="007947BF" w:rsidRPr="008662BF" w:rsidRDefault="007947BF"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0CF50849" w14:textId="77777777" w:rsidTr="0090166E">
        <w:tc>
          <w:tcPr>
            <w:tcW w:w="2223" w:type="dxa"/>
            <w:vMerge w:val="restart"/>
            <w:tcBorders>
              <w:top w:val="nil"/>
              <w:left w:val="single" w:sz="4" w:space="0" w:color="auto"/>
              <w:right w:val="single" w:sz="4" w:space="0" w:color="auto"/>
            </w:tcBorders>
            <w:shd w:val="clear" w:color="auto" w:fill="auto"/>
            <w:vAlign w:val="center"/>
            <w:hideMark/>
          </w:tcPr>
          <w:p w14:paraId="35A53156"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Приватна научна установа Институт за современи композити и роботика Прилеп</w:t>
            </w:r>
          </w:p>
        </w:tc>
        <w:tc>
          <w:tcPr>
            <w:tcW w:w="388" w:type="dxa"/>
            <w:tcBorders>
              <w:top w:val="nil"/>
              <w:left w:val="nil"/>
              <w:bottom w:val="single" w:sz="4" w:space="0" w:color="auto"/>
              <w:right w:val="single" w:sz="4" w:space="0" w:color="auto"/>
            </w:tcBorders>
            <w:shd w:val="clear" w:color="auto" w:fill="auto"/>
            <w:hideMark/>
          </w:tcPr>
          <w:p w14:paraId="1D62739B"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82</w:t>
            </w:r>
          </w:p>
        </w:tc>
        <w:tc>
          <w:tcPr>
            <w:tcW w:w="4536" w:type="dxa"/>
            <w:tcBorders>
              <w:top w:val="nil"/>
              <w:left w:val="nil"/>
              <w:bottom w:val="single" w:sz="4" w:space="0" w:color="auto"/>
              <w:right w:val="single" w:sz="4" w:space="0" w:color="auto"/>
            </w:tcBorders>
            <w:shd w:val="clear" w:color="auto" w:fill="auto"/>
            <w:hideMark/>
          </w:tcPr>
          <w:p w14:paraId="64F9C019" w14:textId="77777777" w:rsidR="00E1385A" w:rsidRPr="008662BF" w:rsidRDefault="00E1385A"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Опрема за сечење</w:t>
            </w:r>
          </w:p>
          <w:p w14:paraId="5C4B6129" w14:textId="77777777" w:rsidR="00E1385A" w:rsidRPr="008662BF" w:rsidRDefault="00E1385A"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Тип - NSU-300D-2R</w:t>
            </w:r>
          </w:p>
        </w:tc>
        <w:tc>
          <w:tcPr>
            <w:tcW w:w="1275" w:type="dxa"/>
            <w:tcBorders>
              <w:top w:val="nil"/>
              <w:left w:val="nil"/>
              <w:bottom w:val="single" w:sz="4" w:space="0" w:color="auto"/>
              <w:right w:val="single" w:sz="4" w:space="0" w:color="auto"/>
            </w:tcBorders>
            <w:shd w:val="clear" w:color="auto" w:fill="auto"/>
            <w:hideMark/>
          </w:tcPr>
          <w:p w14:paraId="52DB592E"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181.500</w:t>
            </w:r>
          </w:p>
        </w:tc>
        <w:tc>
          <w:tcPr>
            <w:tcW w:w="1134" w:type="dxa"/>
            <w:tcBorders>
              <w:top w:val="nil"/>
              <w:left w:val="nil"/>
              <w:bottom w:val="single" w:sz="4" w:space="0" w:color="auto"/>
              <w:right w:val="single" w:sz="4" w:space="0" w:color="auto"/>
            </w:tcBorders>
            <w:shd w:val="clear" w:color="auto" w:fill="auto"/>
            <w:hideMark/>
          </w:tcPr>
          <w:p w14:paraId="43F91A25"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2013</w:t>
            </w:r>
          </w:p>
        </w:tc>
        <w:tc>
          <w:tcPr>
            <w:tcW w:w="2839" w:type="dxa"/>
            <w:tcBorders>
              <w:top w:val="nil"/>
              <w:left w:val="nil"/>
              <w:bottom w:val="single" w:sz="4" w:space="0" w:color="auto"/>
              <w:right w:val="single" w:sz="4" w:space="0" w:color="auto"/>
            </w:tcBorders>
            <w:shd w:val="clear" w:color="auto" w:fill="auto"/>
            <w:hideMark/>
          </w:tcPr>
          <w:p w14:paraId="466CCE84"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vAlign w:val="center"/>
            <w:hideMark/>
          </w:tcPr>
          <w:p w14:paraId="573B65F5"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02" w:type="dxa"/>
            <w:tcBorders>
              <w:top w:val="nil"/>
              <w:left w:val="nil"/>
              <w:bottom w:val="single" w:sz="4" w:space="0" w:color="auto"/>
              <w:right w:val="single" w:sz="4" w:space="0" w:color="auto"/>
            </w:tcBorders>
            <w:shd w:val="clear" w:color="auto" w:fill="auto"/>
            <w:vAlign w:val="center"/>
            <w:hideMark/>
          </w:tcPr>
          <w:p w14:paraId="1CC35733"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5</w:t>
            </w:r>
          </w:p>
        </w:tc>
      </w:tr>
      <w:tr w:rsidR="005C06A9" w:rsidRPr="008662BF" w14:paraId="1785B177" w14:textId="77777777" w:rsidTr="00E1385A">
        <w:tc>
          <w:tcPr>
            <w:tcW w:w="2192" w:type="dxa"/>
            <w:vMerge/>
            <w:tcBorders>
              <w:left w:val="single" w:sz="4" w:space="0" w:color="auto"/>
              <w:right w:val="single" w:sz="4" w:space="0" w:color="auto"/>
            </w:tcBorders>
            <w:vAlign w:val="center"/>
            <w:hideMark/>
          </w:tcPr>
          <w:p w14:paraId="2F4B9A4F" w14:textId="77777777" w:rsidR="00E1385A" w:rsidRPr="008662BF" w:rsidRDefault="00E1385A" w:rsidP="00E1385A">
            <w:pPr>
              <w:spacing w:after="0" w:line="240" w:lineRule="auto"/>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hideMark/>
          </w:tcPr>
          <w:p w14:paraId="026B8E9D"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83</w:t>
            </w:r>
          </w:p>
        </w:tc>
        <w:tc>
          <w:tcPr>
            <w:tcW w:w="4536" w:type="dxa"/>
            <w:tcBorders>
              <w:top w:val="nil"/>
              <w:left w:val="nil"/>
              <w:bottom w:val="single" w:sz="4" w:space="0" w:color="auto"/>
              <w:right w:val="single" w:sz="4" w:space="0" w:color="auto"/>
            </w:tcBorders>
            <w:shd w:val="clear" w:color="auto" w:fill="auto"/>
            <w:hideMark/>
          </w:tcPr>
          <w:p w14:paraId="734ABC34" w14:textId="77777777" w:rsidR="00E1385A" w:rsidRPr="008662BF" w:rsidRDefault="00E1385A"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AFP/ATL Роботска машина </w:t>
            </w:r>
            <w:r w:rsidRPr="008662BF">
              <w:rPr>
                <w:rFonts w:eastAsia="Times New Roman" w:cs="Times New Roman"/>
                <w:color w:val="000000"/>
                <w:sz w:val="20"/>
                <w:szCs w:val="20"/>
                <w:lang w:val="mk-MK"/>
              </w:rPr>
              <w:br/>
              <w:t>Тип - AFP Libra - MRFP-4T64</w:t>
            </w:r>
          </w:p>
        </w:tc>
        <w:tc>
          <w:tcPr>
            <w:tcW w:w="1275" w:type="dxa"/>
            <w:tcBorders>
              <w:top w:val="nil"/>
              <w:left w:val="nil"/>
              <w:bottom w:val="single" w:sz="4" w:space="0" w:color="auto"/>
              <w:right w:val="single" w:sz="4" w:space="0" w:color="auto"/>
            </w:tcBorders>
            <w:shd w:val="clear" w:color="auto" w:fill="auto"/>
            <w:hideMark/>
          </w:tcPr>
          <w:p w14:paraId="15230650"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916.082</w:t>
            </w:r>
          </w:p>
        </w:tc>
        <w:tc>
          <w:tcPr>
            <w:tcW w:w="1134" w:type="dxa"/>
            <w:tcBorders>
              <w:top w:val="nil"/>
              <w:left w:val="nil"/>
              <w:bottom w:val="single" w:sz="4" w:space="0" w:color="auto"/>
              <w:right w:val="single" w:sz="4" w:space="0" w:color="auto"/>
            </w:tcBorders>
            <w:shd w:val="clear" w:color="auto" w:fill="auto"/>
            <w:hideMark/>
          </w:tcPr>
          <w:p w14:paraId="7BB5F95C"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tcBorders>
              <w:top w:val="nil"/>
              <w:left w:val="nil"/>
              <w:bottom w:val="single" w:sz="4" w:space="0" w:color="auto"/>
              <w:right w:val="single" w:sz="4" w:space="0" w:color="auto"/>
            </w:tcBorders>
            <w:shd w:val="clear" w:color="auto" w:fill="auto"/>
            <w:hideMark/>
          </w:tcPr>
          <w:p w14:paraId="0F2C3782"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Други извори – Договор за деловна соработка со сопственикот</w:t>
            </w:r>
          </w:p>
        </w:tc>
        <w:tc>
          <w:tcPr>
            <w:tcW w:w="1223" w:type="dxa"/>
            <w:tcBorders>
              <w:top w:val="nil"/>
              <w:left w:val="nil"/>
              <w:bottom w:val="single" w:sz="4" w:space="0" w:color="auto"/>
              <w:right w:val="single" w:sz="4" w:space="0" w:color="auto"/>
            </w:tcBorders>
            <w:shd w:val="clear" w:color="auto" w:fill="auto"/>
            <w:vAlign w:val="center"/>
            <w:hideMark/>
          </w:tcPr>
          <w:p w14:paraId="2E5A3E16"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38" w:type="dxa"/>
            <w:tcBorders>
              <w:top w:val="nil"/>
              <w:left w:val="nil"/>
              <w:bottom w:val="single" w:sz="4" w:space="0" w:color="auto"/>
              <w:right w:val="single" w:sz="4" w:space="0" w:color="auto"/>
            </w:tcBorders>
            <w:shd w:val="clear" w:color="auto" w:fill="auto"/>
            <w:vAlign w:val="center"/>
            <w:hideMark/>
          </w:tcPr>
          <w:p w14:paraId="570C8CE2"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r>
      <w:tr w:rsidR="005C06A9" w:rsidRPr="008662BF" w14:paraId="2BE8CB8F" w14:textId="77777777" w:rsidTr="0090166E">
        <w:tc>
          <w:tcPr>
            <w:tcW w:w="2192" w:type="dxa"/>
            <w:vMerge/>
            <w:tcBorders>
              <w:left w:val="single" w:sz="4" w:space="0" w:color="auto"/>
              <w:right w:val="single" w:sz="4" w:space="0" w:color="auto"/>
            </w:tcBorders>
            <w:vAlign w:val="center"/>
            <w:hideMark/>
          </w:tcPr>
          <w:p w14:paraId="7EF5E344" w14:textId="77777777" w:rsidR="00E1385A" w:rsidRPr="008662BF" w:rsidRDefault="00E1385A" w:rsidP="00E1385A">
            <w:pPr>
              <w:spacing w:after="0" w:line="240" w:lineRule="auto"/>
              <w:rPr>
                <w:rFonts w:eastAsia="Times New Roman" w:cs="Times New Roman"/>
                <w:color w:val="000000"/>
                <w:sz w:val="20"/>
                <w:szCs w:val="20"/>
                <w:lang w:val="mk-MK"/>
              </w:rPr>
            </w:pPr>
          </w:p>
        </w:tc>
        <w:tc>
          <w:tcPr>
            <w:tcW w:w="383" w:type="dxa"/>
            <w:tcBorders>
              <w:top w:val="nil"/>
              <w:left w:val="nil"/>
              <w:bottom w:val="nil"/>
              <w:right w:val="single" w:sz="4" w:space="0" w:color="auto"/>
            </w:tcBorders>
            <w:shd w:val="clear" w:color="auto" w:fill="auto"/>
            <w:hideMark/>
          </w:tcPr>
          <w:p w14:paraId="3A1C9B05"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84</w:t>
            </w:r>
          </w:p>
        </w:tc>
        <w:tc>
          <w:tcPr>
            <w:tcW w:w="4536" w:type="dxa"/>
            <w:vMerge w:val="restart"/>
            <w:tcBorders>
              <w:top w:val="single" w:sz="4" w:space="0" w:color="auto"/>
              <w:left w:val="nil"/>
              <w:right w:val="single" w:sz="4" w:space="0" w:color="auto"/>
            </w:tcBorders>
            <w:shd w:val="clear" w:color="auto" w:fill="auto"/>
            <w:hideMark/>
          </w:tcPr>
          <w:p w14:paraId="7673D745" w14:textId="77777777" w:rsidR="00E1385A" w:rsidRPr="008662BF" w:rsidRDefault="00E1385A" w:rsidP="00E1385A">
            <w:pPr>
              <w:spacing w:after="0" w:line="240" w:lineRule="auto"/>
              <w:rPr>
                <w:rFonts w:eastAsia="Times New Roman" w:cs="Times New Roman"/>
                <w:color w:val="000000"/>
                <w:sz w:val="20"/>
                <w:szCs w:val="20"/>
                <w:lang w:val="mk-MK"/>
              </w:rPr>
            </w:pPr>
            <w:r w:rsidRPr="008662BF">
              <w:rPr>
                <w:rFonts w:eastAsia="Times New Roman" w:cs="Times New Roman"/>
                <w:color w:val="000000"/>
                <w:sz w:val="20"/>
                <w:szCs w:val="20"/>
                <w:lang w:val="mk-MK"/>
              </w:rPr>
              <w:t xml:space="preserve">Диоден ласер </w:t>
            </w:r>
            <w:r w:rsidRPr="008662BF">
              <w:rPr>
                <w:rFonts w:eastAsia="Times New Roman" w:cs="Times New Roman"/>
                <w:color w:val="000000"/>
                <w:sz w:val="20"/>
                <w:szCs w:val="20"/>
                <w:lang w:val="mk-MK"/>
              </w:rPr>
              <w:br/>
              <w:t>Тип - LDM 3000-100</w:t>
            </w:r>
          </w:p>
        </w:tc>
        <w:tc>
          <w:tcPr>
            <w:tcW w:w="1275" w:type="dxa"/>
            <w:vMerge w:val="restart"/>
            <w:tcBorders>
              <w:top w:val="single" w:sz="4" w:space="0" w:color="auto"/>
              <w:left w:val="nil"/>
              <w:right w:val="single" w:sz="4" w:space="0" w:color="auto"/>
            </w:tcBorders>
            <w:shd w:val="clear" w:color="auto" w:fill="auto"/>
            <w:hideMark/>
          </w:tcPr>
          <w:p w14:paraId="551664B5"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109.337</w:t>
            </w:r>
          </w:p>
        </w:tc>
        <w:tc>
          <w:tcPr>
            <w:tcW w:w="1134" w:type="dxa"/>
            <w:vMerge w:val="restart"/>
            <w:tcBorders>
              <w:top w:val="single" w:sz="4" w:space="0" w:color="auto"/>
              <w:left w:val="nil"/>
              <w:right w:val="single" w:sz="4" w:space="0" w:color="auto"/>
            </w:tcBorders>
            <w:shd w:val="clear" w:color="auto" w:fill="auto"/>
            <w:hideMark/>
          </w:tcPr>
          <w:p w14:paraId="57224A4C"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2018</w:t>
            </w:r>
          </w:p>
        </w:tc>
        <w:tc>
          <w:tcPr>
            <w:tcW w:w="2839" w:type="dxa"/>
            <w:vMerge w:val="restart"/>
            <w:tcBorders>
              <w:top w:val="single" w:sz="4" w:space="0" w:color="auto"/>
              <w:left w:val="nil"/>
              <w:right w:val="single" w:sz="4" w:space="0" w:color="auto"/>
            </w:tcBorders>
            <w:shd w:val="clear" w:color="auto" w:fill="auto"/>
            <w:hideMark/>
          </w:tcPr>
          <w:p w14:paraId="59891794" w14:textId="77777777" w:rsidR="00E1385A" w:rsidRPr="008662BF" w:rsidRDefault="00E1385A" w:rsidP="00E1385A">
            <w:pPr>
              <w:spacing w:line="240" w:lineRule="auto"/>
              <w:jc w:val="center"/>
              <w:rPr>
                <w:sz w:val="20"/>
                <w:szCs w:val="20"/>
                <w:lang w:val="mk-MK"/>
              </w:rPr>
            </w:pPr>
            <w:r w:rsidRPr="008662BF">
              <w:rPr>
                <w:sz w:val="20"/>
                <w:szCs w:val="20"/>
                <w:lang w:val="mk-MK"/>
              </w:rPr>
              <w:t>Други извори – Договор за деловна соработка со сопственикот</w:t>
            </w:r>
          </w:p>
        </w:tc>
        <w:tc>
          <w:tcPr>
            <w:tcW w:w="1223" w:type="dxa"/>
            <w:vMerge w:val="restart"/>
            <w:tcBorders>
              <w:top w:val="single" w:sz="4" w:space="0" w:color="auto"/>
              <w:left w:val="nil"/>
              <w:right w:val="single" w:sz="4" w:space="0" w:color="auto"/>
            </w:tcBorders>
            <w:shd w:val="clear" w:color="auto" w:fill="auto"/>
            <w:vAlign w:val="center"/>
            <w:hideMark/>
          </w:tcPr>
          <w:p w14:paraId="7B5A7E06"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20</w:t>
            </w:r>
          </w:p>
        </w:tc>
        <w:tc>
          <w:tcPr>
            <w:tcW w:w="1138" w:type="dxa"/>
            <w:vMerge w:val="restart"/>
            <w:tcBorders>
              <w:top w:val="single" w:sz="4" w:space="0" w:color="auto"/>
              <w:left w:val="nil"/>
              <w:right w:val="single" w:sz="4" w:space="0" w:color="auto"/>
            </w:tcBorders>
            <w:shd w:val="clear" w:color="auto" w:fill="auto"/>
            <w:vAlign w:val="center"/>
            <w:hideMark/>
          </w:tcPr>
          <w:p w14:paraId="59A1B6A5" w14:textId="77777777" w:rsidR="00E1385A" w:rsidRPr="008662BF" w:rsidRDefault="00E1385A" w:rsidP="00E1385A">
            <w:pPr>
              <w:spacing w:after="0" w:line="240" w:lineRule="auto"/>
              <w:jc w:val="center"/>
              <w:rPr>
                <w:rFonts w:eastAsia="Times New Roman" w:cs="Times New Roman"/>
                <w:color w:val="000000"/>
                <w:sz w:val="20"/>
                <w:szCs w:val="20"/>
                <w:lang w:val="mk-MK"/>
              </w:rPr>
            </w:pPr>
            <w:r w:rsidRPr="008662BF">
              <w:rPr>
                <w:rFonts w:eastAsia="Times New Roman" w:cs="Times New Roman"/>
                <w:color w:val="000000"/>
                <w:sz w:val="20"/>
                <w:szCs w:val="20"/>
                <w:lang w:val="mk-MK"/>
              </w:rPr>
              <w:t>7</w:t>
            </w:r>
          </w:p>
        </w:tc>
      </w:tr>
      <w:tr w:rsidR="005C06A9" w:rsidRPr="008662BF" w14:paraId="793EA6DF" w14:textId="77777777" w:rsidTr="00E1385A">
        <w:trPr>
          <w:trHeight w:val="527"/>
        </w:trPr>
        <w:tc>
          <w:tcPr>
            <w:tcW w:w="2192" w:type="dxa"/>
            <w:vMerge/>
            <w:tcBorders>
              <w:left w:val="single" w:sz="4" w:space="0" w:color="auto"/>
              <w:bottom w:val="single" w:sz="4" w:space="0" w:color="auto"/>
              <w:right w:val="single" w:sz="4" w:space="0" w:color="auto"/>
            </w:tcBorders>
            <w:vAlign w:val="center"/>
          </w:tcPr>
          <w:p w14:paraId="1CD5EAD8" w14:textId="77777777" w:rsidR="00E1385A" w:rsidRPr="008662BF" w:rsidRDefault="00E1385A" w:rsidP="00E1385A">
            <w:pPr>
              <w:spacing w:after="0" w:line="240" w:lineRule="auto"/>
              <w:rPr>
                <w:rFonts w:eastAsia="Times New Roman" w:cs="Times New Roman"/>
                <w:color w:val="000000"/>
                <w:sz w:val="20"/>
                <w:szCs w:val="20"/>
                <w:lang w:val="mk-MK"/>
              </w:rPr>
            </w:pPr>
          </w:p>
        </w:tc>
        <w:tc>
          <w:tcPr>
            <w:tcW w:w="383" w:type="dxa"/>
            <w:tcBorders>
              <w:top w:val="nil"/>
              <w:left w:val="nil"/>
              <w:bottom w:val="single" w:sz="4" w:space="0" w:color="auto"/>
              <w:right w:val="single" w:sz="4" w:space="0" w:color="auto"/>
            </w:tcBorders>
            <w:shd w:val="clear" w:color="auto" w:fill="auto"/>
          </w:tcPr>
          <w:p w14:paraId="559F154B" w14:textId="77777777" w:rsidR="00E1385A" w:rsidRPr="008662BF" w:rsidRDefault="00E1385A" w:rsidP="00E1385A">
            <w:pPr>
              <w:spacing w:after="0" w:line="240" w:lineRule="auto"/>
              <w:jc w:val="center"/>
              <w:rPr>
                <w:rFonts w:eastAsia="Times New Roman" w:cs="Times New Roman"/>
                <w:color w:val="000000"/>
                <w:sz w:val="20"/>
                <w:szCs w:val="20"/>
                <w:lang w:val="mk-MK"/>
              </w:rPr>
            </w:pPr>
          </w:p>
        </w:tc>
        <w:tc>
          <w:tcPr>
            <w:tcW w:w="4536" w:type="dxa"/>
            <w:vMerge/>
            <w:tcBorders>
              <w:left w:val="nil"/>
              <w:bottom w:val="single" w:sz="4" w:space="0" w:color="auto"/>
              <w:right w:val="single" w:sz="4" w:space="0" w:color="auto"/>
            </w:tcBorders>
            <w:shd w:val="clear" w:color="auto" w:fill="auto"/>
          </w:tcPr>
          <w:p w14:paraId="5300BA42" w14:textId="77777777" w:rsidR="00E1385A" w:rsidRPr="008662BF" w:rsidRDefault="00E1385A" w:rsidP="00E1385A">
            <w:pPr>
              <w:spacing w:line="240" w:lineRule="auto"/>
              <w:rPr>
                <w:lang w:val="mk-MK"/>
              </w:rPr>
            </w:pPr>
          </w:p>
        </w:tc>
        <w:tc>
          <w:tcPr>
            <w:tcW w:w="1275" w:type="dxa"/>
            <w:vMerge/>
            <w:tcBorders>
              <w:left w:val="nil"/>
              <w:bottom w:val="single" w:sz="4" w:space="0" w:color="auto"/>
              <w:right w:val="single" w:sz="4" w:space="0" w:color="auto"/>
            </w:tcBorders>
            <w:shd w:val="clear" w:color="auto" w:fill="auto"/>
          </w:tcPr>
          <w:p w14:paraId="5DF651E9" w14:textId="77777777" w:rsidR="00E1385A" w:rsidRPr="008662BF" w:rsidRDefault="00E1385A" w:rsidP="00E1385A">
            <w:pPr>
              <w:spacing w:after="0" w:line="240" w:lineRule="auto"/>
              <w:jc w:val="center"/>
              <w:rPr>
                <w:rFonts w:eastAsia="Times New Roman" w:cs="Times New Roman"/>
                <w:color w:val="000000"/>
                <w:sz w:val="20"/>
                <w:szCs w:val="20"/>
                <w:lang w:val="mk-MK"/>
              </w:rPr>
            </w:pPr>
          </w:p>
        </w:tc>
        <w:tc>
          <w:tcPr>
            <w:tcW w:w="1134" w:type="dxa"/>
            <w:vMerge/>
            <w:tcBorders>
              <w:left w:val="nil"/>
              <w:bottom w:val="single" w:sz="4" w:space="0" w:color="auto"/>
              <w:right w:val="single" w:sz="4" w:space="0" w:color="auto"/>
            </w:tcBorders>
            <w:shd w:val="clear" w:color="auto" w:fill="auto"/>
          </w:tcPr>
          <w:p w14:paraId="4DB152FA" w14:textId="77777777" w:rsidR="00E1385A" w:rsidRPr="008662BF" w:rsidRDefault="00E1385A" w:rsidP="00E1385A">
            <w:pPr>
              <w:spacing w:after="0" w:line="240" w:lineRule="auto"/>
              <w:jc w:val="center"/>
              <w:rPr>
                <w:rFonts w:eastAsia="Times New Roman" w:cs="Times New Roman"/>
                <w:color w:val="000000"/>
                <w:sz w:val="20"/>
                <w:szCs w:val="20"/>
                <w:lang w:val="mk-MK"/>
              </w:rPr>
            </w:pPr>
          </w:p>
        </w:tc>
        <w:tc>
          <w:tcPr>
            <w:tcW w:w="2839" w:type="dxa"/>
            <w:vMerge/>
            <w:tcBorders>
              <w:left w:val="nil"/>
              <w:bottom w:val="single" w:sz="4" w:space="0" w:color="auto"/>
              <w:right w:val="single" w:sz="4" w:space="0" w:color="auto"/>
            </w:tcBorders>
            <w:shd w:val="clear" w:color="auto" w:fill="auto"/>
          </w:tcPr>
          <w:p w14:paraId="26C919E9" w14:textId="77777777" w:rsidR="00E1385A" w:rsidRPr="008662BF" w:rsidRDefault="00E1385A" w:rsidP="00E1385A">
            <w:pPr>
              <w:spacing w:line="240" w:lineRule="auto"/>
              <w:rPr>
                <w:sz w:val="20"/>
                <w:szCs w:val="20"/>
                <w:lang w:val="mk-MK"/>
              </w:rPr>
            </w:pPr>
          </w:p>
        </w:tc>
        <w:tc>
          <w:tcPr>
            <w:tcW w:w="1223" w:type="dxa"/>
            <w:vMerge/>
            <w:tcBorders>
              <w:left w:val="nil"/>
              <w:bottom w:val="single" w:sz="4" w:space="0" w:color="auto"/>
              <w:right w:val="single" w:sz="4" w:space="0" w:color="auto"/>
            </w:tcBorders>
            <w:shd w:val="clear" w:color="auto" w:fill="auto"/>
            <w:vAlign w:val="center"/>
          </w:tcPr>
          <w:p w14:paraId="0BF3D85D" w14:textId="77777777" w:rsidR="00E1385A" w:rsidRPr="008662BF" w:rsidRDefault="00E1385A" w:rsidP="00E1385A">
            <w:pPr>
              <w:spacing w:after="0" w:line="240" w:lineRule="auto"/>
              <w:jc w:val="center"/>
              <w:rPr>
                <w:rFonts w:eastAsia="Times New Roman" w:cs="Times New Roman"/>
                <w:color w:val="000000"/>
                <w:sz w:val="20"/>
                <w:szCs w:val="20"/>
                <w:lang w:val="mk-MK"/>
              </w:rPr>
            </w:pPr>
          </w:p>
        </w:tc>
        <w:tc>
          <w:tcPr>
            <w:tcW w:w="1138" w:type="dxa"/>
            <w:vMerge/>
            <w:tcBorders>
              <w:left w:val="nil"/>
              <w:bottom w:val="single" w:sz="4" w:space="0" w:color="auto"/>
              <w:right w:val="single" w:sz="4" w:space="0" w:color="auto"/>
            </w:tcBorders>
            <w:shd w:val="clear" w:color="auto" w:fill="auto"/>
            <w:vAlign w:val="center"/>
          </w:tcPr>
          <w:p w14:paraId="24C01DA9" w14:textId="77777777" w:rsidR="00E1385A" w:rsidRPr="008662BF" w:rsidRDefault="00E1385A" w:rsidP="00E1385A">
            <w:pPr>
              <w:spacing w:after="0" w:line="240" w:lineRule="auto"/>
              <w:jc w:val="center"/>
              <w:rPr>
                <w:rFonts w:eastAsia="Times New Roman" w:cs="Times New Roman"/>
                <w:color w:val="000000"/>
                <w:sz w:val="20"/>
                <w:szCs w:val="20"/>
                <w:lang w:val="mk-MK"/>
              </w:rPr>
            </w:pPr>
          </w:p>
        </w:tc>
      </w:tr>
      <w:tr w:rsidR="005C06A9" w:rsidRPr="008662BF" w14:paraId="0D301592" w14:textId="77777777" w:rsidTr="00E1385A">
        <w:tc>
          <w:tcPr>
            <w:tcW w:w="2192" w:type="dxa"/>
            <w:vMerge w:val="restart"/>
            <w:tcBorders>
              <w:top w:val="nil"/>
              <w:left w:val="single" w:sz="4" w:space="0" w:color="auto"/>
              <w:right w:val="single" w:sz="4" w:space="0" w:color="auto"/>
            </w:tcBorders>
            <w:vAlign w:val="center"/>
          </w:tcPr>
          <w:p w14:paraId="7394A7FA" w14:textId="77777777" w:rsidR="006C2AE9" w:rsidRPr="008662BF" w:rsidRDefault="006C2AE9"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Истражувачки центар за генетско инженерство и биотехнологија </w:t>
            </w:r>
            <w:r w:rsidR="00667DE4">
              <w:rPr>
                <w:rFonts w:eastAsia="Times New Roman" w:cs="Times New Roman"/>
                <w:sz w:val="20"/>
                <w:szCs w:val="20"/>
                <w:lang w:val="mk-MK"/>
              </w:rPr>
              <w:t>„</w:t>
            </w:r>
            <w:r w:rsidRPr="008662BF">
              <w:rPr>
                <w:rFonts w:eastAsia="Times New Roman" w:cs="Times New Roman"/>
                <w:sz w:val="20"/>
                <w:szCs w:val="20"/>
                <w:lang w:val="mk-MK"/>
              </w:rPr>
              <w:t>Георги Д. Ефремов</w:t>
            </w:r>
            <w:r w:rsidR="00667DE4">
              <w:rPr>
                <w:rFonts w:eastAsia="Times New Roman" w:cs="Times New Roman"/>
                <w:sz w:val="20"/>
                <w:szCs w:val="20"/>
                <w:lang w:val="mk-MK"/>
              </w:rPr>
              <w:t>“,</w:t>
            </w:r>
          </w:p>
          <w:p w14:paraId="28FD2279" w14:textId="77777777" w:rsidR="006C2AE9" w:rsidRPr="008662BF" w:rsidRDefault="006C2AE9"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lastRenderedPageBreak/>
              <w:t xml:space="preserve">Македонска академија на науките и уметностите </w:t>
            </w:r>
          </w:p>
          <w:p w14:paraId="12205127"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7CD60CCC"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lastRenderedPageBreak/>
              <w:t>85</w:t>
            </w:r>
          </w:p>
        </w:tc>
        <w:tc>
          <w:tcPr>
            <w:tcW w:w="4536" w:type="dxa"/>
            <w:tcBorders>
              <w:top w:val="nil"/>
              <w:left w:val="nil"/>
              <w:bottom w:val="single" w:sz="4" w:space="0" w:color="auto"/>
              <w:right w:val="single" w:sz="4" w:space="0" w:color="auto"/>
            </w:tcBorders>
            <w:shd w:val="clear" w:color="auto" w:fill="auto"/>
          </w:tcPr>
          <w:p w14:paraId="3AB5E0D3"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Микроарејен систем за скенирање на ДНК (High-Res-Microarray), Agilent </w:t>
            </w:r>
          </w:p>
        </w:tc>
        <w:tc>
          <w:tcPr>
            <w:tcW w:w="1275" w:type="dxa"/>
            <w:tcBorders>
              <w:top w:val="nil"/>
              <w:left w:val="nil"/>
              <w:bottom w:val="single" w:sz="4" w:space="0" w:color="auto"/>
              <w:right w:val="single" w:sz="4" w:space="0" w:color="auto"/>
            </w:tcBorders>
            <w:shd w:val="clear" w:color="auto" w:fill="auto"/>
          </w:tcPr>
          <w:p w14:paraId="6E7EDC16"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98.000</w:t>
            </w:r>
          </w:p>
        </w:tc>
        <w:tc>
          <w:tcPr>
            <w:tcW w:w="1134" w:type="dxa"/>
            <w:tcBorders>
              <w:top w:val="nil"/>
              <w:left w:val="nil"/>
              <w:bottom w:val="single" w:sz="4" w:space="0" w:color="auto"/>
              <w:right w:val="single" w:sz="4" w:space="0" w:color="auto"/>
            </w:tcBorders>
            <w:shd w:val="clear" w:color="auto" w:fill="auto"/>
          </w:tcPr>
          <w:p w14:paraId="13CE253E"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2009</w:t>
            </w:r>
          </w:p>
        </w:tc>
        <w:tc>
          <w:tcPr>
            <w:tcW w:w="2839" w:type="dxa"/>
            <w:tcBorders>
              <w:top w:val="nil"/>
              <w:left w:val="nil"/>
              <w:bottom w:val="single" w:sz="4" w:space="0" w:color="auto"/>
              <w:right w:val="single" w:sz="4" w:space="0" w:color="auto"/>
            </w:tcBorders>
            <w:shd w:val="clear" w:color="auto" w:fill="auto"/>
          </w:tcPr>
          <w:p w14:paraId="667768B4" w14:textId="77777777" w:rsidR="007947BF" w:rsidRPr="008662BF" w:rsidRDefault="001E3F31"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 xml:space="preserve">Грант од ЕУ </w:t>
            </w:r>
            <w:r w:rsidR="007947BF" w:rsidRPr="008662BF">
              <w:rPr>
                <w:rFonts w:eastAsia="Times New Roman" w:cs="Times New Roman"/>
                <w:sz w:val="20"/>
                <w:szCs w:val="20"/>
                <w:lang w:val="mk-MK"/>
              </w:rPr>
              <w:t>(REGPOT)</w:t>
            </w:r>
          </w:p>
        </w:tc>
        <w:tc>
          <w:tcPr>
            <w:tcW w:w="1223" w:type="dxa"/>
            <w:tcBorders>
              <w:top w:val="nil"/>
              <w:left w:val="nil"/>
              <w:bottom w:val="single" w:sz="4" w:space="0" w:color="auto"/>
              <w:right w:val="single" w:sz="4" w:space="0" w:color="auto"/>
            </w:tcBorders>
            <w:shd w:val="clear" w:color="auto" w:fill="auto"/>
            <w:vAlign w:val="center"/>
          </w:tcPr>
          <w:p w14:paraId="0DF8AF8A"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1872F510"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r>
      <w:tr w:rsidR="005C06A9" w:rsidRPr="008662BF" w14:paraId="311A1910" w14:textId="77777777" w:rsidTr="00E1385A">
        <w:tc>
          <w:tcPr>
            <w:tcW w:w="2192" w:type="dxa"/>
            <w:vMerge/>
            <w:tcBorders>
              <w:left w:val="single" w:sz="4" w:space="0" w:color="auto"/>
              <w:right w:val="single" w:sz="4" w:space="0" w:color="auto"/>
            </w:tcBorders>
            <w:vAlign w:val="center"/>
          </w:tcPr>
          <w:p w14:paraId="08B842B5"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1FE3C3DE"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86</w:t>
            </w:r>
          </w:p>
        </w:tc>
        <w:tc>
          <w:tcPr>
            <w:tcW w:w="4536" w:type="dxa"/>
            <w:tcBorders>
              <w:top w:val="nil"/>
              <w:left w:val="nil"/>
              <w:bottom w:val="single" w:sz="4" w:space="0" w:color="auto"/>
              <w:right w:val="single" w:sz="4" w:space="0" w:color="auto"/>
            </w:tcBorders>
            <w:shd w:val="clear" w:color="auto" w:fill="auto"/>
          </w:tcPr>
          <w:p w14:paraId="7FDDD245" w14:textId="77777777" w:rsidR="007947BF" w:rsidRPr="008662BF" w:rsidRDefault="007947BF"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MiSeq </w:t>
            </w:r>
            <w:r w:rsidR="00490E2C" w:rsidRPr="008662BF">
              <w:rPr>
                <w:rFonts w:eastAsia="Times New Roman" w:cs="Times New Roman"/>
                <w:sz w:val="20"/>
                <w:szCs w:val="20"/>
                <w:lang w:val="mk-MK"/>
              </w:rPr>
              <w:t>персонален секвенсер, Illumina</w:t>
            </w:r>
          </w:p>
        </w:tc>
        <w:tc>
          <w:tcPr>
            <w:tcW w:w="1275" w:type="dxa"/>
            <w:tcBorders>
              <w:top w:val="nil"/>
              <w:left w:val="nil"/>
              <w:bottom w:val="single" w:sz="4" w:space="0" w:color="auto"/>
              <w:right w:val="single" w:sz="4" w:space="0" w:color="auto"/>
            </w:tcBorders>
            <w:shd w:val="clear" w:color="auto" w:fill="auto"/>
          </w:tcPr>
          <w:p w14:paraId="7BD88ADD"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120.000</w:t>
            </w:r>
          </w:p>
        </w:tc>
        <w:tc>
          <w:tcPr>
            <w:tcW w:w="1134" w:type="dxa"/>
            <w:tcBorders>
              <w:top w:val="nil"/>
              <w:left w:val="nil"/>
              <w:bottom w:val="single" w:sz="4" w:space="0" w:color="auto"/>
              <w:right w:val="single" w:sz="4" w:space="0" w:color="auto"/>
            </w:tcBorders>
            <w:shd w:val="clear" w:color="auto" w:fill="auto"/>
          </w:tcPr>
          <w:p w14:paraId="3D542C68"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2012</w:t>
            </w:r>
          </w:p>
        </w:tc>
        <w:tc>
          <w:tcPr>
            <w:tcW w:w="2839" w:type="dxa"/>
            <w:tcBorders>
              <w:top w:val="nil"/>
              <w:left w:val="nil"/>
              <w:bottom w:val="single" w:sz="4" w:space="0" w:color="auto"/>
              <w:right w:val="single" w:sz="4" w:space="0" w:color="auto"/>
            </w:tcBorders>
            <w:shd w:val="clear" w:color="auto" w:fill="auto"/>
          </w:tcPr>
          <w:p w14:paraId="61386FD1" w14:textId="77777777" w:rsidR="007947BF" w:rsidRPr="008662BF" w:rsidRDefault="001E3F31"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 xml:space="preserve">Грант од ЕУ </w:t>
            </w:r>
            <w:r w:rsidR="007947BF" w:rsidRPr="008662BF">
              <w:rPr>
                <w:rFonts w:eastAsia="Times New Roman" w:cs="Times New Roman"/>
                <w:sz w:val="20"/>
                <w:szCs w:val="20"/>
                <w:lang w:val="mk-MK"/>
              </w:rPr>
              <w:t>(REGPOT)</w:t>
            </w:r>
          </w:p>
        </w:tc>
        <w:tc>
          <w:tcPr>
            <w:tcW w:w="1223" w:type="dxa"/>
            <w:tcBorders>
              <w:top w:val="nil"/>
              <w:left w:val="nil"/>
              <w:bottom w:val="single" w:sz="4" w:space="0" w:color="auto"/>
              <w:right w:val="single" w:sz="4" w:space="0" w:color="auto"/>
            </w:tcBorders>
            <w:shd w:val="clear" w:color="auto" w:fill="auto"/>
            <w:vAlign w:val="center"/>
          </w:tcPr>
          <w:p w14:paraId="4D267D31"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589D9997"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30</w:t>
            </w:r>
          </w:p>
        </w:tc>
      </w:tr>
      <w:tr w:rsidR="005C06A9" w:rsidRPr="008662BF" w14:paraId="3AEED64B" w14:textId="77777777" w:rsidTr="00E1385A">
        <w:tc>
          <w:tcPr>
            <w:tcW w:w="2192" w:type="dxa"/>
            <w:vMerge/>
            <w:tcBorders>
              <w:left w:val="single" w:sz="4" w:space="0" w:color="auto"/>
              <w:right w:val="single" w:sz="4" w:space="0" w:color="auto"/>
            </w:tcBorders>
            <w:vAlign w:val="center"/>
          </w:tcPr>
          <w:p w14:paraId="5140412B"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2910FDF7"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87</w:t>
            </w:r>
          </w:p>
        </w:tc>
        <w:tc>
          <w:tcPr>
            <w:tcW w:w="4536" w:type="dxa"/>
            <w:tcBorders>
              <w:top w:val="nil"/>
              <w:left w:val="nil"/>
              <w:bottom w:val="single" w:sz="4" w:space="0" w:color="auto"/>
              <w:right w:val="single" w:sz="4" w:space="0" w:color="auto"/>
            </w:tcBorders>
            <w:shd w:val="clear" w:color="auto" w:fill="auto"/>
          </w:tcPr>
          <w:p w14:paraId="0BEBC36D"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3130 Генетски анализатор со компјутер, Applied Biosystems </w:t>
            </w:r>
          </w:p>
        </w:tc>
        <w:tc>
          <w:tcPr>
            <w:tcW w:w="1275" w:type="dxa"/>
            <w:tcBorders>
              <w:top w:val="nil"/>
              <w:left w:val="nil"/>
              <w:bottom w:val="single" w:sz="4" w:space="0" w:color="auto"/>
              <w:right w:val="single" w:sz="4" w:space="0" w:color="auto"/>
            </w:tcBorders>
            <w:shd w:val="clear" w:color="auto" w:fill="auto"/>
          </w:tcPr>
          <w:p w14:paraId="6EB4E624"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91.100</w:t>
            </w:r>
          </w:p>
        </w:tc>
        <w:tc>
          <w:tcPr>
            <w:tcW w:w="1134" w:type="dxa"/>
            <w:tcBorders>
              <w:top w:val="nil"/>
              <w:left w:val="nil"/>
              <w:bottom w:val="single" w:sz="4" w:space="0" w:color="auto"/>
              <w:right w:val="single" w:sz="4" w:space="0" w:color="auto"/>
            </w:tcBorders>
            <w:shd w:val="clear" w:color="auto" w:fill="auto"/>
          </w:tcPr>
          <w:p w14:paraId="2CEDE01A"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2009</w:t>
            </w:r>
          </w:p>
        </w:tc>
        <w:tc>
          <w:tcPr>
            <w:tcW w:w="2839" w:type="dxa"/>
            <w:tcBorders>
              <w:top w:val="nil"/>
              <w:left w:val="nil"/>
              <w:bottom w:val="single" w:sz="4" w:space="0" w:color="auto"/>
              <w:right w:val="single" w:sz="4" w:space="0" w:color="auto"/>
            </w:tcBorders>
            <w:shd w:val="clear" w:color="auto" w:fill="auto"/>
          </w:tcPr>
          <w:p w14:paraId="3CBB0403" w14:textId="77777777" w:rsidR="007947BF" w:rsidRPr="008662BF" w:rsidRDefault="00A2244D"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vAlign w:val="center"/>
          </w:tcPr>
          <w:p w14:paraId="6D95B443"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233171FE"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30</w:t>
            </w:r>
          </w:p>
        </w:tc>
      </w:tr>
      <w:tr w:rsidR="005C06A9" w:rsidRPr="008662BF" w14:paraId="618A34C3" w14:textId="77777777" w:rsidTr="00E1385A">
        <w:tc>
          <w:tcPr>
            <w:tcW w:w="2192" w:type="dxa"/>
            <w:vMerge/>
            <w:tcBorders>
              <w:left w:val="single" w:sz="4" w:space="0" w:color="auto"/>
              <w:right w:val="single" w:sz="4" w:space="0" w:color="auto"/>
            </w:tcBorders>
            <w:vAlign w:val="center"/>
          </w:tcPr>
          <w:p w14:paraId="779FDDD9"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4B0ECF88"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88</w:t>
            </w:r>
          </w:p>
        </w:tc>
        <w:tc>
          <w:tcPr>
            <w:tcW w:w="4536" w:type="dxa"/>
            <w:tcBorders>
              <w:top w:val="nil"/>
              <w:left w:val="nil"/>
              <w:bottom w:val="single" w:sz="4" w:space="0" w:color="auto"/>
              <w:right w:val="single" w:sz="4" w:space="0" w:color="auto"/>
            </w:tcBorders>
            <w:shd w:val="clear" w:color="auto" w:fill="auto"/>
          </w:tcPr>
          <w:p w14:paraId="123C7E6F"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3500 Генетски анализатор, Applied Biosystems </w:t>
            </w:r>
          </w:p>
        </w:tc>
        <w:tc>
          <w:tcPr>
            <w:tcW w:w="1275" w:type="dxa"/>
            <w:tcBorders>
              <w:top w:val="nil"/>
              <w:left w:val="nil"/>
              <w:bottom w:val="single" w:sz="4" w:space="0" w:color="auto"/>
              <w:right w:val="single" w:sz="4" w:space="0" w:color="auto"/>
            </w:tcBorders>
            <w:shd w:val="clear" w:color="auto" w:fill="auto"/>
          </w:tcPr>
          <w:p w14:paraId="35CB1CA0"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120.000</w:t>
            </w:r>
          </w:p>
        </w:tc>
        <w:tc>
          <w:tcPr>
            <w:tcW w:w="1134" w:type="dxa"/>
            <w:tcBorders>
              <w:top w:val="nil"/>
              <w:left w:val="nil"/>
              <w:bottom w:val="single" w:sz="4" w:space="0" w:color="auto"/>
              <w:right w:val="single" w:sz="4" w:space="0" w:color="auto"/>
            </w:tcBorders>
            <w:shd w:val="clear" w:color="auto" w:fill="auto"/>
          </w:tcPr>
          <w:p w14:paraId="4C15F7B9"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2012</w:t>
            </w:r>
          </w:p>
        </w:tc>
        <w:tc>
          <w:tcPr>
            <w:tcW w:w="2839" w:type="dxa"/>
            <w:tcBorders>
              <w:top w:val="nil"/>
              <w:left w:val="nil"/>
              <w:bottom w:val="single" w:sz="4" w:space="0" w:color="auto"/>
              <w:right w:val="single" w:sz="4" w:space="0" w:color="auto"/>
            </w:tcBorders>
            <w:shd w:val="clear" w:color="auto" w:fill="auto"/>
          </w:tcPr>
          <w:p w14:paraId="01CD46A2" w14:textId="77777777" w:rsidR="007947BF" w:rsidRPr="008662BF" w:rsidRDefault="001E3F31"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 xml:space="preserve">Грант од ЕУ </w:t>
            </w:r>
            <w:r w:rsidR="007947BF" w:rsidRPr="008662BF">
              <w:rPr>
                <w:rFonts w:eastAsia="Times New Roman" w:cs="Times New Roman"/>
                <w:sz w:val="20"/>
                <w:szCs w:val="20"/>
                <w:lang w:val="mk-MK"/>
              </w:rPr>
              <w:t>(REGPOT)</w:t>
            </w:r>
          </w:p>
        </w:tc>
        <w:tc>
          <w:tcPr>
            <w:tcW w:w="1223" w:type="dxa"/>
            <w:tcBorders>
              <w:top w:val="nil"/>
              <w:left w:val="nil"/>
              <w:bottom w:val="single" w:sz="4" w:space="0" w:color="auto"/>
              <w:right w:val="single" w:sz="4" w:space="0" w:color="auto"/>
            </w:tcBorders>
            <w:shd w:val="clear" w:color="auto" w:fill="auto"/>
            <w:vAlign w:val="center"/>
          </w:tcPr>
          <w:p w14:paraId="3B1B60D6"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245EBD20"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30</w:t>
            </w:r>
          </w:p>
        </w:tc>
      </w:tr>
      <w:tr w:rsidR="005C06A9" w:rsidRPr="008662BF" w14:paraId="191B55B8" w14:textId="77777777" w:rsidTr="00E1385A">
        <w:tc>
          <w:tcPr>
            <w:tcW w:w="2192" w:type="dxa"/>
            <w:vMerge/>
            <w:tcBorders>
              <w:left w:val="single" w:sz="4" w:space="0" w:color="auto"/>
              <w:right w:val="single" w:sz="4" w:space="0" w:color="auto"/>
            </w:tcBorders>
            <w:vAlign w:val="center"/>
          </w:tcPr>
          <w:p w14:paraId="0E170944"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24CB22D0"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89</w:t>
            </w:r>
          </w:p>
        </w:tc>
        <w:tc>
          <w:tcPr>
            <w:tcW w:w="4536" w:type="dxa"/>
            <w:tcBorders>
              <w:top w:val="nil"/>
              <w:left w:val="nil"/>
              <w:bottom w:val="single" w:sz="4" w:space="0" w:color="auto"/>
              <w:right w:val="single" w:sz="4" w:space="0" w:color="auto"/>
            </w:tcBorders>
            <w:shd w:val="clear" w:color="auto" w:fill="auto"/>
          </w:tcPr>
          <w:p w14:paraId="20034661"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2D DIGE скенер и електрофоретски систем, Ettan DIGE Imager, LKB Austria </w:t>
            </w:r>
          </w:p>
        </w:tc>
        <w:tc>
          <w:tcPr>
            <w:tcW w:w="1275" w:type="dxa"/>
            <w:tcBorders>
              <w:top w:val="nil"/>
              <w:left w:val="nil"/>
              <w:bottom w:val="single" w:sz="4" w:space="0" w:color="auto"/>
              <w:right w:val="single" w:sz="4" w:space="0" w:color="auto"/>
            </w:tcBorders>
            <w:shd w:val="clear" w:color="auto" w:fill="auto"/>
          </w:tcPr>
          <w:p w14:paraId="38AFAF49"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118.000</w:t>
            </w:r>
          </w:p>
        </w:tc>
        <w:tc>
          <w:tcPr>
            <w:tcW w:w="1134" w:type="dxa"/>
            <w:tcBorders>
              <w:top w:val="nil"/>
              <w:left w:val="nil"/>
              <w:bottom w:val="single" w:sz="4" w:space="0" w:color="auto"/>
              <w:right w:val="single" w:sz="4" w:space="0" w:color="auto"/>
            </w:tcBorders>
            <w:shd w:val="clear" w:color="auto" w:fill="auto"/>
          </w:tcPr>
          <w:p w14:paraId="46E45843"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2009</w:t>
            </w:r>
          </w:p>
        </w:tc>
        <w:tc>
          <w:tcPr>
            <w:tcW w:w="2839" w:type="dxa"/>
            <w:tcBorders>
              <w:top w:val="nil"/>
              <w:left w:val="nil"/>
              <w:bottom w:val="single" w:sz="4" w:space="0" w:color="auto"/>
              <w:right w:val="single" w:sz="4" w:space="0" w:color="auto"/>
            </w:tcBorders>
            <w:shd w:val="clear" w:color="auto" w:fill="auto"/>
          </w:tcPr>
          <w:p w14:paraId="411AECE3" w14:textId="77777777" w:rsidR="007947BF" w:rsidRPr="008662BF" w:rsidRDefault="001E3F31"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 xml:space="preserve">Грант од ЕУ </w:t>
            </w:r>
            <w:r w:rsidR="007947BF" w:rsidRPr="008662BF">
              <w:rPr>
                <w:rFonts w:eastAsia="Times New Roman" w:cs="Times New Roman"/>
                <w:sz w:val="20"/>
                <w:szCs w:val="20"/>
                <w:lang w:val="mk-MK"/>
              </w:rPr>
              <w:t>(REGPOT)</w:t>
            </w:r>
          </w:p>
        </w:tc>
        <w:tc>
          <w:tcPr>
            <w:tcW w:w="1223" w:type="dxa"/>
            <w:tcBorders>
              <w:top w:val="nil"/>
              <w:left w:val="nil"/>
              <w:bottom w:val="single" w:sz="4" w:space="0" w:color="auto"/>
              <w:right w:val="single" w:sz="4" w:space="0" w:color="auto"/>
            </w:tcBorders>
            <w:shd w:val="clear" w:color="auto" w:fill="auto"/>
            <w:vAlign w:val="center"/>
          </w:tcPr>
          <w:p w14:paraId="40FEA58B"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0421A09D"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r>
      <w:tr w:rsidR="005C06A9" w:rsidRPr="008662BF" w14:paraId="28253037" w14:textId="77777777" w:rsidTr="00E1385A">
        <w:tc>
          <w:tcPr>
            <w:tcW w:w="2192" w:type="dxa"/>
            <w:vMerge/>
            <w:tcBorders>
              <w:left w:val="single" w:sz="4" w:space="0" w:color="auto"/>
              <w:right w:val="single" w:sz="4" w:space="0" w:color="auto"/>
            </w:tcBorders>
            <w:vAlign w:val="center"/>
          </w:tcPr>
          <w:p w14:paraId="48B42D8A"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4343DBBA"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90</w:t>
            </w:r>
          </w:p>
        </w:tc>
        <w:tc>
          <w:tcPr>
            <w:tcW w:w="4536" w:type="dxa"/>
            <w:tcBorders>
              <w:top w:val="nil"/>
              <w:left w:val="nil"/>
              <w:bottom w:val="single" w:sz="4" w:space="0" w:color="auto"/>
              <w:right w:val="single" w:sz="4" w:space="0" w:color="auto"/>
            </w:tcBorders>
            <w:shd w:val="clear" w:color="auto" w:fill="auto"/>
          </w:tcPr>
          <w:p w14:paraId="1D514B2F"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Масен спектрометар MALDI TOF TOF, Axima Performance, Shimadzy </w:t>
            </w:r>
          </w:p>
        </w:tc>
        <w:tc>
          <w:tcPr>
            <w:tcW w:w="1275" w:type="dxa"/>
            <w:tcBorders>
              <w:top w:val="nil"/>
              <w:left w:val="nil"/>
              <w:bottom w:val="single" w:sz="4" w:space="0" w:color="auto"/>
              <w:right w:val="single" w:sz="4" w:space="0" w:color="auto"/>
            </w:tcBorders>
            <w:shd w:val="clear" w:color="auto" w:fill="auto"/>
          </w:tcPr>
          <w:p w14:paraId="52BE1108"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570.000</w:t>
            </w:r>
          </w:p>
        </w:tc>
        <w:tc>
          <w:tcPr>
            <w:tcW w:w="1134" w:type="dxa"/>
            <w:tcBorders>
              <w:top w:val="nil"/>
              <w:left w:val="nil"/>
              <w:bottom w:val="single" w:sz="4" w:space="0" w:color="auto"/>
              <w:right w:val="single" w:sz="4" w:space="0" w:color="auto"/>
            </w:tcBorders>
            <w:shd w:val="clear" w:color="auto" w:fill="auto"/>
          </w:tcPr>
          <w:p w14:paraId="60A03A45"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2012</w:t>
            </w:r>
          </w:p>
        </w:tc>
        <w:tc>
          <w:tcPr>
            <w:tcW w:w="2839" w:type="dxa"/>
            <w:tcBorders>
              <w:top w:val="nil"/>
              <w:left w:val="nil"/>
              <w:bottom w:val="single" w:sz="4" w:space="0" w:color="auto"/>
              <w:right w:val="single" w:sz="4" w:space="0" w:color="auto"/>
            </w:tcBorders>
            <w:shd w:val="clear" w:color="auto" w:fill="auto"/>
          </w:tcPr>
          <w:p w14:paraId="7DE84526" w14:textId="77777777" w:rsidR="007947BF" w:rsidRPr="008662BF" w:rsidRDefault="00A2244D"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 xml:space="preserve">Средства од Министерство за образование и наука </w:t>
            </w:r>
          </w:p>
        </w:tc>
        <w:tc>
          <w:tcPr>
            <w:tcW w:w="1223" w:type="dxa"/>
            <w:tcBorders>
              <w:top w:val="nil"/>
              <w:left w:val="nil"/>
              <w:bottom w:val="single" w:sz="4" w:space="0" w:color="auto"/>
              <w:right w:val="single" w:sz="4" w:space="0" w:color="auto"/>
            </w:tcBorders>
            <w:shd w:val="clear" w:color="auto" w:fill="auto"/>
            <w:vAlign w:val="center"/>
          </w:tcPr>
          <w:p w14:paraId="52B1CC13"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09EEC5C1"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w:t>
            </w:r>
          </w:p>
        </w:tc>
      </w:tr>
      <w:tr w:rsidR="005C06A9" w:rsidRPr="008662BF" w14:paraId="509597E6" w14:textId="77777777" w:rsidTr="00E1385A">
        <w:tc>
          <w:tcPr>
            <w:tcW w:w="2192" w:type="dxa"/>
            <w:vMerge/>
            <w:tcBorders>
              <w:left w:val="single" w:sz="4" w:space="0" w:color="auto"/>
              <w:right w:val="single" w:sz="4" w:space="0" w:color="auto"/>
            </w:tcBorders>
            <w:vAlign w:val="center"/>
          </w:tcPr>
          <w:p w14:paraId="35B7832D"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5C301CFA"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91</w:t>
            </w:r>
          </w:p>
        </w:tc>
        <w:tc>
          <w:tcPr>
            <w:tcW w:w="4536" w:type="dxa"/>
            <w:tcBorders>
              <w:top w:val="nil"/>
              <w:left w:val="nil"/>
              <w:bottom w:val="single" w:sz="4" w:space="0" w:color="auto"/>
              <w:right w:val="single" w:sz="4" w:space="0" w:color="auto"/>
            </w:tcBorders>
            <w:shd w:val="clear" w:color="auto" w:fill="auto"/>
          </w:tcPr>
          <w:p w14:paraId="3CD49589"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Масна спектрометрија со висока дефиниција, Synapt G2-SI, Waters </w:t>
            </w:r>
          </w:p>
        </w:tc>
        <w:tc>
          <w:tcPr>
            <w:tcW w:w="1275" w:type="dxa"/>
            <w:tcBorders>
              <w:top w:val="nil"/>
              <w:left w:val="nil"/>
              <w:bottom w:val="single" w:sz="4" w:space="0" w:color="auto"/>
              <w:right w:val="single" w:sz="4" w:space="0" w:color="auto"/>
            </w:tcBorders>
            <w:shd w:val="clear" w:color="auto" w:fill="auto"/>
          </w:tcPr>
          <w:p w14:paraId="42798621"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660.000</w:t>
            </w:r>
          </w:p>
        </w:tc>
        <w:tc>
          <w:tcPr>
            <w:tcW w:w="1134" w:type="dxa"/>
            <w:tcBorders>
              <w:top w:val="nil"/>
              <w:left w:val="nil"/>
              <w:bottom w:val="single" w:sz="4" w:space="0" w:color="auto"/>
              <w:right w:val="single" w:sz="4" w:space="0" w:color="auto"/>
            </w:tcBorders>
            <w:shd w:val="clear" w:color="auto" w:fill="auto"/>
          </w:tcPr>
          <w:p w14:paraId="4B1B8644"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2016</w:t>
            </w:r>
          </w:p>
        </w:tc>
        <w:tc>
          <w:tcPr>
            <w:tcW w:w="2839" w:type="dxa"/>
            <w:tcBorders>
              <w:top w:val="nil"/>
              <w:left w:val="nil"/>
              <w:bottom w:val="single" w:sz="4" w:space="0" w:color="auto"/>
              <w:right w:val="single" w:sz="4" w:space="0" w:color="auto"/>
            </w:tcBorders>
            <w:shd w:val="clear" w:color="auto" w:fill="auto"/>
          </w:tcPr>
          <w:p w14:paraId="79FAB637" w14:textId="77777777" w:rsidR="007947BF" w:rsidRPr="008662BF" w:rsidRDefault="00817179"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Јавни средства</w:t>
            </w:r>
          </w:p>
        </w:tc>
        <w:tc>
          <w:tcPr>
            <w:tcW w:w="1223" w:type="dxa"/>
            <w:tcBorders>
              <w:top w:val="nil"/>
              <w:left w:val="nil"/>
              <w:bottom w:val="single" w:sz="4" w:space="0" w:color="auto"/>
              <w:right w:val="single" w:sz="4" w:space="0" w:color="auto"/>
            </w:tcBorders>
            <w:shd w:val="clear" w:color="auto" w:fill="auto"/>
            <w:vAlign w:val="center"/>
          </w:tcPr>
          <w:p w14:paraId="222D622E"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421C3E7A"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w:t>
            </w:r>
          </w:p>
        </w:tc>
      </w:tr>
      <w:tr w:rsidR="005C06A9" w:rsidRPr="008662BF" w14:paraId="7A88C5BB" w14:textId="77777777" w:rsidTr="00E1385A">
        <w:tc>
          <w:tcPr>
            <w:tcW w:w="2192" w:type="dxa"/>
            <w:vMerge/>
            <w:tcBorders>
              <w:left w:val="single" w:sz="4" w:space="0" w:color="auto"/>
              <w:bottom w:val="single" w:sz="4" w:space="0" w:color="auto"/>
              <w:right w:val="single" w:sz="4" w:space="0" w:color="auto"/>
            </w:tcBorders>
            <w:vAlign w:val="center"/>
          </w:tcPr>
          <w:p w14:paraId="15F13AA2" w14:textId="77777777" w:rsidR="007947BF" w:rsidRPr="008662BF" w:rsidRDefault="007947BF" w:rsidP="00E1385A">
            <w:pPr>
              <w:spacing w:after="0" w:line="240" w:lineRule="auto"/>
              <w:rPr>
                <w:rFonts w:eastAsia="Times New Roman" w:cs="Times New Roman"/>
                <w:sz w:val="20"/>
                <w:szCs w:val="20"/>
                <w:lang w:val="mk-MK"/>
              </w:rPr>
            </w:pPr>
          </w:p>
        </w:tc>
        <w:tc>
          <w:tcPr>
            <w:tcW w:w="383" w:type="dxa"/>
            <w:tcBorders>
              <w:top w:val="nil"/>
              <w:left w:val="nil"/>
              <w:bottom w:val="single" w:sz="4" w:space="0" w:color="auto"/>
              <w:right w:val="single" w:sz="4" w:space="0" w:color="auto"/>
            </w:tcBorders>
            <w:shd w:val="clear" w:color="auto" w:fill="auto"/>
          </w:tcPr>
          <w:p w14:paraId="626317CA"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92</w:t>
            </w:r>
          </w:p>
        </w:tc>
        <w:tc>
          <w:tcPr>
            <w:tcW w:w="4536" w:type="dxa"/>
            <w:tcBorders>
              <w:top w:val="nil"/>
              <w:left w:val="nil"/>
              <w:bottom w:val="single" w:sz="4" w:space="0" w:color="auto"/>
              <w:right w:val="single" w:sz="4" w:space="0" w:color="auto"/>
            </w:tcBorders>
            <w:shd w:val="clear" w:color="auto" w:fill="auto"/>
          </w:tcPr>
          <w:p w14:paraId="0E949067" w14:textId="77777777" w:rsidR="007947BF" w:rsidRPr="008662BF" w:rsidRDefault="00490E2C" w:rsidP="00E1385A">
            <w:pPr>
              <w:spacing w:after="0" w:line="240" w:lineRule="auto"/>
              <w:rPr>
                <w:rFonts w:eastAsia="Times New Roman" w:cs="Times New Roman"/>
                <w:sz w:val="20"/>
                <w:szCs w:val="20"/>
                <w:lang w:val="mk-MK"/>
              </w:rPr>
            </w:pPr>
            <w:r w:rsidRPr="008662BF">
              <w:rPr>
                <w:rFonts w:eastAsia="Times New Roman" w:cs="Times New Roman"/>
                <w:sz w:val="20"/>
                <w:szCs w:val="20"/>
                <w:lang w:val="mk-MK"/>
              </w:rPr>
              <w:t xml:space="preserve">Анализатор на аминокиселини, Biochrom 30, LKB Austria </w:t>
            </w:r>
          </w:p>
        </w:tc>
        <w:tc>
          <w:tcPr>
            <w:tcW w:w="1275" w:type="dxa"/>
            <w:tcBorders>
              <w:top w:val="nil"/>
              <w:left w:val="nil"/>
              <w:bottom w:val="single" w:sz="4" w:space="0" w:color="auto"/>
              <w:right w:val="single" w:sz="4" w:space="0" w:color="auto"/>
            </w:tcBorders>
            <w:shd w:val="clear" w:color="auto" w:fill="auto"/>
          </w:tcPr>
          <w:p w14:paraId="74748818"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94.000</w:t>
            </w:r>
          </w:p>
        </w:tc>
        <w:tc>
          <w:tcPr>
            <w:tcW w:w="1134" w:type="dxa"/>
            <w:tcBorders>
              <w:top w:val="nil"/>
              <w:left w:val="nil"/>
              <w:bottom w:val="single" w:sz="4" w:space="0" w:color="auto"/>
              <w:right w:val="single" w:sz="4" w:space="0" w:color="auto"/>
            </w:tcBorders>
            <w:shd w:val="clear" w:color="auto" w:fill="auto"/>
          </w:tcPr>
          <w:p w14:paraId="35960844"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2006</w:t>
            </w:r>
          </w:p>
        </w:tc>
        <w:tc>
          <w:tcPr>
            <w:tcW w:w="2839" w:type="dxa"/>
            <w:tcBorders>
              <w:top w:val="nil"/>
              <w:left w:val="nil"/>
              <w:bottom w:val="single" w:sz="4" w:space="0" w:color="auto"/>
              <w:right w:val="single" w:sz="4" w:space="0" w:color="auto"/>
            </w:tcBorders>
            <w:shd w:val="clear" w:color="auto" w:fill="auto"/>
          </w:tcPr>
          <w:p w14:paraId="57C7E2CE" w14:textId="77777777" w:rsidR="007947BF" w:rsidRPr="008662BF" w:rsidRDefault="00A2244D"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Сопствени средства</w:t>
            </w:r>
          </w:p>
        </w:tc>
        <w:tc>
          <w:tcPr>
            <w:tcW w:w="1223" w:type="dxa"/>
            <w:tcBorders>
              <w:top w:val="nil"/>
              <w:left w:val="nil"/>
              <w:bottom w:val="single" w:sz="4" w:space="0" w:color="auto"/>
              <w:right w:val="single" w:sz="4" w:space="0" w:color="auto"/>
            </w:tcBorders>
            <w:shd w:val="clear" w:color="auto" w:fill="auto"/>
            <w:vAlign w:val="center"/>
          </w:tcPr>
          <w:p w14:paraId="2A54EB54"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c>
          <w:tcPr>
            <w:tcW w:w="1138" w:type="dxa"/>
            <w:tcBorders>
              <w:top w:val="nil"/>
              <w:left w:val="nil"/>
              <w:bottom w:val="single" w:sz="4" w:space="0" w:color="auto"/>
              <w:right w:val="single" w:sz="4" w:space="0" w:color="auto"/>
            </w:tcBorders>
            <w:shd w:val="clear" w:color="auto" w:fill="auto"/>
            <w:vAlign w:val="center"/>
          </w:tcPr>
          <w:p w14:paraId="16D4BDF9" w14:textId="77777777" w:rsidR="007947BF" w:rsidRPr="008662BF" w:rsidRDefault="007947BF" w:rsidP="00E1385A">
            <w:pPr>
              <w:spacing w:after="0" w:line="240" w:lineRule="auto"/>
              <w:jc w:val="center"/>
              <w:rPr>
                <w:rFonts w:eastAsia="Times New Roman" w:cs="Times New Roman"/>
                <w:sz w:val="20"/>
                <w:szCs w:val="20"/>
                <w:lang w:val="mk-MK"/>
              </w:rPr>
            </w:pPr>
            <w:r w:rsidRPr="008662BF">
              <w:rPr>
                <w:rFonts w:eastAsia="Times New Roman" w:cs="Times New Roman"/>
                <w:sz w:val="20"/>
                <w:szCs w:val="20"/>
                <w:lang w:val="mk-MK"/>
              </w:rPr>
              <w:t>10</w:t>
            </w:r>
          </w:p>
        </w:tc>
      </w:tr>
    </w:tbl>
    <w:p w14:paraId="6C1693B0" w14:textId="77777777" w:rsidR="007947BF" w:rsidRPr="008662BF" w:rsidRDefault="007947BF" w:rsidP="007947BF">
      <w:pPr>
        <w:rPr>
          <w:lang w:val="mk-MK"/>
        </w:rPr>
      </w:pPr>
    </w:p>
    <w:p w14:paraId="392CB169" w14:textId="77777777" w:rsidR="007947BF" w:rsidRPr="008662BF" w:rsidRDefault="007947BF" w:rsidP="007947BF">
      <w:pPr>
        <w:rPr>
          <w:lang w:val="mk-MK"/>
        </w:rPr>
      </w:pPr>
    </w:p>
    <w:p w14:paraId="029EE755" w14:textId="77777777" w:rsidR="007947BF" w:rsidRPr="008662BF" w:rsidRDefault="007947BF" w:rsidP="007947BF">
      <w:pPr>
        <w:pStyle w:val="Heading1"/>
        <w:rPr>
          <w:rFonts w:asciiTheme="minorHAnsi" w:hAnsiTheme="minorHAnsi" w:cstheme="minorHAnsi"/>
          <w:sz w:val="32"/>
          <w:lang w:val="mk-MK"/>
        </w:rPr>
        <w:sectPr w:rsidR="007947BF" w:rsidRPr="008662BF" w:rsidSect="004B2AB0">
          <w:pgSz w:w="16838" w:h="11906" w:orient="landscape"/>
          <w:pgMar w:top="1417" w:right="1417" w:bottom="1417" w:left="1417" w:header="708" w:footer="708" w:gutter="0"/>
          <w:cols w:space="708"/>
          <w:docGrid w:linePitch="360"/>
        </w:sectPr>
      </w:pPr>
      <w:bookmarkStart w:id="51" w:name="_Toc64639530"/>
    </w:p>
    <w:p w14:paraId="251D67B8" w14:textId="77777777" w:rsidR="00E053A7" w:rsidRPr="008662BF" w:rsidRDefault="00E053A7" w:rsidP="007947BF">
      <w:pPr>
        <w:pStyle w:val="Heading1"/>
        <w:rPr>
          <w:rFonts w:asciiTheme="minorHAnsi" w:hAnsiTheme="minorHAnsi" w:cstheme="minorHAnsi"/>
          <w:sz w:val="32"/>
          <w:lang w:val="mk-MK"/>
        </w:rPr>
      </w:pPr>
      <w:bookmarkStart w:id="52" w:name="_Toc86916079"/>
      <w:r w:rsidRPr="008662BF">
        <w:rPr>
          <w:rFonts w:asciiTheme="minorHAnsi" w:hAnsiTheme="minorHAnsi" w:cstheme="minorHAnsi"/>
          <w:sz w:val="32"/>
          <w:lang w:val="mk-MK"/>
        </w:rPr>
        <w:lastRenderedPageBreak/>
        <w:t>ПРИЛОГ 2: Анкетен прашалник</w:t>
      </w:r>
      <w:bookmarkEnd w:id="52"/>
    </w:p>
    <w:bookmarkEnd w:id="51"/>
    <w:p w14:paraId="7420CE64" w14:textId="77777777" w:rsidR="007947BF" w:rsidRPr="008662BF" w:rsidRDefault="007947BF" w:rsidP="007947BF">
      <w:pPr>
        <w:autoSpaceDE w:val="0"/>
        <w:autoSpaceDN w:val="0"/>
        <w:adjustRightInd w:val="0"/>
        <w:spacing w:after="0"/>
        <w:ind w:right="244"/>
        <w:jc w:val="both"/>
        <w:rPr>
          <w:rFonts w:cstheme="minorHAnsi"/>
          <w:color w:val="0046D2"/>
          <w:sz w:val="24"/>
          <w:lang w:val="mk-MK"/>
        </w:rPr>
      </w:pPr>
    </w:p>
    <w:p w14:paraId="299ACD4A" w14:textId="38BD6275" w:rsidR="00E053A7" w:rsidRPr="008662BF" w:rsidRDefault="00E053A7" w:rsidP="00E053A7">
      <w:pPr>
        <w:jc w:val="both"/>
        <w:rPr>
          <w:lang w:val="mk-MK"/>
        </w:rPr>
      </w:pPr>
      <w:bookmarkStart w:id="53" w:name="_Toc63103368"/>
      <w:r w:rsidRPr="008662BF">
        <w:rPr>
          <w:lang w:val="mk-MK"/>
        </w:rPr>
        <w:t xml:space="preserve">Овој анкетен прашалник содржи неколку групи прашања </w:t>
      </w:r>
      <w:r w:rsidR="006572DC">
        <w:rPr>
          <w:lang w:val="mk-MK"/>
        </w:rPr>
        <w:t>што</w:t>
      </w:r>
      <w:r w:rsidRPr="008662BF">
        <w:rPr>
          <w:lang w:val="mk-MK"/>
        </w:rPr>
        <w:t xml:space="preserve"> служат за добивање влезни информации за </w:t>
      </w:r>
      <w:r w:rsidR="00667DE4">
        <w:rPr>
          <w:lang w:val="mk-MK"/>
        </w:rPr>
        <w:t xml:space="preserve">утврдување </w:t>
      </w:r>
      <w:r w:rsidRPr="008662BF">
        <w:rPr>
          <w:lang w:val="mk-MK"/>
        </w:rPr>
        <w:t xml:space="preserve">и </w:t>
      </w:r>
      <w:r w:rsidR="006572DC">
        <w:rPr>
          <w:lang w:val="mk-MK"/>
        </w:rPr>
        <w:t xml:space="preserve">за </w:t>
      </w:r>
      <w:r w:rsidRPr="008662BF">
        <w:rPr>
          <w:lang w:val="mk-MK"/>
        </w:rPr>
        <w:t xml:space="preserve">евалуација на потенцијалот на истражувачката инфраструктура во </w:t>
      </w:r>
      <w:r w:rsidR="00417197">
        <w:rPr>
          <w:lang w:val="mk-MK"/>
        </w:rPr>
        <w:t>Република Северна Македонија</w:t>
      </w:r>
      <w:r w:rsidRPr="008662BF">
        <w:rPr>
          <w:lang w:val="mk-MK"/>
        </w:rPr>
        <w:t>. Целта на прашалникот е да се мапира истражувачката инфраструктура како прв и неопходен чекор во процесот на подготовка</w:t>
      </w:r>
      <w:r w:rsidR="006572DC">
        <w:rPr>
          <w:lang w:val="mk-MK"/>
        </w:rPr>
        <w:t>та</w:t>
      </w:r>
      <w:r w:rsidRPr="008662BF">
        <w:rPr>
          <w:lang w:val="mk-MK"/>
        </w:rPr>
        <w:t xml:space="preserve"> на Патоказот за истражувачка инфраструктура (ИИ).</w:t>
      </w:r>
    </w:p>
    <w:p w14:paraId="32C24635" w14:textId="01BD9814" w:rsidR="00E053A7" w:rsidRPr="008662BF" w:rsidRDefault="00E053A7" w:rsidP="00E053A7">
      <w:pPr>
        <w:jc w:val="both"/>
        <w:rPr>
          <w:lang w:val="mk-MK"/>
        </w:rPr>
      </w:pPr>
      <w:r w:rsidRPr="008662BF">
        <w:rPr>
          <w:lang w:val="mk-MK"/>
        </w:rPr>
        <w:t xml:space="preserve">Според дефиницијата на Европската комисија, истражувачките инфраструктури (ИИ) се </w:t>
      </w:r>
      <w:r w:rsidR="00667DE4">
        <w:rPr>
          <w:lang w:val="mk-MK"/>
        </w:rPr>
        <w:t>капацитети</w:t>
      </w:r>
      <w:r w:rsidRPr="008662BF">
        <w:rPr>
          <w:lang w:val="mk-MK"/>
        </w:rPr>
        <w:t xml:space="preserve"> кои</w:t>
      </w:r>
      <w:r w:rsidR="006572DC">
        <w:rPr>
          <w:lang w:val="mk-MK"/>
        </w:rPr>
        <w:t>што</w:t>
      </w:r>
      <w:r w:rsidRPr="008662BF">
        <w:rPr>
          <w:lang w:val="mk-MK"/>
        </w:rPr>
        <w:t xml:space="preserve"> обезбедуваат ресурси и услуги што ги користи </w:t>
      </w:r>
      <w:r w:rsidR="006572DC" w:rsidRPr="008662BF">
        <w:rPr>
          <w:lang w:val="mk-MK"/>
        </w:rPr>
        <w:t xml:space="preserve">истражувачката заедница </w:t>
      </w:r>
      <w:r w:rsidRPr="008662BF">
        <w:rPr>
          <w:lang w:val="mk-MK"/>
        </w:rPr>
        <w:t>за спроведување на истражувања и</w:t>
      </w:r>
      <w:r w:rsidR="006572DC">
        <w:rPr>
          <w:lang w:val="mk-MK"/>
        </w:rPr>
        <w:t xml:space="preserve"> за</w:t>
      </w:r>
      <w:r w:rsidRPr="008662BF">
        <w:rPr>
          <w:lang w:val="mk-MK"/>
        </w:rPr>
        <w:t xml:space="preserve"> поттикнување на иновации. Тие опфаќаат: </w:t>
      </w:r>
    </w:p>
    <w:p w14:paraId="620C2D2D" w14:textId="77777777" w:rsidR="00E053A7" w:rsidRPr="008662BF" w:rsidRDefault="00E053A7" w:rsidP="00E053A7">
      <w:pPr>
        <w:pStyle w:val="ListParagraph"/>
        <w:numPr>
          <w:ilvl w:val="0"/>
          <w:numId w:val="10"/>
        </w:numPr>
        <w:jc w:val="both"/>
        <w:rPr>
          <w:lang w:val="mk-MK"/>
        </w:rPr>
      </w:pPr>
      <w:r w:rsidRPr="008662BF">
        <w:rPr>
          <w:lang w:val="mk-MK"/>
        </w:rPr>
        <w:t>голема научна опрема или комплети инструменти;</w:t>
      </w:r>
    </w:p>
    <w:p w14:paraId="082E13F5" w14:textId="77777777" w:rsidR="00E053A7" w:rsidRPr="008662BF" w:rsidRDefault="00E053A7" w:rsidP="00E053A7">
      <w:pPr>
        <w:pStyle w:val="ListParagraph"/>
        <w:numPr>
          <w:ilvl w:val="0"/>
          <w:numId w:val="10"/>
        </w:numPr>
        <w:jc w:val="both"/>
        <w:rPr>
          <w:lang w:val="mk-MK"/>
        </w:rPr>
      </w:pPr>
      <w:r w:rsidRPr="008662BF">
        <w:rPr>
          <w:lang w:val="mk-MK"/>
        </w:rPr>
        <w:t>збирки, архиви и научни податоци;</w:t>
      </w:r>
    </w:p>
    <w:p w14:paraId="6AC0541A" w14:textId="77777777" w:rsidR="00E053A7" w:rsidRPr="008662BF" w:rsidRDefault="00E053A7" w:rsidP="00E053A7">
      <w:pPr>
        <w:pStyle w:val="ListParagraph"/>
        <w:numPr>
          <w:ilvl w:val="0"/>
          <w:numId w:val="10"/>
        </w:numPr>
        <w:jc w:val="both"/>
        <w:rPr>
          <w:lang w:val="mk-MK"/>
        </w:rPr>
      </w:pPr>
      <w:r w:rsidRPr="008662BF">
        <w:rPr>
          <w:lang w:val="mk-MK"/>
        </w:rPr>
        <w:t>компјутерски системи и комуникациски мрежи;</w:t>
      </w:r>
    </w:p>
    <w:p w14:paraId="6F6748D4" w14:textId="617FF05C" w:rsidR="00E053A7" w:rsidRPr="008662BF" w:rsidRDefault="00E053A7" w:rsidP="00E053A7">
      <w:pPr>
        <w:pStyle w:val="ListParagraph"/>
        <w:numPr>
          <w:ilvl w:val="0"/>
          <w:numId w:val="10"/>
        </w:numPr>
        <w:jc w:val="both"/>
        <w:rPr>
          <w:lang w:val="mk-MK"/>
        </w:rPr>
      </w:pPr>
      <w:r w:rsidRPr="008662BF">
        <w:rPr>
          <w:lang w:val="mk-MK"/>
        </w:rPr>
        <w:t xml:space="preserve">сите други уникатни истражувачки и иновациски инфраструктури </w:t>
      </w:r>
      <w:r w:rsidR="006572DC">
        <w:rPr>
          <w:lang w:val="mk-MK"/>
        </w:rPr>
        <w:t>што</w:t>
      </w:r>
      <w:r w:rsidRPr="008662BF">
        <w:rPr>
          <w:lang w:val="mk-MK"/>
        </w:rPr>
        <w:t xml:space="preserve"> се отворени за надворешни корисници.</w:t>
      </w:r>
    </w:p>
    <w:p w14:paraId="6861CF9E" w14:textId="0434E301" w:rsidR="00E053A7" w:rsidRPr="008662BF" w:rsidRDefault="00E053A7" w:rsidP="00E053A7">
      <w:pPr>
        <w:jc w:val="both"/>
        <w:rPr>
          <w:lang w:val="mk-MK"/>
        </w:rPr>
      </w:pPr>
      <w:r w:rsidRPr="008662BF">
        <w:rPr>
          <w:lang w:val="mk-MK"/>
        </w:rPr>
        <w:t>Истражувачките инфраструктури мож</w:t>
      </w:r>
      <w:r w:rsidR="006572DC">
        <w:rPr>
          <w:lang w:val="mk-MK"/>
        </w:rPr>
        <w:t>ат</w:t>
      </w:r>
      <w:r w:rsidRPr="008662BF">
        <w:rPr>
          <w:lang w:val="mk-MK"/>
        </w:rPr>
        <w:t xml:space="preserve"> да бидат централизирани, односно да се наоѓаат на една единствена локација. Исто така можат да бидат и дистрибуирани или виртуелни и можат да формираат меѓусебно комплементарни целини и мрежи.</w:t>
      </w:r>
    </w:p>
    <w:p w14:paraId="0B66E21A" w14:textId="06CF56E1" w:rsidR="00E053A7" w:rsidRPr="008662BF" w:rsidRDefault="006572DC" w:rsidP="00E053A7">
      <w:pPr>
        <w:jc w:val="both"/>
        <w:rPr>
          <w:lang w:val="mk-MK"/>
        </w:rPr>
      </w:pPr>
      <w:r>
        <w:rPr>
          <w:lang w:val="mk-MK"/>
        </w:rPr>
        <w:t>Треба да се и</w:t>
      </w:r>
      <w:r w:rsidR="00E053A7" w:rsidRPr="008662BF">
        <w:rPr>
          <w:lang w:val="mk-MK"/>
        </w:rPr>
        <w:t>ма предвид дека прашалникот е наменет за истражувачки</w:t>
      </w:r>
      <w:r w:rsidR="00667DE4">
        <w:rPr>
          <w:lang w:val="mk-MK"/>
        </w:rPr>
        <w:t>те</w:t>
      </w:r>
      <w:r w:rsidR="00E053A7" w:rsidRPr="008662BF">
        <w:rPr>
          <w:lang w:val="mk-MK"/>
        </w:rPr>
        <w:t xml:space="preserve"> центри,</w:t>
      </w:r>
      <w:r>
        <w:rPr>
          <w:lang w:val="mk-MK"/>
        </w:rPr>
        <w:t xml:space="preserve"> за</w:t>
      </w:r>
      <w:r w:rsidR="00E053A7" w:rsidRPr="008662BF">
        <w:rPr>
          <w:lang w:val="mk-MK"/>
        </w:rPr>
        <w:t xml:space="preserve"> лаборатории</w:t>
      </w:r>
      <w:r w:rsidR="00667DE4">
        <w:rPr>
          <w:lang w:val="mk-MK"/>
        </w:rPr>
        <w:t>те</w:t>
      </w:r>
      <w:r w:rsidR="00E053A7" w:rsidRPr="008662BF">
        <w:rPr>
          <w:lang w:val="mk-MK"/>
        </w:rPr>
        <w:t xml:space="preserve"> и</w:t>
      </w:r>
      <w:r>
        <w:rPr>
          <w:lang w:val="mk-MK"/>
        </w:rPr>
        <w:t xml:space="preserve"> за</w:t>
      </w:r>
      <w:r w:rsidR="00E053A7" w:rsidRPr="008662BF">
        <w:rPr>
          <w:lang w:val="mk-MK"/>
        </w:rPr>
        <w:t xml:space="preserve"> оддели</w:t>
      </w:r>
      <w:r w:rsidR="00667DE4">
        <w:rPr>
          <w:lang w:val="mk-MK"/>
        </w:rPr>
        <w:t>те</w:t>
      </w:r>
      <w:r w:rsidR="00E053A7" w:rsidRPr="008662BF">
        <w:rPr>
          <w:lang w:val="mk-MK"/>
        </w:rPr>
        <w:t xml:space="preserve"> </w:t>
      </w:r>
      <w:r>
        <w:rPr>
          <w:lang w:val="mk-MK"/>
        </w:rPr>
        <w:t>што</w:t>
      </w:r>
      <w:r w:rsidR="00E053A7" w:rsidRPr="008662BF">
        <w:rPr>
          <w:lang w:val="mk-MK"/>
        </w:rPr>
        <w:t xml:space="preserve"> работат во рамките на јавни</w:t>
      </w:r>
      <w:r>
        <w:rPr>
          <w:lang w:val="mk-MK"/>
        </w:rPr>
        <w:t>те</w:t>
      </w:r>
      <w:r w:rsidR="00E053A7" w:rsidRPr="008662BF">
        <w:rPr>
          <w:lang w:val="mk-MK"/>
        </w:rPr>
        <w:t xml:space="preserve"> и приватни</w:t>
      </w:r>
      <w:r>
        <w:rPr>
          <w:lang w:val="mk-MK"/>
        </w:rPr>
        <w:t>те</w:t>
      </w:r>
      <w:r w:rsidR="00E053A7" w:rsidRPr="008662BF">
        <w:rPr>
          <w:lang w:val="mk-MK"/>
        </w:rPr>
        <w:t xml:space="preserve"> организации (универзитети и факултети, јавни и приватни истражувачки институти) </w:t>
      </w:r>
      <w:r>
        <w:rPr>
          <w:lang w:val="mk-MK"/>
        </w:rPr>
        <w:t>што</w:t>
      </w:r>
      <w:r w:rsidR="00E053A7" w:rsidRPr="008662BF">
        <w:rPr>
          <w:lang w:val="mk-MK"/>
        </w:rPr>
        <w:t xml:space="preserve"> се акредитирани за истражувања и иновации.</w:t>
      </w:r>
    </w:p>
    <w:p w14:paraId="04FCC309" w14:textId="77777777" w:rsidR="007947BF" w:rsidRPr="008662BF" w:rsidRDefault="007947BF" w:rsidP="007947BF">
      <w:pPr>
        <w:jc w:val="both"/>
        <w:rPr>
          <w:lang w:val="mk-MK"/>
        </w:rPr>
      </w:pPr>
    </w:p>
    <w:p w14:paraId="6FD2DD99" w14:textId="77777777" w:rsidR="007947BF" w:rsidRPr="008662BF" w:rsidRDefault="00E053A7" w:rsidP="007947BF">
      <w:pPr>
        <w:rPr>
          <w:b/>
          <w:sz w:val="28"/>
          <w:lang w:val="mk-MK"/>
        </w:rPr>
      </w:pPr>
      <w:r w:rsidRPr="008662BF">
        <w:rPr>
          <w:b/>
          <w:sz w:val="28"/>
          <w:lang w:val="mk-MK"/>
        </w:rPr>
        <w:t>1. Општи информации</w:t>
      </w:r>
    </w:p>
    <w:p w14:paraId="078C32AB" w14:textId="77777777" w:rsidR="007947BF" w:rsidRPr="008662BF" w:rsidRDefault="00E053A7" w:rsidP="007947BF">
      <w:pPr>
        <w:rPr>
          <w:b/>
          <w:sz w:val="24"/>
          <w:lang w:val="mk-MK"/>
        </w:rPr>
      </w:pPr>
      <w:r w:rsidRPr="008662BF">
        <w:rPr>
          <w:b/>
          <w:sz w:val="24"/>
          <w:lang w:val="mk-MK"/>
        </w:rPr>
        <w:t xml:space="preserve">1.1. Податоци за испитаникот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2"/>
        <w:gridCol w:w="4504"/>
      </w:tblGrid>
      <w:tr w:rsidR="00E053A7" w:rsidRPr="008662BF" w14:paraId="64FD1A5F" w14:textId="77777777" w:rsidTr="004B2AB0">
        <w:trPr>
          <w:trHeight w:val="155"/>
          <w:jc w:val="center"/>
        </w:trPr>
        <w:tc>
          <w:tcPr>
            <w:tcW w:w="2513" w:type="pct"/>
          </w:tcPr>
          <w:p w14:paraId="288075CE" w14:textId="77777777" w:rsidR="00E053A7" w:rsidRPr="008662BF" w:rsidRDefault="00E053A7" w:rsidP="00E053A7">
            <w:pPr>
              <w:spacing w:after="0" w:line="240" w:lineRule="auto"/>
              <w:rPr>
                <w:lang w:val="mk-MK"/>
              </w:rPr>
            </w:pPr>
            <w:r w:rsidRPr="008662BF">
              <w:rPr>
                <w:lang w:val="mk-MK"/>
              </w:rPr>
              <w:t>Целосно име</w:t>
            </w:r>
          </w:p>
        </w:tc>
        <w:tc>
          <w:tcPr>
            <w:tcW w:w="2487" w:type="pct"/>
          </w:tcPr>
          <w:p w14:paraId="633435B4" w14:textId="77777777" w:rsidR="00E053A7" w:rsidRPr="008662BF" w:rsidRDefault="00E053A7" w:rsidP="00E053A7">
            <w:pPr>
              <w:spacing w:after="0" w:line="240" w:lineRule="auto"/>
              <w:rPr>
                <w:rFonts w:eastAsia="Calibri" w:cs="Arial"/>
                <w:lang w:val="mk-MK"/>
              </w:rPr>
            </w:pPr>
          </w:p>
        </w:tc>
      </w:tr>
      <w:tr w:rsidR="00E053A7" w:rsidRPr="008662BF" w14:paraId="05FF6962" w14:textId="77777777" w:rsidTr="004B2AB0">
        <w:trPr>
          <w:trHeight w:val="155"/>
          <w:jc w:val="center"/>
        </w:trPr>
        <w:tc>
          <w:tcPr>
            <w:tcW w:w="2513" w:type="pct"/>
          </w:tcPr>
          <w:p w14:paraId="5CE9A280" w14:textId="77777777" w:rsidR="00E053A7" w:rsidRPr="008662BF" w:rsidRDefault="00E053A7" w:rsidP="00E053A7">
            <w:pPr>
              <w:spacing w:after="0" w:line="240" w:lineRule="auto"/>
              <w:rPr>
                <w:lang w:val="mk-MK"/>
              </w:rPr>
            </w:pPr>
            <w:r w:rsidRPr="008662BF">
              <w:rPr>
                <w:lang w:val="mk-MK"/>
              </w:rPr>
              <w:t>Име на институцијата во која работите</w:t>
            </w:r>
          </w:p>
        </w:tc>
        <w:tc>
          <w:tcPr>
            <w:tcW w:w="2487" w:type="pct"/>
          </w:tcPr>
          <w:p w14:paraId="0A0BE93C" w14:textId="77777777" w:rsidR="00E053A7" w:rsidRPr="008662BF" w:rsidRDefault="00E053A7" w:rsidP="00E053A7">
            <w:pPr>
              <w:spacing w:after="0" w:line="240" w:lineRule="auto"/>
              <w:rPr>
                <w:rFonts w:eastAsia="Calibri" w:cs="Arial"/>
                <w:lang w:val="mk-MK"/>
              </w:rPr>
            </w:pPr>
          </w:p>
        </w:tc>
      </w:tr>
      <w:tr w:rsidR="00E053A7" w:rsidRPr="008662BF" w14:paraId="1C467EAD" w14:textId="77777777" w:rsidTr="004B2AB0">
        <w:trPr>
          <w:trHeight w:val="155"/>
          <w:jc w:val="center"/>
        </w:trPr>
        <w:tc>
          <w:tcPr>
            <w:tcW w:w="2513" w:type="pct"/>
          </w:tcPr>
          <w:p w14:paraId="327A8C20" w14:textId="77777777" w:rsidR="00E053A7" w:rsidRPr="008662BF" w:rsidRDefault="00E053A7" w:rsidP="00E053A7">
            <w:pPr>
              <w:spacing w:after="0" w:line="240" w:lineRule="auto"/>
              <w:rPr>
                <w:lang w:val="mk-MK"/>
              </w:rPr>
            </w:pPr>
            <w:r w:rsidRPr="008662BF">
              <w:rPr>
                <w:lang w:val="mk-MK"/>
              </w:rPr>
              <w:t>Адреса на институцијата</w:t>
            </w:r>
          </w:p>
        </w:tc>
        <w:tc>
          <w:tcPr>
            <w:tcW w:w="2487" w:type="pct"/>
          </w:tcPr>
          <w:p w14:paraId="225E71F5" w14:textId="77777777" w:rsidR="00E053A7" w:rsidRPr="008662BF" w:rsidRDefault="00E053A7" w:rsidP="00E053A7">
            <w:pPr>
              <w:spacing w:after="0" w:line="240" w:lineRule="auto"/>
              <w:rPr>
                <w:rFonts w:eastAsia="Calibri" w:cs="Arial"/>
                <w:lang w:val="mk-MK"/>
              </w:rPr>
            </w:pPr>
          </w:p>
        </w:tc>
      </w:tr>
      <w:tr w:rsidR="00E053A7" w:rsidRPr="008662BF" w14:paraId="6BE4BC77" w14:textId="77777777" w:rsidTr="004B2AB0">
        <w:trPr>
          <w:trHeight w:val="155"/>
          <w:jc w:val="center"/>
        </w:trPr>
        <w:tc>
          <w:tcPr>
            <w:tcW w:w="2513" w:type="pct"/>
          </w:tcPr>
          <w:p w14:paraId="57766EF0" w14:textId="77777777" w:rsidR="00E053A7" w:rsidRPr="008662BF" w:rsidRDefault="00E053A7" w:rsidP="00E053A7">
            <w:pPr>
              <w:spacing w:after="0" w:line="240" w:lineRule="auto"/>
              <w:rPr>
                <w:lang w:val="mk-MK"/>
              </w:rPr>
            </w:pPr>
            <w:r w:rsidRPr="008662BF">
              <w:rPr>
                <w:lang w:val="mk-MK"/>
              </w:rPr>
              <w:t>Работно место во институцијата</w:t>
            </w:r>
          </w:p>
        </w:tc>
        <w:tc>
          <w:tcPr>
            <w:tcW w:w="2487" w:type="pct"/>
          </w:tcPr>
          <w:p w14:paraId="758AE0F3" w14:textId="77777777" w:rsidR="00E053A7" w:rsidRPr="008662BF" w:rsidRDefault="00E053A7" w:rsidP="00E053A7">
            <w:pPr>
              <w:spacing w:after="0" w:line="240" w:lineRule="auto"/>
              <w:rPr>
                <w:rFonts w:eastAsia="Calibri" w:cs="Arial"/>
                <w:lang w:val="mk-MK"/>
              </w:rPr>
            </w:pPr>
          </w:p>
        </w:tc>
      </w:tr>
      <w:tr w:rsidR="00E053A7" w:rsidRPr="008662BF" w14:paraId="6E7A91F4" w14:textId="77777777" w:rsidTr="004B2AB0">
        <w:trPr>
          <w:trHeight w:val="155"/>
          <w:jc w:val="center"/>
        </w:trPr>
        <w:tc>
          <w:tcPr>
            <w:tcW w:w="2513" w:type="pct"/>
          </w:tcPr>
          <w:p w14:paraId="411F1A8A" w14:textId="77777777" w:rsidR="00E053A7" w:rsidRPr="008662BF" w:rsidRDefault="00E053A7" w:rsidP="00E053A7">
            <w:pPr>
              <w:spacing w:after="0" w:line="240" w:lineRule="auto"/>
              <w:rPr>
                <w:lang w:val="mk-MK"/>
              </w:rPr>
            </w:pPr>
            <w:r w:rsidRPr="008662BF">
              <w:rPr>
                <w:lang w:val="mk-MK"/>
              </w:rPr>
              <w:t>Е-маил адреса</w:t>
            </w:r>
          </w:p>
        </w:tc>
        <w:tc>
          <w:tcPr>
            <w:tcW w:w="2487" w:type="pct"/>
          </w:tcPr>
          <w:p w14:paraId="6149FCF8" w14:textId="77777777" w:rsidR="00E053A7" w:rsidRPr="008662BF" w:rsidRDefault="00E053A7" w:rsidP="00E053A7">
            <w:pPr>
              <w:spacing w:after="0" w:line="240" w:lineRule="auto"/>
              <w:rPr>
                <w:rFonts w:eastAsia="Calibri" w:cs="Arial"/>
                <w:lang w:val="mk-MK"/>
              </w:rPr>
            </w:pPr>
          </w:p>
        </w:tc>
      </w:tr>
      <w:tr w:rsidR="00E053A7" w:rsidRPr="008662BF" w14:paraId="6E1118B0" w14:textId="77777777" w:rsidTr="004B2AB0">
        <w:trPr>
          <w:trHeight w:val="155"/>
          <w:jc w:val="center"/>
        </w:trPr>
        <w:tc>
          <w:tcPr>
            <w:tcW w:w="2513" w:type="pct"/>
          </w:tcPr>
          <w:p w14:paraId="6F3E3200" w14:textId="77777777" w:rsidR="00E053A7" w:rsidRPr="008662BF" w:rsidRDefault="00E053A7" w:rsidP="00E053A7">
            <w:pPr>
              <w:spacing w:after="0" w:line="240" w:lineRule="auto"/>
              <w:rPr>
                <w:lang w:val="mk-MK"/>
              </w:rPr>
            </w:pPr>
            <w:r w:rsidRPr="008662BF">
              <w:rPr>
                <w:lang w:val="mk-MK"/>
              </w:rPr>
              <w:t>Адреса на веб-страницата на институцијата</w:t>
            </w:r>
          </w:p>
        </w:tc>
        <w:tc>
          <w:tcPr>
            <w:tcW w:w="2487" w:type="pct"/>
          </w:tcPr>
          <w:p w14:paraId="40112DA6" w14:textId="77777777" w:rsidR="00E053A7" w:rsidRPr="008662BF" w:rsidRDefault="00E053A7" w:rsidP="00E053A7">
            <w:pPr>
              <w:spacing w:after="0" w:line="240" w:lineRule="auto"/>
              <w:rPr>
                <w:rFonts w:eastAsia="Calibri" w:cs="Arial"/>
                <w:lang w:val="mk-MK"/>
              </w:rPr>
            </w:pPr>
          </w:p>
        </w:tc>
      </w:tr>
    </w:tbl>
    <w:p w14:paraId="20ECFA8C" w14:textId="77777777" w:rsidR="007947BF" w:rsidRPr="008662BF" w:rsidRDefault="007947BF" w:rsidP="007947BF">
      <w:pPr>
        <w:spacing w:after="0" w:line="240" w:lineRule="auto"/>
        <w:rPr>
          <w:rFonts w:eastAsia="Calibri" w:cs="Arial"/>
          <w:b/>
          <w:lang w:val="mk-MK"/>
        </w:rPr>
      </w:pPr>
    </w:p>
    <w:p w14:paraId="3E5481D6" w14:textId="77777777" w:rsidR="007947BF" w:rsidRPr="008662BF" w:rsidRDefault="007947BF" w:rsidP="007947BF">
      <w:pPr>
        <w:rPr>
          <w:b/>
          <w:sz w:val="18"/>
          <w:lang w:val="mk-MK"/>
        </w:rPr>
      </w:pPr>
      <w:r w:rsidRPr="008662BF">
        <w:rPr>
          <w:b/>
          <w:sz w:val="24"/>
          <w:lang w:val="mk-MK"/>
        </w:rPr>
        <w:t xml:space="preserve">1.2. </w:t>
      </w:r>
      <w:r w:rsidR="00E053A7" w:rsidRPr="008662BF">
        <w:rPr>
          <w:b/>
          <w:sz w:val="24"/>
          <w:lang w:val="mk-MK"/>
        </w:rPr>
        <w:t xml:space="preserve">Општи информации за истражувачката инфраструктура или </w:t>
      </w:r>
      <w:r w:rsidR="006572DC">
        <w:rPr>
          <w:b/>
          <w:sz w:val="24"/>
          <w:lang w:val="mk-MK"/>
        </w:rPr>
        <w:t xml:space="preserve">за </w:t>
      </w:r>
      <w:r w:rsidR="00E053A7" w:rsidRPr="008662BF">
        <w:rPr>
          <w:b/>
          <w:sz w:val="24"/>
          <w:lang w:val="mk-MK"/>
        </w:rPr>
        <w:t>важна</w:t>
      </w:r>
      <w:r w:rsidR="006572DC">
        <w:rPr>
          <w:b/>
          <w:sz w:val="24"/>
          <w:lang w:val="mk-MK"/>
        </w:rPr>
        <w:t>та</w:t>
      </w:r>
      <w:r w:rsidR="00E053A7" w:rsidRPr="008662BF">
        <w:rPr>
          <w:b/>
          <w:sz w:val="24"/>
          <w:lang w:val="mk-MK"/>
        </w:rPr>
        <w:t xml:space="preserve"> истражувачка опрема и капацитети</w:t>
      </w:r>
      <w:r w:rsidR="006572DC">
        <w:rPr>
          <w:b/>
          <w:sz w:val="24"/>
          <w:lang w:val="mk-MK"/>
        </w:rPr>
        <w:t>те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552"/>
        <w:gridCol w:w="2385"/>
        <w:gridCol w:w="2119"/>
      </w:tblGrid>
      <w:tr w:rsidR="00E053A7" w:rsidRPr="008662BF" w14:paraId="22EF3156" w14:textId="77777777" w:rsidTr="004B2AB0">
        <w:trPr>
          <w:jc w:val="center"/>
        </w:trPr>
        <w:tc>
          <w:tcPr>
            <w:tcW w:w="2513" w:type="pct"/>
          </w:tcPr>
          <w:p w14:paraId="4B05B254" w14:textId="77777777" w:rsidR="00E053A7" w:rsidRPr="008662BF" w:rsidRDefault="00E053A7" w:rsidP="00E053A7">
            <w:pPr>
              <w:spacing w:after="0" w:line="240" w:lineRule="auto"/>
              <w:rPr>
                <w:lang w:val="mk-MK"/>
              </w:rPr>
            </w:pPr>
            <w:r w:rsidRPr="008662BF">
              <w:rPr>
                <w:lang w:val="mk-MK"/>
              </w:rPr>
              <w:t>Назив на истражувачката инфраструктура</w:t>
            </w:r>
          </w:p>
        </w:tc>
        <w:tc>
          <w:tcPr>
            <w:tcW w:w="2487" w:type="pct"/>
            <w:gridSpan w:val="2"/>
          </w:tcPr>
          <w:p w14:paraId="34971436" w14:textId="77777777" w:rsidR="00E053A7" w:rsidRPr="008662BF" w:rsidRDefault="00E053A7" w:rsidP="00E053A7">
            <w:pPr>
              <w:spacing w:after="0" w:line="240" w:lineRule="auto"/>
              <w:rPr>
                <w:rFonts w:eastAsia="Calibri" w:cs="Arial"/>
                <w:lang w:val="mk-MK"/>
              </w:rPr>
            </w:pPr>
          </w:p>
        </w:tc>
      </w:tr>
      <w:tr w:rsidR="00E053A7" w:rsidRPr="008662BF" w14:paraId="3CA673BC" w14:textId="77777777" w:rsidTr="004B2AB0">
        <w:trPr>
          <w:jc w:val="center"/>
        </w:trPr>
        <w:tc>
          <w:tcPr>
            <w:tcW w:w="2513" w:type="pct"/>
          </w:tcPr>
          <w:p w14:paraId="4D44824A" w14:textId="77777777" w:rsidR="00E053A7" w:rsidRPr="008662BF" w:rsidRDefault="00E053A7" w:rsidP="00E053A7">
            <w:pPr>
              <w:spacing w:after="0" w:line="240" w:lineRule="auto"/>
              <w:rPr>
                <w:lang w:val="mk-MK"/>
              </w:rPr>
            </w:pPr>
            <w:r w:rsidRPr="008662BF">
              <w:rPr>
                <w:lang w:val="mk-MK"/>
              </w:rPr>
              <w:t>Матична институција</w:t>
            </w:r>
          </w:p>
        </w:tc>
        <w:tc>
          <w:tcPr>
            <w:tcW w:w="2487" w:type="pct"/>
            <w:gridSpan w:val="2"/>
          </w:tcPr>
          <w:p w14:paraId="584726C0" w14:textId="77777777" w:rsidR="00E053A7" w:rsidRPr="008662BF" w:rsidRDefault="00E053A7" w:rsidP="00E053A7">
            <w:pPr>
              <w:spacing w:after="0" w:line="240" w:lineRule="auto"/>
              <w:rPr>
                <w:rFonts w:eastAsia="Calibri" w:cs="Arial"/>
                <w:lang w:val="mk-MK"/>
              </w:rPr>
            </w:pPr>
          </w:p>
        </w:tc>
      </w:tr>
      <w:tr w:rsidR="00E053A7" w:rsidRPr="008662BF" w14:paraId="00F2082E" w14:textId="77777777" w:rsidTr="004B2AB0">
        <w:trPr>
          <w:jc w:val="center"/>
        </w:trPr>
        <w:tc>
          <w:tcPr>
            <w:tcW w:w="2513" w:type="pct"/>
          </w:tcPr>
          <w:p w14:paraId="58B2C0EC" w14:textId="77777777" w:rsidR="00E053A7" w:rsidRPr="008662BF" w:rsidRDefault="00E053A7" w:rsidP="00E053A7">
            <w:pPr>
              <w:spacing w:after="0" w:line="240" w:lineRule="auto"/>
              <w:rPr>
                <w:lang w:val="mk-MK"/>
              </w:rPr>
            </w:pPr>
            <w:r w:rsidRPr="008662BF">
              <w:rPr>
                <w:lang w:val="mk-MK"/>
              </w:rPr>
              <w:t>Адреса на истражувачката инфраструктура</w:t>
            </w:r>
          </w:p>
        </w:tc>
        <w:tc>
          <w:tcPr>
            <w:tcW w:w="2487" w:type="pct"/>
            <w:gridSpan w:val="2"/>
          </w:tcPr>
          <w:p w14:paraId="5C9FFE77" w14:textId="77777777" w:rsidR="00E053A7" w:rsidRPr="008662BF" w:rsidRDefault="00E053A7" w:rsidP="00E053A7">
            <w:pPr>
              <w:spacing w:after="0" w:line="240" w:lineRule="auto"/>
              <w:rPr>
                <w:rFonts w:eastAsia="Calibri" w:cs="Arial"/>
                <w:lang w:val="mk-MK"/>
              </w:rPr>
            </w:pPr>
          </w:p>
        </w:tc>
      </w:tr>
      <w:tr w:rsidR="00E053A7" w:rsidRPr="008662BF" w14:paraId="01370420" w14:textId="77777777" w:rsidTr="004B2AB0">
        <w:trPr>
          <w:jc w:val="center"/>
        </w:trPr>
        <w:tc>
          <w:tcPr>
            <w:tcW w:w="2513" w:type="pct"/>
          </w:tcPr>
          <w:p w14:paraId="6030843B" w14:textId="77777777" w:rsidR="00E053A7" w:rsidRPr="008662BF" w:rsidRDefault="00E053A7" w:rsidP="00E053A7">
            <w:pPr>
              <w:spacing w:after="0" w:line="240" w:lineRule="auto"/>
              <w:rPr>
                <w:lang w:val="mk-MK"/>
              </w:rPr>
            </w:pPr>
            <w:r w:rsidRPr="008662BF">
              <w:rPr>
                <w:lang w:val="mk-MK"/>
              </w:rPr>
              <w:lastRenderedPageBreak/>
              <w:t>Веб-страница на истражувачката инфраструктура</w:t>
            </w:r>
          </w:p>
        </w:tc>
        <w:tc>
          <w:tcPr>
            <w:tcW w:w="2487" w:type="pct"/>
            <w:gridSpan w:val="2"/>
          </w:tcPr>
          <w:p w14:paraId="404DBC21" w14:textId="77777777" w:rsidR="00E053A7" w:rsidRPr="008662BF" w:rsidRDefault="00E053A7" w:rsidP="00E053A7">
            <w:pPr>
              <w:spacing w:after="0" w:line="240" w:lineRule="auto"/>
              <w:rPr>
                <w:rFonts w:eastAsia="Calibri" w:cs="Arial"/>
                <w:lang w:val="mk-MK"/>
              </w:rPr>
            </w:pPr>
          </w:p>
        </w:tc>
      </w:tr>
      <w:tr w:rsidR="007947BF" w:rsidRPr="008662BF" w14:paraId="1733F8E1" w14:textId="77777777" w:rsidTr="004B2AB0">
        <w:trPr>
          <w:jc w:val="center"/>
        </w:trPr>
        <w:tc>
          <w:tcPr>
            <w:tcW w:w="2513" w:type="pct"/>
          </w:tcPr>
          <w:p w14:paraId="36A5F3B3" w14:textId="77777777" w:rsidR="007947BF" w:rsidRPr="008662BF" w:rsidRDefault="00E053A7" w:rsidP="00E053A7">
            <w:pPr>
              <w:spacing w:after="0"/>
              <w:rPr>
                <w:lang w:val="mk-MK"/>
              </w:rPr>
            </w:pPr>
            <w:r w:rsidRPr="008662BF">
              <w:rPr>
                <w:lang w:val="mk-MK"/>
              </w:rPr>
              <w:t>Тематска категоризација на ИИ според научна област</w:t>
            </w:r>
            <w:r w:rsidR="007947BF" w:rsidRPr="008662BF">
              <w:rPr>
                <w:lang w:val="mk-MK"/>
              </w:rPr>
              <w:t>*</w:t>
            </w:r>
          </w:p>
        </w:tc>
        <w:tc>
          <w:tcPr>
            <w:tcW w:w="2487" w:type="pct"/>
            <w:gridSpan w:val="2"/>
          </w:tcPr>
          <w:p w14:paraId="1782FD16" w14:textId="77777777" w:rsidR="007947BF" w:rsidRPr="008662BF" w:rsidRDefault="007947BF" w:rsidP="004B2AB0">
            <w:pPr>
              <w:spacing w:after="0" w:line="240" w:lineRule="auto"/>
              <w:rPr>
                <w:rFonts w:eastAsia="Calibri" w:cs="Arial"/>
                <w:lang w:val="mk-MK"/>
              </w:rPr>
            </w:pPr>
          </w:p>
        </w:tc>
      </w:tr>
      <w:tr w:rsidR="007947BF" w:rsidRPr="008662BF" w14:paraId="64FF2259" w14:textId="77777777" w:rsidTr="004B2AB0">
        <w:trPr>
          <w:jc w:val="center"/>
        </w:trPr>
        <w:tc>
          <w:tcPr>
            <w:tcW w:w="2513" w:type="pct"/>
            <w:tcBorders>
              <w:bottom w:val="single" w:sz="6" w:space="0" w:color="auto"/>
            </w:tcBorders>
          </w:tcPr>
          <w:p w14:paraId="3FDF98F2" w14:textId="77777777" w:rsidR="007947BF" w:rsidRPr="008662BF" w:rsidRDefault="00E053A7" w:rsidP="00E053A7">
            <w:pPr>
              <w:spacing w:after="0"/>
              <w:rPr>
                <w:lang w:val="mk-MK"/>
              </w:rPr>
            </w:pPr>
            <w:r w:rsidRPr="008662BF">
              <w:rPr>
                <w:lang w:val="mk-MK"/>
              </w:rPr>
              <w:t>Тип на ИИ</w:t>
            </w:r>
            <w:r w:rsidR="007947BF" w:rsidRPr="008662BF">
              <w:rPr>
                <w:lang w:val="mk-MK"/>
              </w:rPr>
              <w:t>**</w:t>
            </w:r>
          </w:p>
        </w:tc>
        <w:tc>
          <w:tcPr>
            <w:tcW w:w="2487" w:type="pct"/>
            <w:gridSpan w:val="2"/>
            <w:tcBorders>
              <w:bottom w:val="single" w:sz="6" w:space="0" w:color="auto"/>
            </w:tcBorders>
          </w:tcPr>
          <w:p w14:paraId="7FFB4125" w14:textId="77777777" w:rsidR="007947BF" w:rsidRPr="008662BF" w:rsidRDefault="007947BF" w:rsidP="004B2AB0">
            <w:pPr>
              <w:spacing w:after="0" w:line="240" w:lineRule="auto"/>
              <w:rPr>
                <w:rFonts w:eastAsia="Calibri" w:cs="Arial"/>
                <w:lang w:val="mk-MK"/>
              </w:rPr>
            </w:pPr>
          </w:p>
        </w:tc>
      </w:tr>
      <w:tr w:rsidR="007947BF" w:rsidRPr="008662BF" w14:paraId="3C2507AE" w14:textId="77777777" w:rsidTr="004B2AB0">
        <w:trPr>
          <w:jc w:val="center"/>
        </w:trPr>
        <w:tc>
          <w:tcPr>
            <w:tcW w:w="2513" w:type="pct"/>
            <w:tcBorders>
              <w:bottom w:val="single" w:sz="6" w:space="0" w:color="auto"/>
            </w:tcBorders>
          </w:tcPr>
          <w:p w14:paraId="2AD59E8E" w14:textId="77777777" w:rsidR="007947BF" w:rsidRPr="008662BF" w:rsidRDefault="009E733C" w:rsidP="009E733C">
            <w:pPr>
              <w:spacing w:after="0"/>
              <w:rPr>
                <w:lang w:val="mk-MK"/>
              </w:rPr>
            </w:pPr>
            <w:r w:rsidRPr="008662BF">
              <w:rPr>
                <w:lang w:val="mk-MK"/>
              </w:rPr>
              <w:t>Главна на</w:t>
            </w:r>
            <w:r w:rsidR="002F6BCF" w:rsidRPr="008662BF">
              <w:rPr>
                <w:lang w:val="mk-MK"/>
              </w:rPr>
              <w:t>учна област</w:t>
            </w:r>
          </w:p>
        </w:tc>
        <w:tc>
          <w:tcPr>
            <w:tcW w:w="2487" w:type="pct"/>
            <w:gridSpan w:val="2"/>
            <w:tcBorders>
              <w:bottom w:val="single" w:sz="6" w:space="0" w:color="auto"/>
            </w:tcBorders>
          </w:tcPr>
          <w:p w14:paraId="6030687A" w14:textId="77777777" w:rsidR="007947BF" w:rsidRPr="008662BF" w:rsidRDefault="007947BF" w:rsidP="004B2AB0">
            <w:pPr>
              <w:spacing w:after="0" w:line="240" w:lineRule="auto"/>
              <w:rPr>
                <w:rFonts w:eastAsia="Calibri" w:cs="Arial"/>
                <w:lang w:val="mk-MK"/>
              </w:rPr>
            </w:pPr>
          </w:p>
        </w:tc>
      </w:tr>
      <w:tr w:rsidR="007947BF" w:rsidRPr="008662BF" w14:paraId="5914465D" w14:textId="77777777" w:rsidTr="004B2AB0">
        <w:trPr>
          <w:jc w:val="center"/>
        </w:trPr>
        <w:tc>
          <w:tcPr>
            <w:tcW w:w="2513" w:type="pct"/>
            <w:tcBorders>
              <w:bottom w:val="single" w:sz="6" w:space="0" w:color="auto"/>
            </w:tcBorders>
          </w:tcPr>
          <w:p w14:paraId="73A4859C" w14:textId="76B196E8" w:rsidR="007947BF" w:rsidRPr="008662BF" w:rsidRDefault="009E733C">
            <w:pPr>
              <w:spacing w:after="0"/>
              <w:rPr>
                <w:lang w:val="mk-MK"/>
              </w:rPr>
            </w:pPr>
            <w:r w:rsidRPr="008662BF">
              <w:rPr>
                <w:lang w:val="mk-MK"/>
              </w:rPr>
              <w:t xml:space="preserve">Други научни и технолошкиобласти </w:t>
            </w:r>
            <w:r w:rsidR="006572DC">
              <w:rPr>
                <w:lang w:val="mk-MK"/>
              </w:rPr>
              <w:t>што</w:t>
            </w:r>
            <w:r w:rsidRPr="008662BF">
              <w:rPr>
                <w:lang w:val="mk-MK"/>
              </w:rPr>
              <w:t xml:space="preserve"> </w:t>
            </w:r>
            <w:r w:rsidR="006572DC" w:rsidRPr="008662BF">
              <w:rPr>
                <w:lang w:val="mk-MK"/>
              </w:rPr>
              <w:t xml:space="preserve">ги  опслужува </w:t>
            </w:r>
            <w:r w:rsidRPr="008662BF">
              <w:rPr>
                <w:lang w:val="mk-MK"/>
              </w:rPr>
              <w:t xml:space="preserve">ИИ </w:t>
            </w:r>
          </w:p>
        </w:tc>
        <w:tc>
          <w:tcPr>
            <w:tcW w:w="2487" w:type="pct"/>
            <w:gridSpan w:val="2"/>
            <w:tcBorders>
              <w:bottom w:val="single" w:sz="6" w:space="0" w:color="auto"/>
            </w:tcBorders>
          </w:tcPr>
          <w:p w14:paraId="09A6A4FD" w14:textId="77777777" w:rsidR="007947BF" w:rsidRPr="008662BF" w:rsidRDefault="007947BF" w:rsidP="004B2AB0">
            <w:pPr>
              <w:spacing w:after="0" w:line="240" w:lineRule="auto"/>
              <w:rPr>
                <w:rFonts w:eastAsia="Calibri" w:cs="Arial"/>
                <w:lang w:val="mk-MK"/>
              </w:rPr>
            </w:pPr>
          </w:p>
        </w:tc>
      </w:tr>
      <w:tr w:rsidR="007947BF" w:rsidRPr="008662BF" w14:paraId="4E384362" w14:textId="77777777" w:rsidTr="004B2AB0">
        <w:trPr>
          <w:jc w:val="center"/>
        </w:trPr>
        <w:tc>
          <w:tcPr>
            <w:tcW w:w="2513" w:type="pct"/>
            <w:tcBorders>
              <w:bottom w:val="single" w:sz="6" w:space="0" w:color="auto"/>
            </w:tcBorders>
          </w:tcPr>
          <w:p w14:paraId="79DC506C" w14:textId="77777777" w:rsidR="007947BF" w:rsidRPr="008662BF" w:rsidRDefault="009E733C" w:rsidP="009E733C">
            <w:pPr>
              <w:spacing w:after="0"/>
              <w:rPr>
                <w:lang w:val="mk-MK"/>
              </w:rPr>
            </w:pPr>
            <w:r w:rsidRPr="008662BF">
              <w:rPr>
                <w:lang w:val="mk-MK"/>
              </w:rPr>
              <w:t>Вкупен број на корисници на ИИ</w:t>
            </w:r>
          </w:p>
        </w:tc>
        <w:tc>
          <w:tcPr>
            <w:tcW w:w="2487" w:type="pct"/>
            <w:gridSpan w:val="2"/>
            <w:tcBorders>
              <w:bottom w:val="single" w:sz="6" w:space="0" w:color="auto"/>
            </w:tcBorders>
          </w:tcPr>
          <w:p w14:paraId="14063BFE" w14:textId="77777777" w:rsidR="007947BF" w:rsidRPr="008662BF" w:rsidRDefault="007947BF" w:rsidP="004B2AB0">
            <w:pPr>
              <w:spacing w:after="0" w:line="240" w:lineRule="auto"/>
              <w:rPr>
                <w:rFonts w:eastAsia="Calibri" w:cs="Arial"/>
                <w:lang w:val="mk-MK"/>
              </w:rPr>
            </w:pPr>
          </w:p>
        </w:tc>
      </w:tr>
      <w:tr w:rsidR="007947BF" w:rsidRPr="008662BF" w14:paraId="7559C65D" w14:textId="77777777" w:rsidTr="004B2AB0">
        <w:trPr>
          <w:jc w:val="center"/>
        </w:trPr>
        <w:tc>
          <w:tcPr>
            <w:tcW w:w="2513" w:type="pct"/>
            <w:tcBorders>
              <w:bottom w:val="single" w:sz="6" w:space="0" w:color="auto"/>
              <w:right w:val="single" w:sz="4" w:space="0" w:color="auto"/>
            </w:tcBorders>
          </w:tcPr>
          <w:p w14:paraId="5F7DE4B6" w14:textId="77777777" w:rsidR="007947BF" w:rsidRPr="008662BF" w:rsidRDefault="009E733C" w:rsidP="009E733C">
            <w:pPr>
              <w:spacing w:after="0" w:line="240" w:lineRule="auto"/>
              <w:rPr>
                <w:rFonts w:eastAsia="Calibri" w:cs="Arial"/>
                <w:lang w:val="mk-MK"/>
              </w:rPr>
            </w:pPr>
            <w:r w:rsidRPr="008662BF">
              <w:rPr>
                <w:rFonts w:eastAsia="Calibri" w:cs="Arial"/>
                <w:lang w:val="mk-MK"/>
              </w:rPr>
              <w:t>Име и работно место на одговорното лице во име на истражувачката инфраструктура</w:t>
            </w:r>
            <w:r w:rsidR="007947BF" w:rsidRPr="008662BF">
              <w:rPr>
                <w:rFonts w:eastAsia="Calibri" w:cs="Arial"/>
                <w:lang w:val="mk-MK"/>
              </w:rPr>
              <w:t>:</w:t>
            </w:r>
          </w:p>
        </w:tc>
        <w:tc>
          <w:tcPr>
            <w:tcW w:w="2487" w:type="pct"/>
            <w:gridSpan w:val="2"/>
            <w:tcBorders>
              <w:left w:val="single" w:sz="4" w:space="0" w:color="auto"/>
              <w:bottom w:val="dotted" w:sz="4" w:space="0" w:color="auto"/>
            </w:tcBorders>
          </w:tcPr>
          <w:p w14:paraId="7BBBF959" w14:textId="77777777" w:rsidR="007947BF" w:rsidRPr="008662BF" w:rsidRDefault="007947BF" w:rsidP="004B2AB0">
            <w:pPr>
              <w:spacing w:after="0" w:line="240" w:lineRule="auto"/>
              <w:rPr>
                <w:rFonts w:eastAsia="Calibri" w:cs="Arial"/>
                <w:lang w:val="mk-MK"/>
              </w:rPr>
            </w:pPr>
          </w:p>
        </w:tc>
      </w:tr>
      <w:tr w:rsidR="007947BF" w:rsidRPr="008662BF" w14:paraId="6EDA52EF" w14:textId="77777777" w:rsidTr="004B2AB0">
        <w:trPr>
          <w:jc w:val="center"/>
        </w:trPr>
        <w:tc>
          <w:tcPr>
            <w:tcW w:w="2513" w:type="pct"/>
          </w:tcPr>
          <w:p w14:paraId="101BC185" w14:textId="77777777" w:rsidR="007947BF" w:rsidRPr="008662BF" w:rsidRDefault="00C75D1A" w:rsidP="00C75D1A">
            <w:pPr>
              <w:spacing w:after="0" w:line="240" w:lineRule="auto"/>
              <w:rPr>
                <w:rFonts w:eastAsia="Calibri" w:cs="Arial"/>
                <w:lang w:val="mk-MK"/>
              </w:rPr>
            </w:pPr>
            <w:r w:rsidRPr="008662BF">
              <w:rPr>
                <w:rFonts w:eastAsia="Calibri" w:cs="Arial"/>
                <w:lang w:val="mk-MK"/>
              </w:rPr>
              <w:t>Година на основање на ИИ</w:t>
            </w:r>
            <w:r w:rsidR="007947BF" w:rsidRPr="008662BF">
              <w:rPr>
                <w:rFonts w:eastAsia="Calibri" w:cs="Arial"/>
                <w:lang w:val="mk-MK"/>
              </w:rPr>
              <w:t>:</w:t>
            </w:r>
          </w:p>
        </w:tc>
        <w:tc>
          <w:tcPr>
            <w:tcW w:w="2487" w:type="pct"/>
            <w:gridSpan w:val="2"/>
          </w:tcPr>
          <w:p w14:paraId="13DBB5CE" w14:textId="77777777" w:rsidR="007947BF" w:rsidRPr="008662BF" w:rsidRDefault="007947BF" w:rsidP="004B2AB0">
            <w:pPr>
              <w:spacing w:after="0" w:line="240" w:lineRule="auto"/>
              <w:rPr>
                <w:rFonts w:eastAsia="Calibri" w:cs="Arial"/>
                <w:lang w:val="mk-MK"/>
              </w:rPr>
            </w:pPr>
          </w:p>
        </w:tc>
      </w:tr>
      <w:tr w:rsidR="007947BF" w:rsidRPr="008662BF" w14:paraId="5739B80E" w14:textId="77777777" w:rsidTr="00E053A7">
        <w:trPr>
          <w:jc w:val="center"/>
        </w:trPr>
        <w:tc>
          <w:tcPr>
            <w:tcW w:w="2513" w:type="pct"/>
            <w:vMerge w:val="restart"/>
            <w:vAlign w:val="center"/>
          </w:tcPr>
          <w:p w14:paraId="48AC9661" w14:textId="77777777" w:rsidR="007947BF" w:rsidRPr="008662BF" w:rsidRDefault="00C75D1A" w:rsidP="00C75D1A">
            <w:pPr>
              <w:spacing w:after="0" w:line="240" w:lineRule="auto"/>
              <w:rPr>
                <w:rFonts w:eastAsia="Calibri" w:cs="Arial"/>
                <w:lang w:val="mk-MK"/>
              </w:rPr>
            </w:pPr>
            <w:r w:rsidRPr="008662BF">
              <w:rPr>
                <w:rFonts w:eastAsia="Calibri" w:cs="Arial"/>
                <w:lang w:val="mk-MK"/>
              </w:rPr>
              <w:t>Основач</w:t>
            </w:r>
          </w:p>
        </w:tc>
        <w:tc>
          <w:tcPr>
            <w:tcW w:w="1317" w:type="pct"/>
          </w:tcPr>
          <w:p w14:paraId="2011F54F" w14:textId="77777777" w:rsidR="007947BF" w:rsidRPr="008662BF" w:rsidRDefault="00C75D1A" w:rsidP="00C75D1A">
            <w:pPr>
              <w:spacing w:after="0" w:line="240" w:lineRule="auto"/>
              <w:rPr>
                <w:rFonts w:eastAsia="Calibri" w:cs="Arial"/>
                <w:lang w:val="mk-MK"/>
              </w:rPr>
            </w:pPr>
            <w:r w:rsidRPr="008662BF">
              <w:rPr>
                <w:rFonts w:eastAsia="Calibri" w:cs="Arial"/>
                <w:lang w:val="mk-MK"/>
              </w:rPr>
              <w:t>Институција/и</w:t>
            </w:r>
          </w:p>
        </w:tc>
        <w:tc>
          <w:tcPr>
            <w:tcW w:w="1170" w:type="pct"/>
          </w:tcPr>
          <w:p w14:paraId="6BFCAB04" w14:textId="77777777" w:rsidR="007947BF" w:rsidRPr="008662BF" w:rsidRDefault="00C75D1A" w:rsidP="00C75D1A">
            <w:pPr>
              <w:spacing w:after="0" w:line="240" w:lineRule="auto"/>
              <w:rPr>
                <w:rFonts w:eastAsia="Calibri" w:cs="Arial"/>
                <w:lang w:val="mk-MK"/>
              </w:rPr>
            </w:pPr>
            <w:r w:rsidRPr="008662BF">
              <w:rPr>
                <w:rFonts w:eastAsia="Calibri" w:cs="Arial"/>
                <w:lang w:val="mk-MK"/>
              </w:rPr>
              <w:t>Удел во сопственоста</w:t>
            </w:r>
            <w:r w:rsidR="007947BF" w:rsidRPr="008662BF">
              <w:rPr>
                <w:rFonts w:eastAsia="Calibri" w:cs="Arial"/>
                <w:lang w:val="mk-MK"/>
              </w:rPr>
              <w:t xml:space="preserve"> (%)</w:t>
            </w:r>
          </w:p>
        </w:tc>
      </w:tr>
      <w:tr w:rsidR="007947BF" w:rsidRPr="008662BF" w14:paraId="07053D1C" w14:textId="77777777" w:rsidTr="00E053A7">
        <w:trPr>
          <w:jc w:val="center"/>
        </w:trPr>
        <w:tc>
          <w:tcPr>
            <w:tcW w:w="2513" w:type="pct"/>
            <w:vMerge/>
          </w:tcPr>
          <w:p w14:paraId="5C56D7D0" w14:textId="77777777" w:rsidR="007947BF" w:rsidRPr="008662BF" w:rsidRDefault="007947BF" w:rsidP="004B2AB0">
            <w:pPr>
              <w:spacing w:after="0" w:line="240" w:lineRule="auto"/>
              <w:rPr>
                <w:rFonts w:eastAsia="Calibri" w:cs="Arial"/>
                <w:lang w:val="mk-MK"/>
              </w:rPr>
            </w:pPr>
          </w:p>
        </w:tc>
        <w:tc>
          <w:tcPr>
            <w:tcW w:w="1317" w:type="pct"/>
          </w:tcPr>
          <w:p w14:paraId="0AA22187" w14:textId="77777777" w:rsidR="007947BF" w:rsidRPr="008662BF" w:rsidRDefault="007947BF" w:rsidP="004B2AB0">
            <w:pPr>
              <w:spacing w:after="0" w:line="240" w:lineRule="auto"/>
              <w:rPr>
                <w:rFonts w:eastAsia="Calibri" w:cs="Arial"/>
                <w:lang w:val="mk-MK"/>
              </w:rPr>
            </w:pPr>
          </w:p>
        </w:tc>
        <w:tc>
          <w:tcPr>
            <w:tcW w:w="1170" w:type="pct"/>
          </w:tcPr>
          <w:p w14:paraId="08ECFF27" w14:textId="77777777" w:rsidR="007947BF" w:rsidRPr="008662BF" w:rsidRDefault="007947BF" w:rsidP="004B2AB0">
            <w:pPr>
              <w:spacing w:after="0" w:line="240" w:lineRule="auto"/>
              <w:rPr>
                <w:rFonts w:eastAsia="Calibri" w:cs="Arial"/>
                <w:lang w:val="mk-MK"/>
              </w:rPr>
            </w:pPr>
          </w:p>
        </w:tc>
      </w:tr>
      <w:tr w:rsidR="007947BF" w:rsidRPr="008662BF" w14:paraId="0FBBE45E" w14:textId="77777777" w:rsidTr="00E053A7">
        <w:trPr>
          <w:jc w:val="center"/>
        </w:trPr>
        <w:tc>
          <w:tcPr>
            <w:tcW w:w="2513" w:type="pct"/>
          </w:tcPr>
          <w:p w14:paraId="6F0608A7" w14:textId="77777777" w:rsidR="007947BF" w:rsidRPr="008662BF" w:rsidRDefault="007947BF" w:rsidP="004B2AB0">
            <w:pPr>
              <w:spacing w:after="0" w:line="240" w:lineRule="auto"/>
              <w:rPr>
                <w:rFonts w:eastAsia="Calibri" w:cs="Arial"/>
                <w:lang w:val="mk-MK"/>
              </w:rPr>
            </w:pPr>
          </w:p>
        </w:tc>
        <w:tc>
          <w:tcPr>
            <w:tcW w:w="1317" w:type="pct"/>
            <w:tcBorders>
              <w:bottom w:val="single" w:sz="6" w:space="0" w:color="auto"/>
            </w:tcBorders>
          </w:tcPr>
          <w:p w14:paraId="5586D252" w14:textId="77777777" w:rsidR="007947BF" w:rsidRPr="008662BF" w:rsidRDefault="007947BF" w:rsidP="004B2AB0">
            <w:pPr>
              <w:spacing w:after="0" w:line="240" w:lineRule="auto"/>
              <w:rPr>
                <w:rFonts w:eastAsia="Calibri" w:cs="Arial"/>
                <w:lang w:val="mk-MK"/>
              </w:rPr>
            </w:pPr>
          </w:p>
        </w:tc>
        <w:tc>
          <w:tcPr>
            <w:tcW w:w="1170" w:type="pct"/>
            <w:tcBorders>
              <w:bottom w:val="single" w:sz="6" w:space="0" w:color="auto"/>
            </w:tcBorders>
          </w:tcPr>
          <w:p w14:paraId="303F841C" w14:textId="77777777" w:rsidR="007947BF" w:rsidRPr="008662BF" w:rsidRDefault="007947BF" w:rsidP="004B2AB0">
            <w:pPr>
              <w:spacing w:after="0" w:line="240" w:lineRule="auto"/>
              <w:rPr>
                <w:rFonts w:eastAsia="Calibri" w:cs="Arial"/>
                <w:lang w:val="mk-MK"/>
              </w:rPr>
            </w:pPr>
          </w:p>
        </w:tc>
      </w:tr>
    </w:tbl>
    <w:p w14:paraId="3634947C" w14:textId="77777777" w:rsidR="007947BF" w:rsidRPr="008662BF" w:rsidRDefault="007947BF" w:rsidP="007947BF">
      <w:pPr>
        <w:spacing w:after="0" w:line="252" w:lineRule="auto"/>
        <w:jc w:val="both"/>
        <w:rPr>
          <w:rFonts w:eastAsia="Calibri" w:cs="Arial"/>
          <w:sz w:val="18"/>
          <w:szCs w:val="18"/>
          <w:lang w:val="mk-MK"/>
        </w:rPr>
      </w:pPr>
      <w:r w:rsidRPr="008662BF">
        <w:rPr>
          <w:rFonts w:eastAsia="Calibri" w:cs="Arial"/>
          <w:sz w:val="18"/>
          <w:szCs w:val="18"/>
          <w:lang w:val="mk-MK"/>
        </w:rPr>
        <w:t>*</w:t>
      </w:r>
      <w:r w:rsidR="00C75D1A" w:rsidRPr="008662BF">
        <w:rPr>
          <w:rFonts w:eastAsia="Calibri" w:cs="Arial"/>
          <w:sz w:val="18"/>
          <w:szCs w:val="18"/>
          <w:lang w:val="mk-MK"/>
        </w:rPr>
        <w:t>Тематска категоризација на типовите на ИИ по научни области. ESFRI ги утврди следните 6 тематски области:</w:t>
      </w:r>
    </w:p>
    <w:p w14:paraId="1A312494" w14:textId="77777777" w:rsidR="00C75D1A" w:rsidRPr="008662BF" w:rsidRDefault="00C75D1A" w:rsidP="00C75D1A">
      <w:pPr>
        <w:pStyle w:val="ListParagraph"/>
        <w:numPr>
          <w:ilvl w:val="0"/>
          <w:numId w:val="9"/>
        </w:numPr>
        <w:spacing w:after="0" w:line="252" w:lineRule="auto"/>
        <w:jc w:val="both"/>
        <w:rPr>
          <w:rFonts w:eastAsia="Calibri" w:cs="Arial"/>
          <w:sz w:val="18"/>
          <w:szCs w:val="18"/>
          <w:lang w:val="mk-MK"/>
        </w:rPr>
      </w:pPr>
      <w:r w:rsidRPr="008662BF">
        <w:rPr>
          <w:rFonts w:eastAsia="Calibri" w:cs="Arial"/>
          <w:sz w:val="18"/>
          <w:szCs w:val="18"/>
          <w:lang w:val="mk-MK"/>
        </w:rPr>
        <w:t>енергија;</w:t>
      </w:r>
    </w:p>
    <w:p w14:paraId="6A54F8D6" w14:textId="77777777" w:rsidR="00C75D1A" w:rsidRPr="008662BF" w:rsidRDefault="00C75D1A" w:rsidP="00C75D1A">
      <w:pPr>
        <w:pStyle w:val="ListParagraph"/>
        <w:numPr>
          <w:ilvl w:val="0"/>
          <w:numId w:val="9"/>
        </w:numPr>
        <w:spacing w:after="0" w:line="252" w:lineRule="auto"/>
        <w:jc w:val="both"/>
        <w:rPr>
          <w:rFonts w:eastAsia="Calibri" w:cs="Arial"/>
          <w:sz w:val="18"/>
          <w:szCs w:val="18"/>
          <w:lang w:val="mk-MK"/>
        </w:rPr>
      </w:pPr>
      <w:r w:rsidRPr="008662BF">
        <w:rPr>
          <w:rFonts w:eastAsia="Calibri" w:cs="Arial"/>
          <w:sz w:val="18"/>
          <w:szCs w:val="18"/>
          <w:lang w:val="mk-MK"/>
        </w:rPr>
        <w:t>животна средина;</w:t>
      </w:r>
    </w:p>
    <w:p w14:paraId="58DB16FD" w14:textId="77777777" w:rsidR="00C75D1A" w:rsidRPr="008662BF" w:rsidRDefault="00F87A27" w:rsidP="00C75D1A">
      <w:pPr>
        <w:pStyle w:val="ListParagraph"/>
        <w:numPr>
          <w:ilvl w:val="0"/>
          <w:numId w:val="9"/>
        </w:numPr>
        <w:spacing w:after="0" w:line="252" w:lineRule="auto"/>
        <w:jc w:val="both"/>
        <w:rPr>
          <w:rFonts w:eastAsia="Calibri" w:cs="Arial"/>
          <w:sz w:val="18"/>
          <w:szCs w:val="18"/>
          <w:lang w:val="mk-MK"/>
        </w:rPr>
      </w:pPr>
      <w:r w:rsidRPr="008662BF">
        <w:rPr>
          <w:rFonts w:eastAsia="Calibri" w:cs="Arial"/>
          <w:sz w:val="18"/>
          <w:szCs w:val="18"/>
          <w:lang w:val="mk-MK"/>
        </w:rPr>
        <w:t xml:space="preserve">здравствени и прехрамбени </w:t>
      </w:r>
      <w:r w:rsidR="00C75D1A" w:rsidRPr="008662BF">
        <w:rPr>
          <w:rFonts w:eastAsia="Calibri" w:cs="Arial"/>
          <w:sz w:val="18"/>
          <w:szCs w:val="18"/>
          <w:lang w:val="mk-MK"/>
        </w:rPr>
        <w:t>наук</w:t>
      </w:r>
      <w:r w:rsidRPr="008662BF">
        <w:rPr>
          <w:rFonts w:eastAsia="Calibri" w:cs="Arial"/>
          <w:sz w:val="18"/>
          <w:szCs w:val="18"/>
          <w:lang w:val="mk-MK"/>
        </w:rPr>
        <w:t>и</w:t>
      </w:r>
      <w:r w:rsidR="00C75D1A" w:rsidRPr="008662BF">
        <w:rPr>
          <w:rFonts w:eastAsia="Calibri" w:cs="Arial"/>
          <w:sz w:val="18"/>
          <w:szCs w:val="18"/>
          <w:lang w:val="mk-MK"/>
        </w:rPr>
        <w:t>;</w:t>
      </w:r>
    </w:p>
    <w:p w14:paraId="680DBB4E" w14:textId="77777777" w:rsidR="00C75D1A" w:rsidRPr="008662BF" w:rsidRDefault="00C75D1A" w:rsidP="00C75D1A">
      <w:pPr>
        <w:pStyle w:val="ListParagraph"/>
        <w:numPr>
          <w:ilvl w:val="0"/>
          <w:numId w:val="9"/>
        </w:numPr>
        <w:spacing w:after="0" w:line="252" w:lineRule="auto"/>
        <w:jc w:val="both"/>
        <w:rPr>
          <w:rFonts w:eastAsia="Calibri" w:cs="Arial"/>
          <w:sz w:val="18"/>
          <w:szCs w:val="18"/>
          <w:lang w:val="mk-MK"/>
        </w:rPr>
      </w:pPr>
      <w:r w:rsidRPr="008662BF">
        <w:rPr>
          <w:rFonts w:eastAsia="Calibri" w:cs="Arial"/>
          <w:sz w:val="18"/>
          <w:szCs w:val="18"/>
          <w:lang w:val="mk-MK"/>
        </w:rPr>
        <w:t>физички науки и инженерство</w:t>
      </w:r>
      <w:r w:rsidR="00F87A27" w:rsidRPr="008662BF">
        <w:rPr>
          <w:rFonts w:eastAsia="Calibri" w:cs="Arial"/>
          <w:sz w:val="18"/>
          <w:szCs w:val="18"/>
          <w:lang w:val="mk-MK"/>
        </w:rPr>
        <w:t>;</w:t>
      </w:r>
    </w:p>
    <w:p w14:paraId="71D77F8B" w14:textId="77777777" w:rsidR="00C75D1A" w:rsidRPr="008662BF" w:rsidRDefault="00C75D1A" w:rsidP="00C75D1A">
      <w:pPr>
        <w:pStyle w:val="ListParagraph"/>
        <w:numPr>
          <w:ilvl w:val="0"/>
          <w:numId w:val="9"/>
        </w:numPr>
        <w:spacing w:after="0" w:line="252" w:lineRule="auto"/>
        <w:jc w:val="both"/>
        <w:rPr>
          <w:rFonts w:eastAsia="Calibri" w:cs="Arial"/>
          <w:sz w:val="18"/>
          <w:szCs w:val="18"/>
          <w:lang w:val="mk-MK"/>
        </w:rPr>
      </w:pPr>
      <w:r w:rsidRPr="008662BF">
        <w:rPr>
          <w:rFonts w:eastAsia="Calibri" w:cs="Arial"/>
          <w:sz w:val="18"/>
          <w:szCs w:val="18"/>
          <w:lang w:val="mk-MK"/>
        </w:rPr>
        <w:t>општествени и културни иновации;</w:t>
      </w:r>
    </w:p>
    <w:p w14:paraId="7344DA06" w14:textId="77777777" w:rsidR="00C75D1A" w:rsidRPr="008662BF" w:rsidRDefault="00C75D1A" w:rsidP="00C75D1A">
      <w:pPr>
        <w:pStyle w:val="ListParagraph"/>
        <w:numPr>
          <w:ilvl w:val="0"/>
          <w:numId w:val="9"/>
        </w:numPr>
        <w:spacing w:after="0" w:line="252" w:lineRule="auto"/>
        <w:jc w:val="both"/>
        <w:rPr>
          <w:rFonts w:eastAsia="Calibri" w:cs="Arial"/>
          <w:sz w:val="18"/>
          <w:szCs w:val="18"/>
          <w:lang w:val="mk-MK"/>
        </w:rPr>
      </w:pPr>
      <w:r w:rsidRPr="008662BF">
        <w:rPr>
          <w:rFonts w:eastAsia="Calibri" w:cs="Arial"/>
          <w:sz w:val="18"/>
          <w:szCs w:val="18"/>
          <w:lang w:val="mk-MK"/>
        </w:rPr>
        <w:t>е-инфраструктури</w:t>
      </w:r>
      <w:r w:rsidR="006572DC">
        <w:rPr>
          <w:rFonts w:eastAsia="Calibri" w:cs="Arial"/>
          <w:sz w:val="18"/>
          <w:szCs w:val="18"/>
          <w:lang w:val="mk-MK"/>
        </w:rPr>
        <w:t>.</w:t>
      </w:r>
    </w:p>
    <w:p w14:paraId="336D12FD" w14:textId="77777777" w:rsidR="007947BF" w:rsidRPr="008662BF" w:rsidRDefault="00C75D1A" w:rsidP="007947BF">
      <w:pPr>
        <w:spacing w:after="0" w:line="252" w:lineRule="auto"/>
        <w:ind w:left="360"/>
        <w:jc w:val="both"/>
        <w:rPr>
          <w:rFonts w:eastAsia="Calibri" w:cs="Arial"/>
          <w:sz w:val="18"/>
          <w:szCs w:val="18"/>
          <w:lang w:val="mk-MK"/>
        </w:rPr>
      </w:pPr>
      <w:r w:rsidRPr="008662BF">
        <w:rPr>
          <w:rFonts w:eastAsia="Calibri" w:cs="Arial"/>
          <w:sz w:val="18"/>
          <w:szCs w:val="18"/>
          <w:lang w:val="mk-MK"/>
        </w:rPr>
        <w:t>Е-инфраструктура за научни истражувања – обезбедува компјутерски услуги за научната заедница.</w:t>
      </w:r>
    </w:p>
    <w:p w14:paraId="7A7E42A8" w14:textId="77777777" w:rsidR="007947BF" w:rsidRPr="008662BF" w:rsidRDefault="007947BF" w:rsidP="007947BF">
      <w:pPr>
        <w:spacing w:after="0" w:line="252" w:lineRule="auto"/>
        <w:jc w:val="both"/>
        <w:rPr>
          <w:rFonts w:eastAsia="Calibri" w:cs="Arial"/>
          <w:sz w:val="18"/>
          <w:szCs w:val="18"/>
          <w:lang w:val="mk-MK"/>
        </w:rPr>
      </w:pPr>
      <w:r w:rsidRPr="008662BF">
        <w:rPr>
          <w:rFonts w:eastAsia="Calibri" w:cs="Arial"/>
          <w:sz w:val="18"/>
          <w:szCs w:val="18"/>
          <w:lang w:val="mk-MK"/>
        </w:rPr>
        <w:t>**</w:t>
      </w:r>
      <w:r w:rsidR="00C75D1A" w:rsidRPr="008662BF">
        <w:rPr>
          <w:rFonts w:eastAsia="Calibri" w:cs="Arial"/>
          <w:sz w:val="18"/>
          <w:szCs w:val="18"/>
          <w:lang w:val="mk-MK"/>
        </w:rPr>
        <w:t>Најчесто се разликуваат четири типа на ИИ</w:t>
      </w:r>
      <w:r w:rsidRPr="008662BF">
        <w:rPr>
          <w:rFonts w:eastAsia="Calibri" w:cs="Arial"/>
          <w:sz w:val="18"/>
          <w:szCs w:val="18"/>
          <w:lang w:val="mk-MK"/>
        </w:rPr>
        <w:t xml:space="preserve">: </w:t>
      </w:r>
    </w:p>
    <w:p w14:paraId="58D02390" w14:textId="77777777" w:rsidR="004A440F" w:rsidRPr="008662BF" w:rsidRDefault="00F87A27" w:rsidP="004A440F">
      <w:pPr>
        <w:pStyle w:val="ListParagraph"/>
        <w:numPr>
          <w:ilvl w:val="0"/>
          <w:numId w:val="8"/>
        </w:numPr>
        <w:spacing w:after="0" w:line="252" w:lineRule="auto"/>
        <w:jc w:val="both"/>
        <w:rPr>
          <w:rFonts w:eastAsia="Calibri" w:cs="Arial"/>
          <w:sz w:val="18"/>
          <w:szCs w:val="18"/>
          <w:lang w:val="mk-MK"/>
        </w:rPr>
      </w:pPr>
      <w:r w:rsidRPr="008662BF">
        <w:rPr>
          <w:rFonts w:eastAsia="Calibri" w:cs="Arial"/>
          <w:sz w:val="18"/>
          <w:szCs w:val="18"/>
          <w:lang w:val="mk-MK"/>
        </w:rPr>
        <w:t xml:space="preserve">централизирани </w:t>
      </w:r>
      <w:r w:rsidR="004A440F" w:rsidRPr="008662BF">
        <w:rPr>
          <w:rFonts w:eastAsia="Calibri" w:cs="Arial"/>
          <w:sz w:val="18"/>
          <w:szCs w:val="18"/>
          <w:lang w:val="mk-MK"/>
        </w:rPr>
        <w:t>објекти;</w:t>
      </w:r>
    </w:p>
    <w:p w14:paraId="43F120F5" w14:textId="77777777" w:rsidR="004A440F" w:rsidRPr="008662BF" w:rsidRDefault="004A440F" w:rsidP="004A440F">
      <w:pPr>
        <w:pStyle w:val="ListParagraph"/>
        <w:numPr>
          <w:ilvl w:val="0"/>
          <w:numId w:val="8"/>
        </w:numPr>
        <w:spacing w:after="0" w:line="252" w:lineRule="auto"/>
        <w:jc w:val="both"/>
        <w:rPr>
          <w:rFonts w:eastAsia="Calibri" w:cs="Arial"/>
          <w:sz w:val="18"/>
          <w:szCs w:val="18"/>
          <w:lang w:val="mk-MK"/>
        </w:rPr>
      </w:pPr>
      <w:r w:rsidRPr="008662BF">
        <w:rPr>
          <w:rFonts w:eastAsia="Calibri" w:cs="Arial"/>
          <w:sz w:val="18"/>
          <w:szCs w:val="18"/>
          <w:lang w:val="mk-MK"/>
        </w:rPr>
        <w:t>децентрализирани објекти;</w:t>
      </w:r>
    </w:p>
    <w:p w14:paraId="148A2216" w14:textId="77777777" w:rsidR="004A440F" w:rsidRPr="008662BF" w:rsidRDefault="004A440F" w:rsidP="004A440F">
      <w:pPr>
        <w:pStyle w:val="ListParagraph"/>
        <w:numPr>
          <w:ilvl w:val="0"/>
          <w:numId w:val="8"/>
        </w:numPr>
        <w:spacing w:after="0" w:line="252" w:lineRule="auto"/>
        <w:jc w:val="both"/>
        <w:rPr>
          <w:rFonts w:eastAsia="Calibri" w:cs="Arial"/>
          <w:sz w:val="18"/>
          <w:szCs w:val="18"/>
          <w:lang w:val="mk-MK"/>
        </w:rPr>
      </w:pPr>
      <w:r w:rsidRPr="008662BF">
        <w:rPr>
          <w:rFonts w:eastAsia="Calibri" w:cs="Arial"/>
          <w:sz w:val="18"/>
          <w:szCs w:val="18"/>
          <w:lang w:val="mk-MK"/>
        </w:rPr>
        <w:t>мобилни објекти;</w:t>
      </w:r>
    </w:p>
    <w:p w14:paraId="124A599F" w14:textId="77777777" w:rsidR="004A440F" w:rsidRPr="008662BF" w:rsidRDefault="004A440F" w:rsidP="004A440F">
      <w:pPr>
        <w:pStyle w:val="ListParagraph"/>
        <w:numPr>
          <w:ilvl w:val="0"/>
          <w:numId w:val="8"/>
        </w:numPr>
        <w:spacing w:after="0" w:line="252" w:lineRule="auto"/>
        <w:jc w:val="both"/>
        <w:rPr>
          <w:rFonts w:eastAsia="Calibri" w:cs="Arial"/>
          <w:sz w:val="18"/>
          <w:szCs w:val="18"/>
          <w:lang w:val="mk-MK"/>
        </w:rPr>
      </w:pPr>
      <w:r w:rsidRPr="008662BF">
        <w:rPr>
          <w:rFonts w:eastAsia="Calibri" w:cs="Arial"/>
          <w:sz w:val="18"/>
          <w:szCs w:val="18"/>
          <w:lang w:val="mk-MK"/>
        </w:rPr>
        <w:t>виртуелни објекти.</w:t>
      </w:r>
    </w:p>
    <w:p w14:paraId="495CE202" w14:textId="77777777" w:rsidR="007947BF" w:rsidRPr="008662BF" w:rsidRDefault="007947BF" w:rsidP="007947BF">
      <w:pPr>
        <w:spacing w:after="0" w:line="240" w:lineRule="auto"/>
        <w:rPr>
          <w:rFonts w:eastAsia="Calibri" w:cs="Arial"/>
          <w:b/>
          <w:lang w:val="mk-MK"/>
        </w:rPr>
      </w:pPr>
    </w:p>
    <w:p w14:paraId="0B5737E1" w14:textId="77777777" w:rsidR="004A440F" w:rsidRPr="008662BF" w:rsidRDefault="007947BF" w:rsidP="007947BF">
      <w:pPr>
        <w:jc w:val="both"/>
        <w:rPr>
          <w:b/>
          <w:sz w:val="24"/>
          <w:lang w:val="mk-MK"/>
        </w:rPr>
      </w:pPr>
      <w:r w:rsidRPr="008662BF">
        <w:rPr>
          <w:b/>
          <w:sz w:val="24"/>
          <w:lang w:val="mk-MK"/>
        </w:rPr>
        <w:t xml:space="preserve">1.3. </w:t>
      </w:r>
      <w:r w:rsidR="004A440F" w:rsidRPr="008662BF">
        <w:rPr>
          <w:b/>
          <w:sz w:val="24"/>
          <w:lang w:val="mk-MK"/>
        </w:rPr>
        <w:t>Опис на истражувачката инфраструктура. Наведете основни информации за истражувачката инфраструктура и</w:t>
      </w:r>
      <w:r w:rsidR="006572DC">
        <w:rPr>
          <w:b/>
          <w:sz w:val="24"/>
          <w:lang w:val="mk-MK"/>
        </w:rPr>
        <w:t xml:space="preserve"> за</w:t>
      </w:r>
      <w:r w:rsidR="004A440F" w:rsidRPr="008662BF">
        <w:rPr>
          <w:b/>
          <w:sz w:val="24"/>
          <w:lang w:val="mk-MK"/>
        </w:rPr>
        <w:t xml:space="preserve"> нејзините цели.</w:t>
      </w:r>
    </w:p>
    <w:tbl>
      <w:tblPr>
        <w:tblStyle w:val="TableGrid"/>
        <w:tblW w:w="5000" w:type="pct"/>
        <w:tblLook w:val="04A0" w:firstRow="1" w:lastRow="0" w:firstColumn="1" w:lastColumn="0" w:noHBand="0" w:noVBand="1"/>
      </w:tblPr>
      <w:tblGrid>
        <w:gridCol w:w="9062"/>
      </w:tblGrid>
      <w:tr w:rsidR="007947BF" w:rsidRPr="008662BF" w14:paraId="3E416EE9" w14:textId="77777777" w:rsidTr="004B2AB0">
        <w:tc>
          <w:tcPr>
            <w:tcW w:w="5000" w:type="pct"/>
          </w:tcPr>
          <w:p w14:paraId="2C075B5A" w14:textId="77777777" w:rsidR="007947BF" w:rsidRPr="008662BF" w:rsidRDefault="007947BF" w:rsidP="004B2AB0">
            <w:pPr>
              <w:pStyle w:val="ListParagraph"/>
              <w:ind w:left="0"/>
              <w:rPr>
                <w:lang w:val="mk-MK"/>
              </w:rPr>
            </w:pPr>
          </w:p>
          <w:p w14:paraId="31485068" w14:textId="77777777" w:rsidR="007947BF" w:rsidRPr="008662BF" w:rsidRDefault="007947BF" w:rsidP="004B2AB0">
            <w:pPr>
              <w:pStyle w:val="ListParagraph"/>
              <w:ind w:left="0"/>
              <w:rPr>
                <w:lang w:val="mk-MK"/>
              </w:rPr>
            </w:pPr>
          </w:p>
        </w:tc>
      </w:tr>
    </w:tbl>
    <w:p w14:paraId="6F48C545" w14:textId="77777777" w:rsidR="007947BF" w:rsidRPr="008662BF" w:rsidRDefault="007947BF" w:rsidP="007947BF">
      <w:pPr>
        <w:spacing w:after="0"/>
        <w:jc w:val="both"/>
        <w:rPr>
          <w:b/>
          <w:sz w:val="24"/>
          <w:lang w:val="mk-MK"/>
        </w:rPr>
      </w:pPr>
    </w:p>
    <w:p w14:paraId="55C4E618" w14:textId="77777777" w:rsidR="004A440F" w:rsidRPr="008662BF" w:rsidRDefault="007947BF" w:rsidP="007947BF">
      <w:pPr>
        <w:jc w:val="both"/>
        <w:rPr>
          <w:b/>
          <w:sz w:val="24"/>
          <w:lang w:val="mk-MK"/>
        </w:rPr>
      </w:pPr>
      <w:r w:rsidRPr="008662BF">
        <w:rPr>
          <w:b/>
          <w:sz w:val="24"/>
          <w:lang w:val="mk-MK"/>
        </w:rPr>
        <w:t xml:space="preserve">1.4. </w:t>
      </w:r>
      <w:r w:rsidR="004A440F" w:rsidRPr="008662BF">
        <w:rPr>
          <w:b/>
          <w:sz w:val="24"/>
          <w:lang w:val="mk-MK"/>
        </w:rPr>
        <w:t xml:space="preserve">Наведете ги услугите што им се обезбедуваат на корисниците на истражувачката инфраструктура </w:t>
      </w:r>
    </w:p>
    <w:tbl>
      <w:tblPr>
        <w:tblStyle w:val="TableGrid"/>
        <w:tblW w:w="5000" w:type="pct"/>
        <w:tblLook w:val="04A0" w:firstRow="1" w:lastRow="0" w:firstColumn="1" w:lastColumn="0" w:noHBand="0" w:noVBand="1"/>
      </w:tblPr>
      <w:tblGrid>
        <w:gridCol w:w="9062"/>
      </w:tblGrid>
      <w:tr w:rsidR="007947BF" w:rsidRPr="008662BF" w14:paraId="02426B01" w14:textId="77777777" w:rsidTr="004B2AB0">
        <w:tc>
          <w:tcPr>
            <w:tcW w:w="5000" w:type="pct"/>
          </w:tcPr>
          <w:p w14:paraId="7DBC14A3" w14:textId="77777777" w:rsidR="007947BF" w:rsidRPr="008662BF" w:rsidRDefault="007947BF" w:rsidP="004B2AB0">
            <w:pPr>
              <w:pStyle w:val="ListParagraph"/>
              <w:ind w:left="0"/>
              <w:rPr>
                <w:lang w:val="mk-MK"/>
              </w:rPr>
            </w:pPr>
          </w:p>
          <w:p w14:paraId="33709CF6" w14:textId="77777777" w:rsidR="007947BF" w:rsidRPr="008662BF" w:rsidRDefault="007947BF" w:rsidP="004B2AB0">
            <w:pPr>
              <w:pStyle w:val="ListParagraph"/>
              <w:ind w:left="0"/>
              <w:rPr>
                <w:lang w:val="mk-MK"/>
              </w:rPr>
            </w:pPr>
          </w:p>
        </w:tc>
      </w:tr>
    </w:tbl>
    <w:p w14:paraId="490FAC7A" w14:textId="77777777" w:rsidR="007947BF" w:rsidRPr="008662BF" w:rsidRDefault="007947BF" w:rsidP="007947BF">
      <w:pPr>
        <w:pStyle w:val="ListParagraph"/>
        <w:rPr>
          <w:lang w:val="mk-MK"/>
        </w:rPr>
      </w:pPr>
    </w:p>
    <w:p w14:paraId="7958971E" w14:textId="77777777" w:rsidR="007947BF" w:rsidRPr="008662BF" w:rsidRDefault="004A440F" w:rsidP="007947BF">
      <w:pPr>
        <w:jc w:val="both"/>
        <w:rPr>
          <w:b/>
          <w:sz w:val="28"/>
          <w:lang w:val="mk-MK"/>
        </w:rPr>
      </w:pPr>
      <w:r w:rsidRPr="008662BF">
        <w:rPr>
          <w:b/>
          <w:sz w:val="28"/>
          <w:lang w:val="mk-MK"/>
        </w:rPr>
        <w:t>2. Податоци за опрема</w:t>
      </w:r>
      <w:r w:rsidR="00A1563A">
        <w:rPr>
          <w:b/>
          <w:sz w:val="28"/>
          <w:lang w:val="mk-MK"/>
        </w:rPr>
        <w:t>та за истражување</w:t>
      </w:r>
    </w:p>
    <w:p w14:paraId="56AA3FBA" w14:textId="77777777" w:rsidR="004A440F" w:rsidRPr="008662BF" w:rsidRDefault="004A440F" w:rsidP="007947BF">
      <w:pPr>
        <w:rPr>
          <w:sz w:val="24"/>
          <w:lang w:val="mk-MK"/>
        </w:rPr>
      </w:pPr>
      <w:r w:rsidRPr="008662BF">
        <w:rPr>
          <w:b/>
          <w:sz w:val="24"/>
          <w:lang w:val="mk-MK"/>
        </w:rPr>
        <w:t>2.1. Проценета вредност на опремата за истражување</w:t>
      </w:r>
    </w:p>
    <w:tbl>
      <w:tblPr>
        <w:tblW w:w="5000" w:type="pct"/>
        <w:tblInd w:w="108" w:type="dxa"/>
        <w:tblLook w:val="04A0" w:firstRow="1" w:lastRow="0" w:firstColumn="1" w:lastColumn="0" w:noHBand="0" w:noVBand="1"/>
      </w:tblPr>
      <w:tblGrid>
        <w:gridCol w:w="226"/>
        <w:gridCol w:w="4296"/>
        <w:gridCol w:w="1696"/>
        <w:gridCol w:w="941"/>
        <w:gridCol w:w="1398"/>
        <w:gridCol w:w="731"/>
      </w:tblGrid>
      <w:tr w:rsidR="007947BF" w:rsidRPr="008662BF" w14:paraId="40B1C3A5" w14:textId="77777777" w:rsidTr="004A440F">
        <w:trPr>
          <w:gridAfter w:val="3"/>
          <w:wAfter w:w="3070" w:type="dxa"/>
        </w:trPr>
        <w:tc>
          <w:tcPr>
            <w:tcW w:w="6218" w:type="dxa"/>
            <w:gridSpan w:val="3"/>
            <w:tcBorders>
              <w:top w:val="nil"/>
              <w:left w:val="nil"/>
              <w:bottom w:val="nil"/>
              <w:right w:val="nil"/>
            </w:tcBorders>
            <w:shd w:val="clear" w:color="auto" w:fill="auto"/>
            <w:noWrap/>
            <w:vAlign w:val="bottom"/>
            <w:hideMark/>
          </w:tcPr>
          <w:p w14:paraId="5C5B96B7" w14:textId="77777777" w:rsidR="007947BF" w:rsidRPr="008662BF" w:rsidRDefault="004A440F" w:rsidP="00F50C18">
            <w:pPr>
              <w:spacing w:after="0" w:line="240" w:lineRule="auto"/>
              <w:rPr>
                <w:rFonts w:eastAsia="Times New Roman" w:cs="Arial"/>
                <w:b/>
                <w:sz w:val="20"/>
                <w:szCs w:val="20"/>
                <w:lang w:val="mk-MK" w:eastAsia="en-GB"/>
              </w:rPr>
            </w:pPr>
            <w:r w:rsidRPr="008662BF">
              <w:rPr>
                <w:rFonts w:eastAsia="Times New Roman" w:cs="Arial"/>
                <w:b/>
                <w:sz w:val="20"/>
                <w:szCs w:val="20"/>
                <w:lang w:val="mk-MK" w:eastAsia="en-GB"/>
              </w:rPr>
              <w:t xml:space="preserve">Вкупна проценета вредност на </w:t>
            </w:r>
            <w:r w:rsidR="00F50C18" w:rsidRPr="008662BF">
              <w:rPr>
                <w:rFonts w:eastAsia="Times New Roman" w:cs="Arial"/>
                <w:b/>
                <w:sz w:val="20"/>
                <w:szCs w:val="20"/>
                <w:lang w:val="mk-MK" w:eastAsia="en-GB"/>
              </w:rPr>
              <w:t xml:space="preserve">капиталната истражувачка </w:t>
            </w:r>
            <w:r w:rsidRPr="008662BF">
              <w:rPr>
                <w:rFonts w:eastAsia="Times New Roman" w:cs="Arial"/>
                <w:b/>
                <w:sz w:val="20"/>
                <w:szCs w:val="20"/>
                <w:lang w:val="mk-MK" w:eastAsia="en-GB"/>
              </w:rPr>
              <w:t>опрема</w:t>
            </w:r>
            <w:r w:rsidR="007947BF" w:rsidRPr="008662BF">
              <w:rPr>
                <w:rFonts w:eastAsia="Times New Roman" w:cs="Arial"/>
                <w:b/>
                <w:sz w:val="20"/>
                <w:szCs w:val="20"/>
                <w:lang w:val="mk-MK" w:eastAsia="en-GB"/>
              </w:rPr>
              <w:t xml:space="preserve"> (</w:t>
            </w:r>
            <w:r w:rsidR="00F50C18" w:rsidRPr="008662BF">
              <w:rPr>
                <w:rFonts w:eastAsia="Times New Roman" w:cs="Arial"/>
                <w:b/>
                <w:sz w:val="20"/>
                <w:szCs w:val="20"/>
                <w:lang w:val="mk-MK" w:eastAsia="en-GB"/>
              </w:rPr>
              <w:t>во евра</w:t>
            </w:r>
            <w:r w:rsidR="007947BF" w:rsidRPr="008662BF">
              <w:rPr>
                <w:rFonts w:eastAsia="Times New Roman" w:cs="Arial"/>
                <w:b/>
                <w:sz w:val="20"/>
                <w:szCs w:val="20"/>
                <w:lang w:val="mk-MK" w:eastAsia="en-GB"/>
              </w:rPr>
              <w:t>):</w:t>
            </w:r>
          </w:p>
        </w:tc>
      </w:tr>
      <w:tr w:rsidR="007947BF" w:rsidRPr="008662BF" w14:paraId="120C823E" w14:textId="77777777" w:rsidTr="004A440F">
        <w:tc>
          <w:tcPr>
            <w:tcW w:w="9288" w:type="dxa"/>
            <w:gridSpan w:val="6"/>
            <w:tcBorders>
              <w:top w:val="nil"/>
              <w:left w:val="nil"/>
              <w:bottom w:val="nil"/>
              <w:right w:val="nil"/>
            </w:tcBorders>
            <w:shd w:val="clear" w:color="auto" w:fill="auto"/>
            <w:noWrap/>
            <w:vAlign w:val="bottom"/>
          </w:tcPr>
          <w:p w14:paraId="7EAB709F" w14:textId="77777777" w:rsidR="007947BF" w:rsidRPr="008662BF" w:rsidRDefault="007947BF" w:rsidP="004B2AB0">
            <w:pPr>
              <w:spacing w:after="0" w:line="240" w:lineRule="auto"/>
              <w:rPr>
                <w:rFonts w:eastAsia="Times New Roman" w:cs="Arial"/>
                <w:b/>
                <w:sz w:val="12"/>
                <w:szCs w:val="20"/>
                <w:lang w:val="mk-MK" w:eastAsia="en-GB"/>
              </w:rPr>
            </w:pPr>
          </w:p>
        </w:tc>
      </w:tr>
      <w:tr w:rsidR="007947BF" w:rsidRPr="008662BF" w14:paraId="7DCA904E" w14:textId="77777777" w:rsidTr="004A440F">
        <w:trPr>
          <w:trHeight w:val="264"/>
        </w:trPr>
        <w:tc>
          <w:tcPr>
            <w:tcW w:w="226" w:type="dxa"/>
            <w:tcBorders>
              <w:top w:val="nil"/>
              <w:left w:val="nil"/>
              <w:bottom w:val="nil"/>
              <w:right w:val="nil"/>
            </w:tcBorders>
            <w:shd w:val="clear" w:color="auto" w:fill="auto"/>
            <w:noWrap/>
            <w:vAlign w:val="bottom"/>
            <w:hideMark/>
          </w:tcPr>
          <w:p w14:paraId="04ED4F61" w14:textId="77777777" w:rsidR="007947BF" w:rsidRPr="008662BF" w:rsidRDefault="007947BF" w:rsidP="004B2AB0">
            <w:pPr>
              <w:spacing w:after="0" w:line="240" w:lineRule="auto"/>
              <w:rPr>
                <w:rFonts w:eastAsia="Times New Roman" w:cs="Arial"/>
                <w:sz w:val="20"/>
                <w:szCs w:val="20"/>
                <w:lang w:val="mk-MK" w:eastAsia="en-GB"/>
              </w:rPr>
            </w:pPr>
          </w:p>
        </w:tc>
        <w:tc>
          <w:tcPr>
            <w:tcW w:w="4296" w:type="dxa"/>
            <w:tcBorders>
              <w:top w:val="nil"/>
              <w:left w:val="nil"/>
              <w:bottom w:val="nil"/>
              <w:right w:val="single" w:sz="4" w:space="0" w:color="808080"/>
            </w:tcBorders>
            <w:shd w:val="clear" w:color="auto" w:fill="auto"/>
            <w:noWrap/>
            <w:vAlign w:val="bottom"/>
            <w:hideMark/>
          </w:tcPr>
          <w:p w14:paraId="1F0B0153" w14:textId="77777777" w:rsidR="007947BF" w:rsidRPr="008662BF" w:rsidRDefault="007947BF" w:rsidP="00F50C18">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 xml:space="preserve">– </w:t>
            </w:r>
            <w:r w:rsidR="00F50C18" w:rsidRPr="008662BF">
              <w:rPr>
                <w:rFonts w:eastAsia="Times New Roman" w:cs="Arial"/>
                <w:sz w:val="20"/>
                <w:szCs w:val="20"/>
                <w:lang w:val="mk-MK" w:eastAsia="en-GB"/>
              </w:rPr>
              <w:t>набавна вредност</w:t>
            </w:r>
            <w:r w:rsidRPr="008662BF">
              <w:rPr>
                <w:rFonts w:eastAsia="Times New Roman" w:cs="Arial"/>
                <w:sz w:val="20"/>
                <w:szCs w:val="20"/>
                <w:lang w:val="mk-MK" w:eastAsia="en-GB"/>
              </w:rPr>
              <w:t>:</w:t>
            </w:r>
          </w:p>
        </w:tc>
        <w:tc>
          <w:tcPr>
            <w:tcW w:w="1696" w:type="dxa"/>
            <w:tcBorders>
              <w:top w:val="single" w:sz="4" w:space="0" w:color="808080"/>
              <w:left w:val="nil"/>
              <w:bottom w:val="single" w:sz="4" w:space="0" w:color="808080"/>
              <w:right w:val="single" w:sz="4" w:space="0" w:color="808080"/>
            </w:tcBorders>
            <w:shd w:val="clear" w:color="auto" w:fill="auto"/>
            <w:vAlign w:val="bottom"/>
          </w:tcPr>
          <w:p w14:paraId="043E92C4" w14:textId="77777777" w:rsidR="007947BF" w:rsidRPr="008662BF" w:rsidRDefault="007947BF" w:rsidP="004B2AB0">
            <w:pPr>
              <w:spacing w:after="0" w:line="240" w:lineRule="auto"/>
              <w:jc w:val="center"/>
              <w:rPr>
                <w:rFonts w:eastAsia="Times New Roman" w:cs="Arial"/>
                <w:sz w:val="16"/>
                <w:szCs w:val="16"/>
                <w:lang w:val="mk-MK" w:eastAsia="en-GB"/>
              </w:rPr>
            </w:pPr>
          </w:p>
        </w:tc>
        <w:tc>
          <w:tcPr>
            <w:tcW w:w="941" w:type="dxa"/>
            <w:tcBorders>
              <w:top w:val="nil"/>
              <w:left w:val="nil"/>
              <w:bottom w:val="nil"/>
              <w:right w:val="nil"/>
            </w:tcBorders>
            <w:shd w:val="clear" w:color="auto" w:fill="auto"/>
            <w:noWrap/>
            <w:vAlign w:val="bottom"/>
            <w:hideMark/>
          </w:tcPr>
          <w:p w14:paraId="6F9112DC" w14:textId="77777777" w:rsidR="007947BF" w:rsidRPr="008662BF" w:rsidRDefault="00F50C18" w:rsidP="00F50C18">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евра</w:t>
            </w:r>
          </w:p>
        </w:tc>
        <w:tc>
          <w:tcPr>
            <w:tcW w:w="1398" w:type="dxa"/>
            <w:tcBorders>
              <w:top w:val="nil"/>
              <w:left w:val="nil"/>
              <w:bottom w:val="nil"/>
              <w:right w:val="nil"/>
            </w:tcBorders>
            <w:shd w:val="clear" w:color="auto" w:fill="auto"/>
            <w:noWrap/>
            <w:vAlign w:val="bottom"/>
            <w:hideMark/>
          </w:tcPr>
          <w:p w14:paraId="2B8D81D3" w14:textId="77777777" w:rsidR="007947BF" w:rsidRPr="008662BF" w:rsidRDefault="007947BF" w:rsidP="004B2AB0">
            <w:pPr>
              <w:spacing w:after="0" w:line="240" w:lineRule="auto"/>
              <w:rPr>
                <w:rFonts w:eastAsia="Times New Roman" w:cs="Arial"/>
                <w:sz w:val="20"/>
                <w:szCs w:val="20"/>
                <w:lang w:val="mk-MK" w:eastAsia="en-GB"/>
              </w:rPr>
            </w:pPr>
          </w:p>
        </w:tc>
        <w:tc>
          <w:tcPr>
            <w:tcW w:w="731" w:type="dxa"/>
            <w:tcBorders>
              <w:top w:val="nil"/>
              <w:left w:val="nil"/>
              <w:bottom w:val="nil"/>
              <w:right w:val="nil"/>
            </w:tcBorders>
            <w:shd w:val="clear" w:color="auto" w:fill="auto"/>
            <w:noWrap/>
            <w:vAlign w:val="bottom"/>
            <w:hideMark/>
          </w:tcPr>
          <w:p w14:paraId="6EBA57E3" w14:textId="77777777" w:rsidR="007947BF" w:rsidRPr="008662BF" w:rsidRDefault="007947BF" w:rsidP="004B2AB0">
            <w:pPr>
              <w:spacing w:after="0" w:line="240" w:lineRule="auto"/>
              <w:rPr>
                <w:rFonts w:eastAsia="Times New Roman" w:cs="Arial"/>
                <w:sz w:val="20"/>
                <w:szCs w:val="20"/>
                <w:lang w:val="mk-MK" w:eastAsia="en-GB"/>
              </w:rPr>
            </w:pPr>
          </w:p>
        </w:tc>
      </w:tr>
      <w:tr w:rsidR="007947BF" w:rsidRPr="008662BF" w14:paraId="5B051D5D" w14:textId="77777777" w:rsidTr="004A440F">
        <w:tc>
          <w:tcPr>
            <w:tcW w:w="9288" w:type="dxa"/>
            <w:gridSpan w:val="6"/>
            <w:tcBorders>
              <w:top w:val="nil"/>
              <w:left w:val="nil"/>
              <w:bottom w:val="nil"/>
              <w:right w:val="nil"/>
            </w:tcBorders>
            <w:shd w:val="clear" w:color="auto" w:fill="auto"/>
            <w:noWrap/>
            <w:vAlign w:val="bottom"/>
            <w:hideMark/>
          </w:tcPr>
          <w:p w14:paraId="5F0EEF74" w14:textId="77777777" w:rsidR="007947BF" w:rsidRPr="008662BF" w:rsidRDefault="007947BF" w:rsidP="004B2AB0">
            <w:pPr>
              <w:spacing w:after="0" w:line="240" w:lineRule="auto"/>
              <w:rPr>
                <w:rFonts w:eastAsia="Times New Roman" w:cs="Arial"/>
                <w:sz w:val="8"/>
                <w:szCs w:val="20"/>
                <w:lang w:val="mk-MK" w:eastAsia="en-GB"/>
              </w:rPr>
            </w:pPr>
          </w:p>
        </w:tc>
      </w:tr>
      <w:tr w:rsidR="007947BF" w:rsidRPr="008662BF" w14:paraId="63DC65C0" w14:textId="77777777" w:rsidTr="004A440F">
        <w:trPr>
          <w:trHeight w:val="264"/>
        </w:trPr>
        <w:tc>
          <w:tcPr>
            <w:tcW w:w="226" w:type="dxa"/>
            <w:tcBorders>
              <w:top w:val="nil"/>
              <w:left w:val="nil"/>
              <w:bottom w:val="nil"/>
              <w:right w:val="nil"/>
            </w:tcBorders>
            <w:shd w:val="clear" w:color="auto" w:fill="auto"/>
            <w:noWrap/>
            <w:vAlign w:val="bottom"/>
            <w:hideMark/>
          </w:tcPr>
          <w:p w14:paraId="6E446C06" w14:textId="77777777" w:rsidR="007947BF" w:rsidRPr="008662BF" w:rsidRDefault="007947BF" w:rsidP="004B2AB0">
            <w:pPr>
              <w:spacing w:after="0" w:line="240" w:lineRule="auto"/>
              <w:rPr>
                <w:rFonts w:eastAsia="Times New Roman" w:cs="Arial"/>
                <w:sz w:val="20"/>
                <w:szCs w:val="20"/>
                <w:lang w:val="mk-MK" w:eastAsia="en-GB"/>
              </w:rPr>
            </w:pPr>
          </w:p>
        </w:tc>
        <w:tc>
          <w:tcPr>
            <w:tcW w:w="4296" w:type="dxa"/>
            <w:tcBorders>
              <w:top w:val="nil"/>
              <w:left w:val="nil"/>
              <w:bottom w:val="nil"/>
              <w:right w:val="nil"/>
            </w:tcBorders>
            <w:shd w:val="clear" w:color="auto" w:fill="auto"/>
            <w:noWrap/>
            <w:vAlign w:val="bottom"/>
            <w:hideMark/>
          </w:tcPr>
          <w:p w14:paraId="51F109F4" w14:textId="77777777" w:rsidR="007947BF" w:rsidRPr="008662BF" w:rsidRDefault="007947BF" w:rsidP="00F50C18">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 xml:space="preserve">– </w:t>
            </w:r>
            <w:r w:rsidR="00F50C18" w:rsidRPr="008662BF">
              <w:rPr>
                <w:rFonts w:eastAsia="Times New Roman" w:cs="Arial"/>
                <w:sz w:val="20"/>
                <w:szCs w:val="20"/>
                <w:lang w:val="mk-MK" w:eastAsia="en-GB"/>
              </w:rPr>
              <w:t>тековна вредност (амортизација):</w:t>
            </w:r>
          </w:p>
        </w:tc>
        <w:tc>
          <w:tcPr>
            <w:tcW w:w="1696" w:type="dxa"/>
            <w:tcBorders>
              <w:top w:val="single" w:sz="4" w:space="0" w:color="808080"/>
              <w:left w:val="single" w:sz="4" w:space="0" w:color="808080"/>
              <w:bottom w:val="single" w:sz="4" w:space="0" w:color="808080"/>
              <w:right w:val="single" w:sz="4" w:space="0" w:color="808080"/>
            </w:tcBorders>
            <w:shd w:val="clear" w:color="auto" w:fill="auto"/>
            <w:vAlign w:val="bottom"/>
          </w:tcPr>
          <w:p w14:paraId="2717C583" w14:textId="77777777" w:rsidR="007947BF" w:rsidRPr="008662BF" w:rsidRDefault="007947BF" w:rsidP="004B2AB0">
            <w:pPr>
              <w:spacing w:after="0" w:line="240" w:lineRule="auto"/>
              <w:jc w:val="center"/>
              <w:rPr>
                <w:rFonts w:eastAsia="Times New Roman" w:cs="Arial"/>
                <w:sz w:val="16"/>
                <w:szCs w:val="16"/>
                <w:lang w:val="mk-MK" w:eastAsia="en-GB"/>
              </w:rPr>
            </w:pPr>
          </w:p>
        </w:tc>
        <w:tc>
          <w:tcPr>
            <w:tcW w:w="941" w:type="dxa"/>
            <w:tcBorders>
              <w:top w:val="nil"/>
              <w:left w:val="nil"/>
              <w:bottom w:val="nil"/>
              <w:right w:val="nil"/>
            </w:tcBorders>
            <w:shd w:val="clear" w:color="auto" w:fill="auto"/>
            <w:noWrap/>
            <w:vAlign w:val="bottom"/>
            <w:hideMark/>
          </w:tcPr>
          <w:p w14:paraId="5600ED55" w14:textId="77777777" w:rsidR="007947BF" w:rsidRPr="008662BF" w:rsidRDefault="00F50C18" w:rsidP="00F50C18">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евра</w:t>
            </w:r>
          </w:p>
        </w:tc>
        <w:tc>
          <w:tcPr>
            <w:tcW w:w="1398" w:type="dxa"/>
            <w:tcBorders>
              <w:top w:val="nil"/>
              <w:left w:val="nil"/>
              <w:bottom w:val="nil"/>
              <w:right w:val="nil"/>
            </w:tcBorders>
            <w:shd w:val="clear" w:color="auto" w:fill="auto"/>
            <w:noWrap/>
            <w:vAlign w:val="bottom"/>
            <w:hideMark/>
          </w:tcPr>
          <w:p w14:paraId="7C9DBF4D" w14:textId="77777777" w:rsidR="007947BF" w:rsidRPr="008662BF" w:rsidRDefault="007947BF" w:rsidP="004B2AB0">
            <w:pPr>
              <w:spacing w:after="0" w:line="240" w:lineRule="auto"/>
              <w:rPr>
                <w:rFonts w:eastAsia="Times New Roman" w:cs="Arial"/>
                <w:sz w:val="20"/>
                <w:szCs w:val="20"/>
                <w:lang w:val="mk-MK" w:eastAsia="en-GB"/>
              </w:rPr>
            </w:pPr>
          </w:p>
        </w:tc>
        <w:tc>
          <w:tcPr>
            <w:tcW w:w="731" w:type="dxa"/>
            <w:tcBorders>
              <w:top w:val="nil"/>
              <w:left w:val="nil"/>
              <w:bottom w:val="nil"/>
              <w:right w:val="nil"/>
            </w:tcBorders>
            <w:shd w:val="clear" w:color="auto" w:fill="auto"/>
            <w:noWrap/>
            <w:vAlign w:val="bottom"/>
            <w:hideMark/>
          </w:tcPr>
          <w:p w14:paraId="4AC0DC9E" w14:textId="77777777" w:rsidR="007947BF" w:rsidRPr="008662BF" w:rsidRDefault="007947BF" w:rsidP="004B2AB0">
            <w:pPr>
              <w:spacing w:after="0" w:line="240" w:lineRule="auto"/>
              <w:rPr>
                <w:rFonts w:eastAsia="Times New Roman" w:cs="Arial"/>
                <w:sz w:val="20"/>
                <w:szCs w:val="20"/>
                <w:lang w:val="mk-MK" w:eastAsia="en-GB"/>
              </w:rPr>
            </w:pPr>
          </w:p>
        </w:tc>
      </w:tr>
    </w:tbl>
    <w:p w14:paraId="1938541D" w14:textId="77777777" w:rsidR="007947BF" w:rsidRPr="008662BF" w:rsidRDefault="007947BF" w:rsidP="007947BF">
      <w:pPr>
        <w:spacing w:after="0" w:line="240" w:lineRule="auto"/>
        <w:rPr>
          <w:rFonts w:eastAsia="Calibri" w:cs="Arial"/>
          <w:b/>
          <w:sz w:val="24"/>
          <w:lang w:val="mk-MK"/>
        </w:rPr>
      </w:pPr>
    </w:p>
    <w:p w14:paraId="20FF9C74" w14:textId="77777777" w:rsidR="007947BF" w:rsidRPr="008662BF" w:rsidRDefault="00A335EA" w:rsidP="007947BF">
      <w:pPr>
        <w:rPr>
          <w:b/>
          <w:sz w:val="24"/>
          <w:lang w:val="mk-MK"/>
        </w:rPr>
      </w:pPr>
      <w:r w:rsidRPr="008662BF">
        <w:rPr>
          <w:b/>
          <w:sz w:val="24"/>
          <w:lang w:val="mk-MK"/>
        </w:rPr>
        <w:t>2.2. Список на капитална опрема со набавна цена повисока од 50.000 евра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4A0" w:firstRow="1" w:lastRow="0" w:firstColumn="1" w:lastColumn="0" w:noHBand="0" w:noVBand="1"/>
      </w:tblPr>
      <w:tblGrid>
        <w:gridCol w:w="490"/>
        <w:gridCol w:w="2634"/>
        <w:gridCol w:w="990"/>
        <w:gridCol w:w="989"/>
        <w:gridCol w:w="1385"/>
        <w:gridCol w:w="1449"/>
        <w:gridCol w:w="1125"/>
      </w:tblGrid>
      <w:tr w:rsidR="00A335EA" w:rsidRPr="008662BF" w14:paraId="745D636B" w14:textId="77777777" w:rsidTr="00F50C18">
        <w:trPr>
          <w:jc w:val="center"/>
        </w:trPr>
        <w:tc>
          <w:tcPr>
            <w:tcW w:w="481" w:type="dxa"/>
            <w:shd w:val="clear" w:color="auto" w:fill="auto"/>
            <w:noWrap/>
            <w:vAlign w:val="bottom"/>
          </w:tcPr>
          <w:p w14:paraId="0921BF4C" w14:textId="77777777" w:rsidR="007947BF" w:rsidRPr="008662BF" w:rsidRDefault="007947BF" w:rsidP="004B2AB0">
            <w:pPr>
              <w:spacing w:after="0" w:line="240" w:lineRule="auto"/>
              <w:rPr>
                <w:rFonts w:eastAsia="Times New Roman" w:cs="Arial"/>
                <w:b/>
                <w:sz w:val="20"/>
                <w:szCs w:val="16"/>
                <w:lang w:val="mk-MK" w:eastAsia="en-GB"/>
              </w:rPr>
            </w:pPr>
          </w:p>
        </w:tc>
        <w:tc>
          <w:tcPr>
            <w:tcW w:w="2660" w:type="dxa"/>
            <w:shd w:val="clear" w:color="auto" w:fill="auto"/>
          </w:tcPr>
          <w:p w14:paraId="6EB48014" w14:textId="77777777" w:rsidR="007947BF" w:rsidRPr="008662BF" w:rsidRDefault="00A335EA" w:rsidP="00A335EA">
            <w:pPr>
              <w:spacing w:after="0" w:line="240" w:lineRule="auto"/>
              <w:rPr>
                <w:rFonts w:eastAsia="Times New Roman" w:cs="Arial"/>
                <w:b/>
                <w:sz w:val="20"/>
                <w:szCs w:val="16"/>
                <w:lang w:val="mk-MK" w:eastAsia="en-GB"/>
              </w:rPr>
            </w:pPr>
            <w:r w:rsidRPr="008662BF">
              <w:rPr>
                <w:rFonts w:eastAsia="Times New Roman" w:cs="Arial"/>
                <w:b/>
                <w:sz w:val="20"/>
                <w:szCs w:val="16"/>
                <w:lang w:val="mk-MK" w:eastAsia="en-GB"/>
              </w:rPr>
              <w:t xml:space="preserve">Назив на истражувачка опрема </w:t>
            </w:r>
          </w:p>
        </w:tc>
        <w:tc>
          <w:tcPr>
            <w:tcW w:w="994" w:type="dxa"/>
          </w:tcPr>
          <w:p w14:paraId="1DA26552" w14:textId="77777777" w:rsidR="007947BF" w:rsidRPr="008662BF" w:rsidRDefault="00A335EA" w:rsidP="00A335EA">
            <w:pPr>
              <w:spacing w:after="0" w:line="240" w:lineRule="auto"/>
              <w:rPr>
                <w:rFonts w:eastAsia="Times New Roman" w:cs="Arial"/>
                <w:b/>
                <w:sz w:val="20"/>
                <w:szCs w:val="16"/>
                <w:lang w:val="mk-MK" w:eastAsia="en-GB"/>
              </w:rPr>
            </w:pPr>
            <w:r w:rsidRPr="008662BF">
              <w:rPr>
                <w:rFonts w:eastAsia="Times New Roman" w:cs="Arial"/>
                <w:b/>
                <w:sz w:val="20"/>
                <w:szCs w:val="16"/>
                <w:lang w:val="mk-MK" w:eastAsia="en-GB"/>
              </w:rPr>
              <w:t>Набавна цена (евра)</w:t>
            </w:r>
          </w:p>
        </w:tc>
        <w:tc>
          <w:tcPr>
            <w:tcW w:w="994" w:type="dxa"/>
            <w:shd w:val="clear" w:color="auto" w:fill="auto"/>
          </w:tcPr>
          <w:p w14:paraId="7A15BD8C" w14:textId="77777777" w:rsidR="007947BF" w:rsidRPr="008662BF" w:rsidRDefault="00A335EA" w:rsidP="00A335EA">
            <w:pPr>
              <w:spacing w:after="0" w:line="240" w:lineRule="auto"/>
              <w:rPr>
                <w:rFonts w:eastAsia="Times New Roman" w:cs="Arial"/>
                <w:b/>
                <w:sz w:val="20"/>
                <w:szCs w:val="16"/>
                <w:lang w:val="mk-MK" w:eastAsia="en-GB"/>
              </w:rPr>
            </w:pPr>
            <w:r w:rsidRPr="008662BF">
              <w:rPr>
                <w:rFonts w:eastAsia="Times New Roman" w:cs="Arial"/>
                <w:b/>
                <w:sz w:val="20"/>
                <w:szCs w:val="16"/>
                <w:lang w:val="mk-MK" w:eastAsia="en-GB"/>
              </w:rPr>
              <w:t xml:space="preserve">Година на набавка </w:t>
            </w:r>
          </w:p>
        </w:tc>
        <w:tc>
          <w:tcPr>
            <w:tcW w:w="1395" w:type="dxa"/>
            <w:shd w:val="clear" w:color="auto" w:fill="auto"/>
          </w:tcPr>
          <w:p w14:paraId="2F159DFE" w14:textId="77777777" w:rsidR="007947BF" w:rsidRPr="008662BF" w:rsidRDefault="00A335EA" w:rsidP="00A335EA">
            <w:pPr>
              <w:spacing w:after="0" w:line="240" w:lineRule="auto"/>
              <w:rPr>
                <w:rFonts w:eastAsia="Times New Roman" w:cs="Arial"/>
                <w:b/>
                <w:sz w:val="20"/>
                <w:szCs w:val="16"/>
                <w:lang w:val="mk-MK" w:eastAsia="en-GB"/>
              </w:rPr>
            </w:pPr>
            <w:r w:rsidRPr="008662BF">
              <w:rPr>
                <w:rFonts w:eastAsia="Times New Roman" w:cs="Arial"/>
                <w:b/>
                <w:sz w:val="20"/>
                <w:szCs w:val="16"/>
                <w:lang w:val="mk-MK" w:eastAsia="en-GB"/>
              </w:rPr>
              <w:t xml:space="preserve">Извор на средства за набавка на опремата </w:t>
            </w:r>
          </w:p>
        </w:tc>
        <w:tc>
          <w:tcPr>
            <w:tcW w:w="1453" w:type="dxa"/>
          </w:tcPr>
          <w:p w14:paraId="6B5AF61B" w14:textId="77777777" w:rsidR="007947BF" w:rsidRPr="008662BF" w:rsidRDefault="00A335EA" w:rsidP="004B2AB0">
            <w:pPr>
              <w:spacing w:after="0"/>
              <w:rPr>
                <w:rFonts w:eastAsia="Times New Roman" w:cs="Arial"/>
                <w:b/>
                <w:sz w:val="20"/>
                <w:szCs w:val="16"/>
                <w:lang w:val="mk-MK" w:eastAsia="en-GB"/>
              </w:rPr>
            </w:pPr>
            <w:r w:rsidRPr="008662BF">
              <w:rPr>
                <w:b/>
                <w:sz w:val="20"/>
                <w:szCs w:val="20"/>
                <w:lang w:val="mk-MK"/>
              </w:rPr>
              <w:t>Проценето времетраење на опремата (год.)</w:t>
            </w:r>
          </w:p>
        </w:tc>
        <w:tc>
          <w:tcPr>
            <w:tcW w:w="1128" w:type="dxa"/>
          </w:tcPr>
          <w:p w14:paraId="1BA06C09" w14:textId="77777777" w:rsidR="007947BF" w:rsidRPr="008662BF" w:rsidRDefault="00A335EA" w:rsidP="004B2AB0">
            <w:pPr>
              <w:spacing w:after="0" w:line="240" w:lineRule="auto"/>
              <w:rPr>
                <w:rFonts w:eastAsia="Times New Roman" w:cs="Arial"/>
                <w:b/>
                <w:sz w:val="20"/>
                <w:szCs w:val="16"/>
                <w:lang w:val="mk-MK" w:eastAsia="en-GB"/>
              </w:rPr>
            </w:pPr>
            <w:r w:rsidRPr="008662BF">
              <w:rPr>
                <w:rFonts w:eastAsia="Times New Roman" w:cs="Arial"/>
                <w:b/>
                <w:sz w:val="20"/>
                <w:szCs w:val="16"/>
                <w:lang w:val="mk-MK" w:eastAsia="en-GB"/>
              </w:rPr>
              <w:t>Проценет број на корисници</w:t>
            </w:r>
          </w:p>
        </w:tc>
      </w:tr>
      <w:tr w:rsidR="00A335EA" w:rsidRPr="008662BF" w14:paraId="2564BBD3" w14:textId="77777777" w:rsidTr="00F50C18">
        <w:trPr>
          <w:jc w:val="center"/>
        </w:trPr>
        <w:tc>
          <w:tcPr>
            <w:tcW w:w="481" w:type="dxa"/>
            <w:shd w:val="clear" w:color="auto" w:fill="auto"/>
            <w:noWrap/>
            <w:vAlign w:val="bottom"/>
          </w:tcPr>
          <w:p w14:paraId="3DBBEB05"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1.</w:t>
            </w:r>
          </w:p>
        </w:tc>
        <w:tc>
          <w:tcPr>
            <w:tcW w:w="2660" w:type="dxa"/>
            <w:shd w:val="clear" w:color="auto" w:fill="auto"/>
            <w:vAlign w:val="bottom"/>
          </w:tcPr>
          <w:p w14:paraId="6D33EF10"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7C672741"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1C59DEED"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3EC9FCBE"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65F1EC46"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0D021ED0"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7A82B694" w14:textId="77777777" w:rsidTr="00F50C18">
        <w:trPr>
          <w:jc w:val="center"/>
        </w:trPr>
        <w:tc>
          <w:tcPr>
            <w:tcW w:w="481" w:type="dxa"/>
            <w:shd w:val="clear" w:color="auto" w:fill="auto"/>
            <w:noWrap/>
            <w:vAlign w:val="bottom"/>
          </w:tcPr>
          <w:p w14:paraId="24865237"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2.</w:t>
            </w:r>
          </w:p>
        </w:tc>
        <w:tc>
          <w:tcPr>
            <w:tcW w:w="2660" w:type="dxa"/>
            <w:shd w:val="clear" w:color="auto" w:fill="auto"/>
            <w:vAlign w:val="bottom"/>
          </w:tcPr>
          <w:p w14:paraId="500CC32C"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14A85BDC"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19D8B77A"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2A0391C6"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65FC1339"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127A57B0"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0273374E" w14:textId="77777777" w:rsidTr="00F50C18">
        <w:trPr>
          <w:jc w:val="center"/>
        </w:trPr>
        <w:tc>
          <w:tcPr>
            <w:tcW w:w="481" w:type="dxa"/>
            <w:shd w:val="clear" w:color="auto" w:fill="auto"/>
            <w:noWrap/>
            <w:vAlign w:val="bottom"/>
          </w:tcPr>
          <w:p w14:paraId="03A33C16"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3.</w:t>
            </w:r>
          </w:p>
        </w:tc>
        <w:tc>
          <w:tcPr>
            <w:tcW w:w="2660" w:type="dxa"/>
            <w:shd w:val="clear" w:color="auto" w:fill="auto"/>
            <w:vAlign w:val="bottom"/>
          </w:tcPr>
          <w:p w14:paraId="2844D642"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73DC79A4"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6C337659"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0D501238"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53D7B8BF"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15D75F64"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4F61A020" w14:textId="77777777" w:rsidTr="00F50C18">
        <w:trPr>
          <w:jc w:val="center"/>
        </w:trPr>
        <w:tc>
          <w:tcPr>
            <w:tcW w:w="481" w:type="dxa"/>
            <w:shd w:val="clear" w:color="auto" w:fill="auto"/>
            <w:noWrap/>
            <w:vAlign w:val="bottom"/>
          </w:tcPr>
          <w:p w14:paraId="191D52C0"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4.</w:t>
            </w:r>
          </w:p>
        </w:tc>
        <w:tc>
          <w:tcPr>
            <w:tcW w:w="2660" w:type="dxa"/>
            <w:shd w:val="clear" w:color="auto" w:fill="auto"/>
            <w:vAlign w:val="bottom"/>
          </w:tcPr>
          <w:p w14:paraId="14FC5810"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2FCB0CCB"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1BB69D51"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47BDF089"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5CC195E1"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099FB7FA"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584DE92B" w14:textId="77777777" w:rsidTr="00F50C18">
        <w:trPr>
          <w:jc w:val="center"/>
        </w:trPr>
        <w:tc>
          <w:tcPr>
            <w:tcW w:w="481" w:type="dxa"/>
            <w:shd w:val="clear" w:color="auto" w:fill="auto"/>
            <w:noWrap/>
            <w:vAlign w:val="bottom"/>
          </w:tcPr>
          <w:p w14:paraId="6F48CF34"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5.</w:t>
            </w:r>
          </w:p>
        </w:tc>
        <w:tc>
          <w:tcPr>
            <w:tcW w:w="2660" w:type="dxa"/>
            <w:shd w:val="clear" w:color="auto" w:fill="auto"/>
            <w:vAlign w:val="bottom"/>
          </w:tcPr>
          <w:p w14:paraId="5741E717"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164B3819"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5EB3C948"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323DC3D2"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068E2204"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15BB94F3"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748674C9" w14:textId="77777777" w:rsidTr="00F50C18">
        <w:trPr>
          <w:jc w:val="center"/>
        </w:trPr>
        <w:tc>
          <w:tcPr>
            <w:tcW w:w="481" w:type="dxa"/>
            <w:shd w:val="clear" w:color="auto" w:fill="auto"/>
            <w:noWrap/>
            <w:vAlign w:val="bottom"/>
          </w:tcPr>
          <w:p w14:paraId="3FF70DFB"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6.</w:t>
            </w:r>
          </w:p>
        </w:tc>
        <w:tc>
          <w:tcPr>
            <w:tcW w:w="2660" w:type="dxa"/>
            <w:shd w:val="clear" w:color="auto" w:fill="auto"/>
            <w:vAlign w:val="bottom"/>
          </w:tcPr>
          <w:p w14:paraId="03E03D97"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4CA77071"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4E918DCB"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40F9906B"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41263362"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718E209F"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7F83148A" w14:textId="77777777" w:rsidTr="00F50C18">
        <w:trPr>
          <w:jc w:val="center"/>
        </w:trPr>
        <w:tc>
          <w:tcPr>
            <w:tcW w:w="481" w:type="dxa"/>
            <w:shd w:val="clear" w:color="auto" w:fill="auto"/>
            <w:noWrap/>
            <w:vAlign w:val="bottom"/>
          </w:tcPr>
          <w:p w14:paraId="653B3B21"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7.</w:t>
            </w:r>
          </w:p>
        </w:tc>
        <w:tc>
          <w:tcPr>
            <w:tcW w:w="2660" w:type="dxa"/>
            <w:shd w:val="clear" w:color="auto" w:fill="auto"/>
            <w:vAlign w:val="bottom"/>
          </w:tcPr>
          <w:p w14:paraId="2C58416C"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50D29D4E"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3AE9A7B5"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30D39396"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3FD1AA3F"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697D1B09"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32378A4D" w14:textId="77777777" w:rsidTr="00F50C18">
        <w:trPr>
          <w:jc w:val="center"/>
        </w:trPr>
        <w:tc>
          <w:tcPr>
            <w:tcW w:w="481" w:type="dxa"/>
            <w:shd w:val="clear" w:color="auto" w:fill="auto"/>
            <w:noWrap/>
            <w:vAlign w:val="bottom"/>
          </w:tcPr>
          <w:p w14:paraId="62B7DE07"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8.</w:t>
            </w:r>
          </w:p>
        </w:tc>
        <w:tc>
          <w:tcPr>
            <w:tcW w:w="2660" w:type="dxa"/>
            <w:shd w:val="clear" w:color="auto" w:fill="auto"/>
            <w:vAlign w:val="bottom"/>
          </w:tcPr>
          <w:p w14:paraId="42CDA1F6"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65CB3807"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40314055"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3C7DC3E9"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3FD1A2FA"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686628C9"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5323380C" w14:textId="77777777" w:rsidTr="00F50C18">
        <w:trPr>
          <w:jc w:val="center"/>
        </w:trPr>
        <w:tc>
          <w:tcPr>
            <w:tcW w:w="481" w:type="dxa"/>
            <w:shd w:val="clear" w:color="auto" w:fill="auto"/>
            <w:noWrap/>
            <w:vAlign w:val="bottom"/>
          </w:tcPr>
          <w:p w14:paraId="17C1794D"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9.</w:t>
            </w:r>
          </w:p>
        </w:tc>
        <w:tc>
          <w:tcPr>
            <w:tcW w:w="2660" w:type="dxa"/>
            <w:shd w:val="clear" w:color="auto" w:fill="auto"/>
            <w:vAlign w:val="bottom"/>
          </w:tcPr>
          <w:p w14:paraId="745743D4"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52D21972"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612706F3"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31427EA1"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5F00C4F9"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3B91602B"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4A1DC7DF" w14:textId="77777777" w:rsidTr="00F50C18">
        <w:trPr>
          <w:jc w:val="center"/>
        </w:trPr>
        <w:tc>
          <w:tcPr>
            <w:tcW w:w="481" w:type="dxa"/>
            <w:shd w:val="clear" w:color="auto" w:fill="auto"/>
            <w:noWrap/>
            <w:vAlign w:val="bottom"/>
          </w:tcPr>
          <w:p w14:paraId="092A09D1"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10.</w:t>
            </w:r>
          </w:p>
        </w:tc>
        <w:tc>
          <w:tcPr>
            <w:tcW w:w="2660" w:type="dxa"/>
            <w:shd w:val="clear" w:color="auto" w:fill="auto"/>
            <w:vAlign w:val="bottom"/>
          </w:tcPr>
          <w:p w14:paraId="2CC74828"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7427E6F7"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39D49A07"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2C25C19B"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3F812097"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57CC0D0E"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10D46321" w14:textId="77777777" w:rsidTr="00F50C18">
        <w:trPr>
          <w:jc w:val="center"/>
        </w:trPr>
        <w:tc>
          <w:tcPr>
            <w:tcW w:w="481" w:type="dxa"/>
            <w:shd w:val="clear" w:color="auto" w:fill="auto"/>
            <w:noWrap/>
            <w:vAlign w:val="bottom"/>
          </w:tcPr>
          <w:p w14:paraId="7389A487"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w:t>
            </w:r>
          </w:p>
        </w:tc>
        <w:tc>
          <w:tcPr>
            <w:tcW w:w="2660" w:type="dxa"/>
            <w:shd w:val="clear" w:color="auto" w:fill="auto"/>
            <w:vAlign w:val="bottom"/>
          </w:tcPr>
          <w:p w14:paraId="0279CC2D"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159A9B04"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67399290"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26B8924E"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11D174B5"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2B770A57"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7DFB7073" w14:textId="77777777" w:rsidTr="00F50C18">
        <w:trPr>
          <w:jc w:val="center"/>
        </w:trPr>
        <w:tc>
          <w:tcPr>
            <w:tcW w:w="481" w:type="dxa"/>
            <w:shd w:val="clear" w:color="auto" w:fill="auto"/>
            <w:noWrap/>
            <w:vAlign w:val="bottom"/>
          </w:tcPr>
          <w:p w14:paraId="3EEBB351" w14:textId="77777777" w:rsidR="007947BF" w:rsidRPr="008662BF" w:rsidRDefault="007947BF"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w:t>
            </w:r>
          </w:p>
        </w:tc>
        <w:tc>
          <w:tcPr>
            <w:tcW w:w="2660" w:type="dxa"/>
            <w:shd w:val="clear" w:color="auto" w:fill="auto"/>
            <w:vAlign w:val="bottom"/>
          </w:tcPr>
          <w:p w14:paraId="734B0B75"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210369F6"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1B04CFEC"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22A94423"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52A7BD6B"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081A8F63" w14:textId="77777777" w:rsidR="007947BF" w:rsidRPr="008662BF" w:rsidRDefault="007947BF" w:rsidP="004B2AB0">
            <w:pPr>
              <w:spacing w:after="0" w:line="240" w:lineRule="auto"/>
              <w:rPr>
                <w:rFonts w:eastAsia="Times New Roman" w:cs="Arial"/>
                <w:sz w:val="20"/>
                <w:szCs w:val="20"/>
                <w:lang w:val="mk-MK" w:eastAsia="en-GB"/>
              </w:rPr>
            </w:pPr>
          </w:p>
        </w:tc>
      </w:tr>
      <w:tr w:rsidR="00A335EA" w:rsidRPr="008662BF" w14:paraId="08964027" w14:textId="77777777" w:rsidTr="00F50C18">
        <w:trPr>
          <w:jc w:val="center"/>
        </w:trPr>
        <w:tc>
          <w:tcPr>
            <w:tcW w:w="481" w:type="dxa"/>
            <w:shd w:val="clear" w:color="auto" w:fill="auto"/>
            <w:noWrap/>
            <w:vAlign w:val="bottom"/>
          </w:tcPr>
          <w:p w14:paraId="3215E16A" w14:textId="77777777" w:rsidR="007947BF" w:rsidRPr="008662BF" w:rsidRDefault="00426DE8" w:rsidP="004B2AB0">
            <w:pPr>
              <w:spacing w:after="0" w:line="240" w:lineRule="auto"/>
              <w:rPr>
                <w:rFonts w:eastAsia="Times New Roman" w:cs="Arial"/>
                <w:sz w:val="20"/>
                <w:szCs w:val="20"/>
                <w:lang w:val="mk-MK" w:eastAsia="en-GB"/>
              </w:rPr>
            </w:pPr>
            <w:r w:rsidRPr="008662BF">
              <w:rPr>
                <w:rFonts w:eastAsia="Times New Roman" w:cs="Arial"/>
                <w:sz w:val="20"/>
                <w:szCs w:val="20"/>
                <w:lang w:val="mk-MK" w:eastAsia="en-GB"/>
              </w:rPr>
              <w:t>N</w:t>
            </w:r>
          </w:p>
        </w:tc>
        <w:tc>
          <w:tcPr>
            <w:tcW w:w="2660" w:type="dxa"/>
            <w:shd w:val="clear" w:color="auto" w:fill="auto"/>
            <w:vAlign w:val="bottom"/>
          </w:tcPr>
          <w:p w14:paraId="0C75803E"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vAlign w:val="bottom"/>
          </w:tcPr>
          <w:p w14:paraId="12C5911C" w14:textId="77777777" w:rsidR="007947BF" w:rsidRPr="008662BF" w:rsidRDefault="007947BF" w:rsidP="004B2AB0">
            <w:pPr>
              <w:spacing w:after="0" w:line="240" w:lineRule="auto"/>
              <w:rPr>
                <w:rFonts w:eastAsia="Times New Roman" w:cs="Arial"/>
                <w:sz w:val="20"/>
                <w:szCs w:val="20"/>
                <w:lang w:val="mk-MK" w:eastAsia="en-GB"/>
              </w:rPr>
            </w:pPr>
          </w:p>
        </w:tc>
        <w:tc>
          <w:tcPr>
            <w:tcW w:w="994" w:type="dxa"/>
            <w:shd w:val="clear" w:color="auto" w:fill="auto"/>
            <w:vAlign w:val="bottom"/>
          </w:tcPr>
          <w:p w14:paraId="405C96B2" w14:textId="77777777" w:rsidR="007947BF" w:rsidRPr="008662BF" w:rsidRDefault="007947BF" w:rsidP="004B2AB0">
            <w:pPr>
              <w:spacing w:after="0" w:line="240" w:lineRule="auto"/>
              <w:rPr>
                <w:rFonts w:eastAsia="Times New Roman" w:cs="Arial"/>
                <w:sz w:val="20"/>
                <w:szCs w:val="20"/>
                <w:lang w:val="mk-MK" w:eastAsia="en-GB"/>
              </w:rPr>
            </w:pPr>
          </w:p>
        </w:tc>
        <w:tc>
          <w:tcPr>
            <w:tcW w:w="1395" w:type="dxa"/>
            <w:shd w:val="clear" w:color="auto" w:fill="auto"/>
            <w:vAlign w:val="bottom"/>
          </w:tcPr>
          <w:p w14:paraId="3B0DF4FE" w14:textId="77777777" w:rsidR="007947BF" w:rsidRPr="008662BF" w:rsidRDefault="007947BF" w:rsidP="004B2AB0">
            <w:pPr>
              <w:spacing w:after="0" w:line="240" w:lineRule="auto"/>
              <w:rPr>
                <w:rFonts w:eastAsia="Times New Roman" w:cs="Arial"/>
                <w:sz w:val="20"/>
                <w:szCs w:val="20"/>
                <w:lang w:val="mk-MK" w:eastAsia="en-GB"/>
              </w:rPr>
            </w:pPr>
          </w:p>
        </w:tc>
        <w:tc>
          <w:tcPr>
            <w:tcW w:w="1453" w:type="dxa"/>
          </w:tcPr>
          <w:p w14:paraId="217C954F" w14:textId="77777777" w:rsidR="007947BF" w:rsidRPr="008662BF" w:rsidRDefault="007947BF" w:rsidP="004B2AB0">
            <w:pPr>
              <w:spacing w:after="0" w:line="240" w:lineRule="auto"/>
              <w:rPr>
                <w:rFonts w:eastAsia="Times New Roman" w:cs="Arial"/>
                <w:sz w:val="20"/>
                <w:szCs w:val="20"/>
                <w:lang w:val="mk-MK" w:eastAsia="en-GB"/>
              </w:rPr>
            </w:pPr>
          </w:p>
        </w:tc>
        <w:tc>
          <w:tcPr>
            <w:tcW w:w="1128" w:type="dxa"/>
          </w:tcPr>
          <w:p w14:paraId="4378B3CB" w14:textId="77777777" w:rsidR="007947BF" w:rsidRPr="008662BF" w:rsidRDefault="007947BF" w:rsidP="004B2AB0">
            <w:pPr>
              <w:spacing w:after="0" w:line="240" w:lineRule="auto"/>
              <w:rPr>
                <w:rFonts w:eastAsia="Times New Roman" w:cs="Arial"/>
                <w:sz w:val="20"/>
                <w:szCs w:val="20"/>
                <w:lang w:val="mk-MK" w:eastAsia="en-GB"/>
              </w:rPr>
            </w:pPr>
          </w:p>
        </w:tc>
      </w:tr>
    </w:tbl>
    <w:p w14:paraId="0727BDA3" w14:textId="77777777" w:rsidR="00F50C18" w:rsidRPr="008662BF" w:rsidRDefault="00F50C18" w:rsidP="00F50C18">
      <w:pPr>
        <w:spacing w:after="0" w:line="252" w:lineRule="auto"/>
        <w:jc w:val="both"/>
        <w:rPr>
          <w:rFonts w:eastAsia="Calibri" w:cs="Arial"/>
          <w:b/>
          <w:sz w:val="18"/>
          <w:szCs w:val="18"/>
          <w:lang w:val="mk-MK"/>
        </w:rPr>
      </w:pPr>
      <w:r w:rsidRPr="008662BF">
        <w:rPr>
          <w:rFonts w:eastAsia="Calibri" w:cs="Arial"/>
          <w:b/>
          <w:sz w:val="18"/>
          <w:szCs w:val="18"/>
          <w:lang w:val="mk-MK"/>
        </w:rPr>
        <w:t>Упатства за пополнување на Табела 2.2:</w:t>
      </w:r>
    </w:p>
    <w:p w14:paraId="1AA2C2CD"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Внесете ја само опремата чија набавна вредност е над 50.000 евра.</w:t>
      </w:r>
    </w:p>
    <w:p w14:paraId="7117E8DE"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Во колоната „Извор на средства за набавка на опремата“ внесете го изворот на финансирање. Доколку има два или повеќе извори, наведете ги сите поединечно со процентот на нивно учество:</w:t>
      </w:r>
    </w:p>
    <w:p w14:paraId="3D4D87E8"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а. Сопствени средства</w:t>
      </w:r>
    </w:p>
    <w:p w14:paraId="6263A17A"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б. Средства од Министерството за образование и наука</w:t>
      </w:r>
    </w:p>
    <w:p w14:paraId="2336A920"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в. Средства од други министерства</w:t>
      </w:r>
    </w:p>
    <w:p w14:paraId="0303085F"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 xml:space="preserve">г. Јавни </w:t>
      </w:r>
      <w:r w:rsidR="006B7662">
        <w:rPr>
          <w:rFonts w:eastAsia="Calibri" w:cs="Arial"/>
          <w:sz w:val="18"/>
          <w:szCs w:val="18"/>
          <w:lang w:val="mk-MK"/>
        </w:rPr>
        <w:t>средства</w:t>
      </w:r>
    </w:p>
    <w:p w14:paraId="2664CC86"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д. Донации</w:t>
      </w:r>
    </w:p>
    <w:p w14:paraId="04070A60"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ѓ. Средства од меѓународни проекти</w:t>
      </w:r>
    </w:p>
    <w:p w14:paraId="1D25B941"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 xml:space="preserve">е. Меѓународни </w:t>
      </w:r>
      <w:r w:rsidR="00E31493" w:rsidRPr="008662BF">
        <w:rPr>
          <w:rFonts w:eastAsia="Calibri" w:cs="Arial"/>
          <w:sz w:val="18"/>
          <w:szCs w:val="18"/>
          <w:lang w:val="mk-MK"/>
        </w:rPr>
        <w:t xml:space="preserve">фондови/ </w:t>
      </w:r>
      <w:r w:rsidRPr="008662BF">
        <w:rPr>
          <w:rFonts w:eastAsia="Calibri" w:cs="Arial"/>
          <w:sz w:val="18"/>
          <w:szCs w:val="18"/>
          <w:lang w:val="mk-MK"/>
        </w:rPr>
        <w:t>донации</w:t>
      </w:r>
    </w:p>
    <w:p w14:paraId="4B40A4D1" w14:textId="77777777" w:rsidR="00F50C18" w:rsidRPr="008662BF" w:rsidRDefault="00F50C18" w:rsidP="00F50C18">
      <w:pPr>
        <w:spacing w:after="0" w:line="252" w:lineRule="auto"/>
        <w:jc w:val="both"/>
        <w:rPr>
          <w:rFonts w:eastAsia="Calibri" w:cs="Arial"/>
          <w:sz w:val="18"/>
          <w:szCs w:val="18"/>
          <w:lang w:val="mk-MK"/>
        </w:rPr>
      </w:pPr>
      <w:r w:rsidRPr="008662BF">
        <w:rPr>
          <w:rFonts w:eastAsia="Calibri" w:cs="Arial"/>
          <w:sz w:val="18"/>
          <w:szCs w:val="18"/>
          <w:lang w:val="mk-MK"/>
        </w:rPr>
        <w:t>ч. Други извори - наведете кои!</w:t>
      </w:r>
    </w:p>
    <w:p w14:paraId="09FFB43B" w14:textId="77777777" w:rsidR="007947BF" w:rsidRPr="008662BF" w:rsidRDefault="007947BF" w:rsidP="007947BF">
      <w:pPr>
        <w:spacing w:after="0" w:line="240" w:lineRule="auto"/>
        <w:rPr>
          <w:rFonts w:eastAsia="Calibri" w:cs="Arial"/>
          <w:sz w:val="24"/>
          <w:lang w:val="mk-MK"/>
        </w:rPr>
      </w:pPr>
    </w:p>
    <w:p w14:paraId="31B1E7CB" w14:textId="77777777" w:rsidR="00F50C18" w:rsidRPr="008662BF" w:rsidRDefault="00F50C18" w:rsidP="007947BF">
      <w:pPr>
        <w:rPr>
          <w:b/>
          <w:sz w:val="28"/>
          <w:lang w:val="mk-MK"/>
        </w:rPr>
      </w:pPr>
      <w:r w:rsidRPr="008662BF">
        <w:rPr>
          <w:b/>
          <w:sz w:val="28"/>
          <w:lang w:val="mk-MK"/>
        </w:rPr>
        <w:t>3. Информации за пристапот, соработката и влијанието</w:t>
      </w:r>
    </w:p>
    <w:p w14:paraId="11161E9B" w14:textId="77777777" w:rsidR="007947BF" w:rsidRPr="008662BF" w:rsidRDefault="007947BF" w:rsidP="007947BF">
      <w:pPr>
        <w:rPr>
          <w:b/>
          <w:sz w:val="24"/>
          <w:lang w:val="mk-MK"/>
        </w:rPr>
      </w:pPr>
      <w:r w:rsidRPr="008662BF">
        <w:rPr>
          <w:b/>
          <w:sz w:val="24"/>
          <w:lang w:val="mk-MK"/>
        </w:rPr>
        <w:t>3</w:t>
      </w:r>
      <w:r w:rsidR="00F50C18" w:rsidRPr="008662BF">
        <w:rPr>
          <w:b/>
          <w:sz w:val="24"/>
          <w:lang w:val="mk-MK"/>
        </w:rPr>
        <w:t>.1. Информации за пристапот</w:t>
      </w:r>
    </w:p>
    <w:p w14:paraId="18A0DB34" w14:textId="77777777" w:rsidR="007947BF" w:rsidRPr="008662BF" w:rsidRDefault="00F50C18" w:rsidP="007947BF">
      <w:pPr>
        <w:spacing w:after="0"/>
        <w:rPr>
          <w:lang w:val="mk-MK"/>
        </w:rPr>
      </w:pPr>
      <w:r w:rsidRPr="008662BF">
        <w:rPr>
          <w:lang w:val="mk-MK"/>
        </w:rPr>
        <w:t>Краток опис на политиката и</w:t>
      </w:r>
      <w:r w:rsidR="001A62DC">
        <w:rPr>
          <w:lang w:val="mk-MK"/>
        </w:rPr>
        <w:t xml:space="preserve"> на</w:t>
      </w:r>
      <w:r w:rsidRPr="008662BF">
        <w:rPr>
          <w:lang w:val="mk-MK"/>
        </w:rPr>
        <w:t xml:space="preserve"> процедурите за пристап </w:t>
      </w:r>
      <w:r w:rsidR="00A335EA" w:rsidRPr="008662BF">
        <w:rPr>
          <w:lang w:val="mk-MK"/>
        </w:rPr>
        <w:t xml:space="preserve">на </w:t>
      </w:r>
      <w:r w:rsidRPr="008662BF">
        <w:rPr>
          <w:lang w:val="mk-MK"/>
        </w:rPr>
        <w:t>корисниците на оваа истражувачка инфраструктура.</w:t>
      </w:r>
    </w:p>
    <w:tbl>
      <w:tblPr>
        <w:tblStyle w:val="TableGrid"/>
        <w:tblW w:w="5000" w:type="pct"/>
        <w:tblLook w:val="04A0" w:firstRow="1" w:lastRow="0" w:firstColumn="1" w:lastColumn="0" w:noHBand="0" w:noVBand="1"/>
      </w:tblPr>
      <w:tblGrid>
        <w:gridCol w:w="9062"/>
      </w:tblGrid>
      <w:tr w:rsidR="007947BF" w:rsidRPr="008662BF" w14:paraId="37F46A9A" w14:textId="77777777" w:rsidTr="004B2AB0">
        <w:tc>
          <w:tcPr>
            <w:tcW w:w="5000" w:type="pct"/>
          </w:tcPr>
          <w:p w14:paraId="6E062AE3" w14:textId="77777777" w:rsidR="007947BF" w:rsidRPr="008662BF" w:rsidRDefault="007947BF" w:rsidP="004B2AB0">
            <w:pPr>
              <w:rPr>
                <w:rFonts w:eastAsia="Calibri" w:cs="Arial"/>
                <w:b/>
                <w:sz w:val="24"/>
                <w:lang w:val="mk-MK"/>
              </w:rPr>
            </w:pPr>
          </w:p>
          <w:p w14:paraId="7DA82DDD" w14:textId="77777777" w:rsidR="007947BF" w:rsidRPr="008662BF" w:rsidRDefault="007947BF" w:rsidP="004B2AB0">
            <w:pPr>
              <w:rPr>
                <w:rFonts w:eastAsia="Calibri" w:cs="Arial"/>
                <w:b/>
                <w:sz w:val="24"/>
                <w:lang w:val="mk-MK"/>
              </w:rPr>
            </w:pPr>
          </w:p>
        </w:tc>
      </w:tr>
    </w:tbl>
    <w:p w14:paraId="36AA5E67" w14:textId="77777777" w:rsidR="007947BF" w:rsidRPr="008662BF" w:rsidRDefault="007947BF" w:rsidP="007947BF">
      <w:pPr>
        <w:rPr>
          <w:rFonts w:eastAsia="Calibri" w:cs="Arial"/>
          <w:b/>
          <w:lang w:val="mk-MK"/>
        </w:rPr>
      </w:pPr>
    </w:p>
    <w:p w14:paraId="40F461B2" w14:textId="77777777" w:rsidR="007947BF" w:rsidRPr="008662BF" w:rsidRDefault="00A335EA" w:rsidP="007947BF">
      <w:pPr>
        <w:rPr>
          <w:b/>
          <w:lang w:val="mk-MK"/>
        </w:rPr>
      </w:pPr>
      <w:r w:rsidRPr="008662BF">
        <w:rPr>
          <w:b/>
          <w:lang w:val="mk-MK"/>
        </w:rPr>
        <w:t>3.1.1. Информации за надворешни корисници</w:t>
      </w:r>
    </w:p>
    <w:tbl>
      <w:tblPr>
        <w:tblStyle w:val="TableGrid"/>
        <w:tblW w:w="0" w:type="auto"/>
        <w:tblLook w:val="04A0" w:firstRow="1" w:lastRow="0" w:firstColumn="1" w:lastColumn="0" w:noHBand="0" w:noVBand="1"/>
      </w:tblPr>
      <w:tblGrid>
        <w:gridCol w:w="4515"/>
        <w:gridCol w:w="4547"/>
      </w:tblGrid>
      <w:tr w:rsidR="007947BF" w:rsidRPr="008662BF" w14:paraId="08504331" w14:textId="77777777" w:rsidTr="00A335EA">
        <w:tc>
          <w:tcPr>
            <w:tcW w:w="4631" w:type="dxa"/>
          </w:tcPr>
          <w:p w14:paraId="7A54C00E" w14:textId="77777777" w:rsidR="007947BF" w:rsidRPr="008662BF" w:rsidRDefault="00A335EA" w:rsidP="00A335EA">
            <w:pPr>
              <w:rPr>
                <w:rFonts w:eastAsia="Calibri" w:cs="Arial"/>
                <w:b/>
                <w:lang w:val="mk-MK"/>
              </w:rPr>
            </w:pPr>
            <w:r w:rsidRPr="008662BF">
              <w:rPr>
                <w:rFonts w:eastAsia="Calibri" w:cs="Arial"/>
                <w:b/>
                <w:lang w:val="mk-MK"/>
              </w:rPr>
              <w:t>Корисници на ИИ</w:t>
            </w:r>
          </w:p>
        </w:tc>
        <w:tc>
          <w:tcPr>
            <w:tcW w:w="4657" w:type="dxa"/>
          </w:tcPr>
          <w:p w14:paraId="2058C37D" w14:textId="77777777" w:rsidR="007947BF" w:rsidRPr="008662BF" w:rsidRDefault="00A335EA" w:rsidP="00A335EA">
            <w:pPr>
              <w:rPr>
                <w:rFonts w:eastAsia="Calibri" w:cs="Arial"/>
                <w:b/>
                <w:lang w:val="mk-MK"/>
              </w:rPr>
            </w:pPr>
            <w:r w:rsidRPr="008662BF">
              <w:rPr>
                <w:rFonts w:eastAsia="Calibri" w:cs="Arial"/>
                <w:b/>
                <w:lang w:val="mk-MK"/>
              </w:rPr>
              <w:t xml:space="preserve">Наведете го називот на институцијата, одделот </w:t>
            </w:r>
          </w:p>
        </w:tc>
      </w:tr>
      <w:tr w:rsidR="00A335EA" w:rsidRPr="008662BF" w14:paraId="3D3D68BD" w14:textId="77777777" w:rsidTr="00A335EA">
        <w:tc>
          <w:tcPr>
            <w:tcW w:w="4631" w:type="dxa"/>
          </w:tcPr>
          <w:p w14:paraId="0A2E6BCC" w14:textId="77777777" w:rsidR="00A335EA" w:rsidRPr="008662BF" w:rsidRDefault="00A335EA" w:rsidP="00A335EA">
            <w:pPr>
              <w:rPr>
                <w:lang w:val="mk-MK"/>
              </w:rPr>
            </w:pPr>
            <w:r w:rsidRPr="008662BF">
              <w:rPr>
                <w:lang w:val="mk-MK"/>
              </w:rPr>
              <w:t>Групи истражувачи од вашата земја</w:t>
            </w:r>
          </w:p>
        </w:tc>
        <w:tc>
          <w:tcPr>
            <w:tcW w:w="4657" w:type="dxa"/>
          </w:tcPr>
          <w:p w14:paraId="31EA1F0B" w14:textId="77777777" w:rsidR="00A335EA" w:rsidRPr="008662BF" w:rsidRDefault="00A335EA" w:rsidP="00A335EA">
            <w:pPr>
              <w:rPr>
                <w:rFonts w:eastAsia="Calibri" w:cs="Arial"/>
                <w:b/>
                <w:lang w:val="mk-MK"/>
              </w:rPr>
            </w:pPr>
          </w:p>
          <w:p w14:paraId="7DB5A9BB" w14:textId="77777777" w:rsidR="00A335EA" w:rsidRPr="008662BF" w:rsidRDefault="00A335EA" w:rsidP="00A335EA">
            <w:pPr>
              <w:rPr>
                <w:rFonts w:eastAsia="Calibri" w:cs="Arial"/>
                <w:b/>
                <w:lang w:val="mk-MK"/>
              </w:rPr>
            </w:pPr>
          </w:p>
        </w:tc>
      </w:tr>
      <w:tr w:rsidR="00A335EA" w:rsidRPr="008662BF" w14:paraId="42AAFF69" w14:textId="77777777" w:rsidTr="00A335EA">
        <w:tc>
          <w:tcPr>
            <w:tcW w:w="4631" w:type="dxa"/>
          </w:tcPr>
          <w:p w14:paraId="77E7F399" w14:textId="77777777" w:rsidR="00A335EA" w:rsidRPr="008662BF" w:rsidRDefault="00A335EA" w:rsidP="00A335EA">
            <w:pPr>
              <w:rPr>
                <w:lang w:val="mk-MK"/>
              </w:rPr>
            </w:pPr>
            <w:r w:rsidRPr="008662BF">
              <w:rPr>
                <w:lang w:val="mk-MK"/>
              </w:rPr>
              <w:t>Групи истражувачи од земјите на Западен Балкан</w:t>
            </w:r>
          </w:p>
        </w:tc>
        <w:tc>
          <w:tcPr>
            <w:tcW w:w="4657" w:type="dxa"/>
          </w:tcPr>
          <w:p w14:paraId="187925BA" w14:textId="77777777" w:rsidR="00A335EA" w:rsidRPr="008662BF" w:rsidRDefault="00A335EA" w:rsidP="00A335EA">
            <w:pPr>
              <w:rPr>
                <w:rFonts w:eastAsia="Calibri" w:cs="Arial"/>
                <w:b/>
                <w:lang w:val="mk-MK"/>
              </w:rPr>
            </w:pPr>
          </w:p>
          <w:p w14:paraId="7AA90ED5" w14:textId="77777777" w:rsidR="00A335EA" w:rsidRPr="008662BF" w:rsidRDefault="00A335EA" w:rsidP="00A335EA">
            <w:pPr>
              <w:rPr>
                <w:rFonts w:eastAsia="Calibri" w:cs="Arial"/>
                <w:b/>
                <w:lang w:val="mk-MK"/>
              </w:rPr>
            </w:pPr>
          </w:p>
        </w:tc>
      </w:tr>
      <w:tr w:rsidR="00A335EA" w:rsidRPr="008662BF" w14:paraId="1713C70D" w14:textId="77777777" w:rsidTr="00A335EA">
        <w:tc>
          <w:tcPr>
            <w:tcW w:w="4631" w:type="dxa"/>
          </w:tcPr>
          <w:p w14:paraId="351526B4" w14:textId="77777777" w:rsidR="00A335EA" w:rsidRPr="008662BF" w:rsidRDefault="00A335EA" w:rsidP="00A335EA">
            <w:pPr>
              <w:rPr>
                <w:lang w:val="mk-MK"/>
              </w:rPr>
            </w:pPr>
            <w:r w:rsidRPr="008662BF">
              <w:rPr>
                <w:lang w:val="mk-MK"/>
              </w:rPr>
              <w:t xml:space="preserve">Групи истражувачи од ЕУ и </w:t>
            </w:r>
            <w:r w:rsidR="001A62DC">
              <w:rPr>
                <w:lang w:val="mk-MK"/>
              </w:rPr>
              <w:t xml:space="preserve">од </w:t>
            </w:r>
            <w:r w:rsidRPr="008662BF">
              <w:rPr>
                <w:lang w:val="mk-MK"/>
              </w:rPr>
              <w:t>други земји</w:t>
            </w:r>
          </w:p>
        </w:tc>
        <w:tc>
          <w:tcPr>
            <w:tcW w:w="4657" w:type="dxa"/>
          </w:tcPr>
          <w:p w14:paraId="077A8CC7" w14:textId="77777777" w:rsidR="00A335EA" w:rsidRPr="008662BF" w:rsidRDefault="00A335EA" w:rsidP="00A335EA">
            <w:pPr>
              <w:rPr>
                <w:rFonts w:eastAsia="Calibri" w:cs="Arial"/>
                <w:b/>
                <w:lang w:val="mk-MK"/>
              </w:rPr>
            </w:pPr>
          </w:p>
          <w:p w14:paraId="0377696A" w14:textId="77777777" w:rsidR="00A335EA" w:rsidRPr="008662BF" w:rsidRDefault="00A335EA" w:rsidP="00A335EA">
            <w:pPr>
              <w:rPr>
                <w:rFonts w:eastAsia="Calibri" w:cs="Arial"/>
                <w:b/>
                <w:lang w:val="mk-MK"/>
              </w:rPr>
            </w:pPr>
          </w:p>
        </w:tc>
      </w:tr>
    </w:tbl>
    <w:p w14:paraId="6CC7F265" w14:textId="77777777" w:rsidR="007947BF" w:rsidRPr="008662BF" w:rsidRDefault="007947BF" w:rsidP="007947BF">
      <w:pPr>
        <w:rPr>
          <w:rFonts w:eastAsia="Calibri" w:cs="Arial"/>
          <w:b/>
          <w:lang w:val="mk-MK"/>
        </w:rPr>
      </w:pPr>
    </w:p>
    <w:p w14:paraId="4DAB0121" w14:textId="77777777" w:rsidR="007947BF" w:rsidRPr="008662BF" w:rsidRDefault="007947BF" w:rsidP="007947BF">
      <w:pPr>
        <w:rPr>
          <w:b/>
          <w:sz w:val="24"/>
          <w:lang w:val="mk-MK"/>
        </w:rPr>
      </w:pPr>
      <w:r w:rsidRPr="008662BF">
        <w:rPr>
          <w:b/>
          <w:sz w:val="24"/>
          <w:lang w:val="mk-MK"/>
        </w:rPr>
        <w:t xml:space="preserve">3.2. </w:t>
      </w:r>
      <w:r w:rsidR="00A335EA" w:rsidRPr="008662BF">
        <w:rPr>
          <w:b/>
          <w:sz w:val="24"/>
          <w:lang w:val="mk-MK"/>
        </w:rPr>
        <w:t>Информации за соработка</w:t>
      </w:r>
    </w:p>
    <w:p w14:paraId="34573351" w14:textId="77777777" w:rsidR="007947BF" w:rsidRPr="008662BF" w:rsidRDefault="00A335EA" w:rsidP="007947BF">
      <w:pPr>
        <w:spacing w:after="0"/>
        <w:rPr>
          <w:rFonts w:eastAsia="Calibri" w:cs="Arial"/>
          <w:lang w:val="mk-MK"/>
        </w:rPr>
      </w:pPr>
      <w:r w:rsidRPr="008662BF">
        <w:rPr>
          <w:rFonts w:eastAsia="Calibri" w:cs="Arial"/>
          <w:lang w:val="mk-MK"/>
        </w:rPr>
        <w:t xml:space="preserve">Наведете ги договорите и партнерствата за меѓународна соработка во кои </w:t>
      </w:r>
      <w:r w:rsidR="0003074F" w:rsidRPr="008662BF">
        <w:rPr>
          <w:rFonts w:eastAsia="Calibri" w:cs="Arial"/>
          <w:lang w:val="mk-MK"/>
        </w:rPr>
        <w:t xml:space="preserve">учествувала </w:t>
      </w:r>
      <w:r w:rsidRPr="008662BF">
        <w:rPr>
          <w:rFonts w:eastAsia="Calibri" w:cs="Arial"/>
          <w:lang w:val="mk-MK"/>
        </w:rPr>
        <w:t>оваа ИИ</w:t>
      </w:r>
      <w:r w:rsidR="007947BF" w:rsidRPr="008662BF">
        <w:rPr>
          <w:rFonts w:eastAsia="Calibri" w:cs="Arial"/>
          <w:lang w:val="mk-MK"/>
        </w:rPr>
        <w:t>.</w:t>
      </w:r>
    </w:p>
    <w:tbl>
      <w:tblPr>
        <w:tblStyle w:val="TableGrid"/>
        <w:tblW w:w="0" w:type="auto"/>
        <w:tblLook w:val="04A0" w:firstRow="1" w:lastRow="0" w:firstColumn="1" w:lastColumn="0" w:noHBand="0" w:noVBand="1"/>
      </w:tblPr>
      <w:tblGrid>
        <w:gridCol w:w="9062"/>
      </w:tblGrid>
      <w:tr w:rsidR="007947BF" w:rsidRPr="008662BF" w14:paraId="583E8420" w14:textId="77777777" w:rsidTr="004B2AB0">
        <w:tc>
          <w:tcPr>
            <w:tcW w:w="9242" w:type="dxa"/>
          </w:tcPr>
          <w:p w14:paraId="10588C96" w14:textId="77777777" w:rsidR="007947BF" w:rsidRPr="008662BF" w:rsidRDefault="007947BF" w:rsidP="004B2AB0">
            <w:pPr>
              <w:rPr>
                <w:rFonts w:eastAsia="Calibri" w:cs="Arial"/>
                <w:sz w:val="24"/>
                <w:lang w:val="mk-MK"/>
              </w:rPr>
            </w:pPr>
          </w:p>
          <w:p w14:paraId="30160805" w14:textId="77777777" w:rsidR="007947BF" w:rsidRPr="008662BF" w:rsidRDefault="007947BF" w:rsidP="004B2AB0">
            <w:pPr>
              <w:rPr>
                <w:rFonts w:eastAsia="Calibri" w:cs="Arial"/>
                <w:sz w:val="24"/>
                <w:lang w:val="mk-MK"/>
              </w:rPr>
            </w:pPr>
          </w:p>
        </w:tc>
      </w:tr>
    </w:tbl>
    <w:p w14:paraId="715FB76F" w14:textId="77777777" w:rsidR="0003074F" w:rsidRPr="008662BF" w:rsidRDefault="0003074F" w:rsidP="007947BF">
      <w:pPr>
        <w:rPr>
          <w:b/>
          <w:lang w:val="mk-MK"/>
        </w:rPr>
      </w:pPr>
    </w:p>
    <w:p w14:paraId="000D082D" w14:textId="77777777" w:rsidR="007947BF" w:rsidRPr="008662BF" w:rsidRDefault="007947BF" w:rsidP="007947BF">
      <w:pPr>
        <w:rPr>
          <w:b/>
          <w:lang w:val="mk-MK"/>
        </w:rPr>
      </w:pPr>
      <w:r w:rsidRPr="008662BF">
        <w:rPr>
          <w:b/>
          <w:lang w:val="mk-MK"/>
        </w:rPr>
        <w:t xml:space="preserve">3.2.1. </w:t>
      </w:r>
      <w:r w:rsidR="0003074F" w:rsidRPr="008662BF">
        <w:rPr>
          <w:b/>
          <w:lang w:val="mk-MK"/>
        </w:rPr>
        <w:t>Интеграција во поголеми ИИ</w:t>
      </w:r>
    </w:p>
    <w:p w14:paraId="0EFF5ABA" w14:textId="77777777" w:rsidR="007947BF" w:rsidRPr="008662BF" w:rsidRDefault="0003074F" w:rsidP="007947BF">
      <w:pPr>
        <w:jc w:val="both"/>
        <w:rPr>
          <w:lang w:val="mk-MK"/>
        </w:rPr>
      </w:pPr>
      <w:r w:rsidRPr="008662BF">
        <w:rPr>
          <w:lang w:val="mk-MK"/>
        </w:rPr>
        <w:t>Дали ИИ е поврзана или интегрирана во поголеми ИИ (меѓународни) или е член на некоја европска ИИ</w:t>
      </w:r>
      <w:r w:rsidR="008C76EF">
        <w:rPr>
          <w:lang w:val="mk-MK"/>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7947BF" w:rsidRPr="008662BF" w14:paraId="35DF77B8" w14:textId="77777777" w:rsidTr="004B2AB0">
        <w:sdt>
          <w:sdtPr>
            <w:rPr>
              <w:lang w:val="mk-MK"/>
            </w:rPr>
            <w:id w:val="1383675351"/>
          </w:sdtPr>
          <w:sdtEndPr/>
          <w:sdtContent>
            <w:tc>
              <w:tcPr>
                <w:tcW w:w="436" w:type="dxa"/>
              </w:tcPr>
              <w:p w14:paraId="754843C5" w14:textId="77777777" w:rsidR="007947BF" w:rsidRPr="008662BF" w:rsidRDefault="007947BF" w:rsidP="004B2AB0">
                <w:pPr>
                  <w:jc w:val="both"/>
                  <w:rPr>
                    <w:lang w:val="mk-MK"/>
                  </w:rPr>
                </w:pPr>
                <w:r w:rsidRPr="008662BF">
                  <w:rPr>
                    <w:rFonts w:ascii="MS Gothic" w:eastAsia="MS Gothic" w:hAnsi="MS Gothic" w:cs="MS Gothic"/>
                    <w:lang w:val="mk-MK"/>
                  </w:rPr>
                  <w:t>☐</w:t>
                </w:r>
              </w:p>
            </w:tc>
          </w:sdtContent>
        </w:sdt>
        <w:tc>
          <w:tcPr>
            <w:tcW w:w="665" w:type="dxa"/>
          </w:tcPr>
          <w:p w14:paraId="705CDEE2" w14:textId="77777777" w:rsidR="007947BF" w:rsidRPr="008662BF" w:rsidRDefault="0003074F" w:rsidP="0003074F">
            <w:pPr>
              <w:jc w:val="both"/>
              <w:rPr>
                <w:lang w:val="mk-MK"/>
              </w:rPr>
            </w:pPr>
            <w:r w:rsidRPr="008662BF">
              <w:rPr>
                <w:lang w:val="mk-MK"/>
              </w:rPr>
              <w:t>Да</w:t>
            </w:r>
          </w:p>
        </w:tc>
      </w:tr>
      <w:tr w:rsidR="007947BF" w:rsidRPr="008662BF" w14:paraId="7B6388F2" w14:textId="77777777" w:rsidTr="004B2AB0">
        <w:sdt>
          <w:sdtPr>
            <w:rPr>
              <w:lang w:val="mk-MK"/>
            </w:rPr>
            <w:id w:val="871190773"/>
          </w:sdtPr>
          <w:sdtEndPr/>
          <w:sdtContent>
            <w:tc>
              <w:tcPr>
                <w:tcW w:w="436" w:type="dxa"/>
              </w:tcPr>
              <w:p w14:paraId="59008BCF" w14:textId="43E13D65" w:rsidR="007947BF" w:rsidRPr="008662BF" w:rsidRDefault="007947BF" w:rsidP="004B2AB0">
                <w:pPr>
                  <w:jc w:val="both"/>
                  <w:rPr>
                    <w:lang w:val="mk-MK"/>
                  </w:rPr>
                </w:pPr>
                <w:r w:rsidRPr="008662BF">
                  <w:rPr>
                    <w:rFonts w:ascii="MS Gothic" w:eastAsia="MS Gothic" w:hAnsi="MS Gothic" w:cs="MS Gothic"/>
                    <w:lang w:val="mk-MK"/>
                  </w:rPr>
                  <w:t>☐</w:t>
                </w:r>
              </w:p>
            </w:tc>
          </w:sdtContent>
        </w:sdt>
        <w:tc>
          <w:tcPr>
            <w:tcW w:w="665" w:type="dxa"/>
          </w:tcPr>
          <w:p w14:paraId="0500665C" w14:textId="77777777" w:rsidR="007947BF" w:rsidRPr="008662BF" w:rsidRDefault="0003074F" w:rsidP="0003074F">
            <w:pPr>
              <w:jc w:val="both"/>
              <w:rPr>
                <w:lang w:val="mk-MK"/>
              </w:rPr>
            </w:pPr>
            <w:r w:rsidRPr="008662BF">
              <w:rPr>
                <w:lang w:val="mk-MK"/>
              </w:rPr>
              <w:t>Не</w:t>
            </w:r>
          </w:p>
        </w:tc>
      </w:tr>
    </w:tbl>
    <w:p w14:paraId="3489AE97" w14:textId="77777777" w:rsidR="007947BF" w:rsidRPr="008662BF" w:rsidRDefault="0003074F" w:rsidP="007947BF">
      <w:pPr>
        <w:jc w:val="both"/>
        <w:rPr>
          <w:lang w:val="mk-MK"/>
        </w:rPr>
      </w:pPr>
      <w:r w:rsidRPr="008662BF">
        <w:rPr>
          <w:lang w:val="mk-MK"/>
        </w:rPr>
        <w:t>Ако е „да“, објаснете подетално</w:t>
      </w:r>
      <w:r w:rsidR="007947BF" w:rsidRPr="008662BF">
        <w:rPr>
          <w:lang w:val="mk-MK"/>
        </w:rPr>
        <w:t xml:space="preserve">: </w:t>
      </w:r>
    </w:p>
    <w:tbl>
      <w:tblPr>
        <w:tblStyle w:val="TableGrid"/>
        <w:tblW w:w="0" w:type="auto"/>
        <w:tblLook w:val="04A0" w:firstRow="1" w:lastRow="0" w:firstColumn="1" w:lastColumn="0" w:noHBand="0" w:noVBand="1"/>
      </w:tblPr>
      <w:tblGrid>
        <w:gridCol w:w="3600"/>
        <w:gridCol w:w="3132"/>
        <w:gridCol w:w="2330"/>
      </w:tblGrid>
      <w:tr w:rsidR="0089093D" w:rsidRPr="008662BF" w14:paraId="1CE55EE1" w14:textId="77777777" w:rsidTr="004B2AB0">
        <w:tc>
          <w:tcPr>
            <w:tcW w:w="3936" w:type="dxa"/>
          </w:tcPr>
          <w:p w14:paraId="20FBA84E" w14:textId="77777777" w:rsidR="007947BF" w:rsidRPr="008662BF" w:rsidRDefault="0003074F" w:rsidP="004B2AB0">
            <w:pPr>
              <w:jc w:val="both"/>
              <w:rPr>
                <w:lang w:val="mk-MK"/>
              </w:rPr>
            </w:pPr>
            <w:r w:rsidRPr="008662BF">
              <w:rPr>
                <w:lang w:val="mk-MK"/>
              </w:rPr>
              <w:t>Назив на поголемата ИИ:</w:t>
            </w:r>
          </w:p>
        </w:tc>
        <w:tc>
          <w:tcPr>
            <w:tcW w:w="5918" w:type="dxa"/>
            <w:gridSpan w:val="2"/>
          </w:tcPr>
          <w:p w14:paraId="71747CD1" w14:textId="77777777" w:rsidR="007947BF" w:rsidRPr="008662BF" w:rsidRDefault="007947BF" w:rsidP="004B2AB0">
            <w:pPr>
              <w:jc w:val="both"/>
              <w:rPr>
                <w:lang w:val="mk-MK"/>
              </w:rPr>
            </w:pPr>
          </w:p>
        </w:tc>
      </w:tr>
      <w:tr w:rsidR="0003074F" w:rsidRPr="008662BF" w14:paraId="32AA2888" w14:textId="77777777" w:rsidTr="004B2AB0">
        <w:tc>
          <w:tcPr>
            <w:tcW w:w="3936" w:type="dxa"/>
          </w:tcPr>
          <w:p w14:paraId="2675A872" w14:textId="77777777" w:rsidR="007947BF" w:rsidRPr="008662BF" w:rsidRDefault="0003074F" w:rsidP="0003074F">
            <w:pPr>
              <w:jc w:val="both"/>
              <w:rPr>
                <w:lang w:val="mk-MK"/>
              </w:rPr>
            </w:pPr>
            <w:r w:rsidRPr="008662BF">
              <w:rPr>
                <w:lang w:val="mk-MK"/>
              </w:rPr>
              <w:t>Услови за членство</w:t>
            </w:r>
            <w:r w:rsidR="007947BF" w:rsidRPr="008662BF">
              <w:rPr>
                <w:lang w:val="mk-MK"/>
              </w:rPr>
              <w:t>:</w:t>
            </w:r>
          </w:p>
        </w:tc>
        <w:tc>
          <w:tcPr>
            <w:tcW w:w="3454" w:type="dxa"/>
          </w:tcPr>
          <w:p w14:paraId="0ACBD491" w14:textId="4FF057D3" w:rsidR="007947BF" w:rsidRPr="008662BF" w:rsidRDefault="001A55EE" w:rsidP="004B2AB0">
            <w:pPr>
              <w:jc w:val="both"/>
              <w:rPr>
                <w:lang w:val="mk-MK"/>
              </w:rPr>
            </w:pPr>
            <w:sdt>
              <w:sdtPr>
                <w:rPr>
                  <w:lang w:val="mk-MK"/>
                </w:rPr>
                <w:id w:val="-104661072"/>
              </w:sdtPr>
              <w:sdtEndPr/>
              <w:sdtContent>
                <w:r w:rsidR="007947BF" w:rsidRPr="008662BF">
                  <w:rPr>
                    <w:rFonts w:ascii="MS Gothic" w:eastAsia="MS Gothic" w:hAnsi="MS Gothic" w:cs="MS Gothic"/>
                    <w:lang w:val="mk-MK"/>
                  </w:rPr>
                  <w:t>☐</w:t>
                </w:r>
              </w:sdtContent>
            </w:sdt>
            <w:r w:rsidR="0003074F" w:rsidRPr="008662BF">
              <w:rPr>
                <w:lang w:val="mk-MK"/>
              </w:rPr>
              <w:t>Активно</w:t>
            </w:r>
          </w:p>
        </w:tc>
        <w:tc>
          <w:tcPr>
            <w:tcW w:w="2464" w:type="dxa"/>
          </w:tcPr>
          <w:p w14:paraId="48A6662A" w14:textId="044E0386" w:rsidR="007947BF" w:rsidRPr="008662BF" w:rsidRDefault="001A55EE" w:rsidP="004B2AB0">
            <w:pPr>
              <w:jc w:val="both"/>
              <w:rPr>
                <w:lang w:val="mk-MK"/>
              </w:rPr>
            </w:pPr>
            <w:sdt>
              <w:sdtPr>
                <w:rPr>
                  <w:lang w:val="mk-MK"/>
                </w:rPr>
                <w:id w:val="1097292609"/>
              </w:sdtPr>
              <w:sdtEndPr/>
              <w:sdtContent>
                <w:r w:rsidR="007947BF" w:rsidRPr="008662BF">
                  <w:rPr>
                    <w:rFonts w:ascii="MS Gothic" w:eastAsia="MS Gothic" w:hAnsi="MS Gothic" w:cs="MS Gothic"/>
                    <w:lang w:val="mk-MK"/>
                  </w:rPr>
                  <w:t>☐</w:t>
                </w:r>
              </w:sdtContent>
            </w:sdt>
            <w:r w:rsidR="0089093D" w:rsidRPr="008662BF">
              <w:rPr>
                <w:lang w:val="mk-MK"/>
              </w:rPr>
              <w:t>Придружно</w:t>
            </w:r>
          </w:p>
        </w:tc>
      </w:tr>
      <w:tr w:rsidR="0089093D" w:rsidRPr="008662BF" w14:paraId="43FE9680" w14:textId="77777777" w:rsidTr="004B2AB0">
        <w:tc>
          <w:tcPr>
            <w:tcW w:w="3936" w:type="dxa"/>
          </w:tcPr>
          <w:p w14:paraId="44E1C9FD" w14:textId="77777777" w:rsidR="007947BF" w:rsidRPr="008662BF" w:rsidRDefault="0089093D" w:rsidP="0089093D">
            <w:pPr>
              <w:jc w:val="both"/>
              <w:rPr>
                <w:lang w:val="mk-MK"/>
              </w:rPr>
            </w:pPr>
            <w:r w:rsidRPr="008662BF">
              <w:rPr>
                <w:lang w:val="mk-MK"/>
              </w:rPr>
              <w:t>Членарина, кој ја финансира:</w:t>
            </w:r>
          </w:p>
        </w:tc>
        <w:tc>
          <w:tcPr>
            <w:tcW w:w="5918" w:type="dxa"/>
            <w:gridSpan w:val="2"/>
          </w:tcPr>
          <w:p w14:paraId="250ECDEC" w14:textId="77777777" w:rsidR="007947BF" w:rsidRPr="008662BF" w:rsidRDefault="007947BF" w:rsidP="004B2AB0">
            <w:pPr>
              <w:jc w:val="both"/>
              <w:rPr>
                <w:lang w:val="mk-MK"/>
              </w:rPr>
            </w:pPr>
          </w:p>
        </w:tc>
      </w:tr>
      <w:tr w:rsidR="0089093D" w:rsidRPr="008662BF" w14:paraId="15857FE9" w14:textId="77777777" w:rsidTr="004B2AB0">
        <w:tc>
          <w:tcPr>
            <w:tcW w:w="3936" w:type="dxa"/>
          </w:tcPr>
          <w:p w14:paraId="18E07615" w14:textId="77777777" w:rsidR="007947BF" w:rsidRPr="008662BF" w:rsidRDefault="0089093D" w:rsidP="0089093D">
            <w:pPr>
              <w:jc w:val="both"/>
              <w:rPr>
                <w:lang w:val="mk-MK"/>
              </w:rPr>
            </w:pPr>
            <w:r w:rsidRPr="008662BF">
              <w:rPr>
                <w:lang w:val="mk-MK"/>
              </w:rPr>
              <w:t>Дополнителни информации:</w:t>
            </w:r>
          </w:p>
        </w:tc>
        <w:tc>
          <w:tcPr>
            <w:tcW w:w="5918" w:type="dxa"/>
            <w:gridSpan w:val="2"/>
          </w:tcPr>
          <w:p w14:paraId="761EC557" w14:textId="77777777" w:rsidR="007947BF" w:rsidRPr="008662BF" w:rsidRDefault="007947BF" w:rsidP="004B2AB0">
            <w:pPr>
              <w:jc w:val="both"/>
              <w:rPr>
                <w:lang w:val="mk-MK"/>
              </w:rPr>
            </w:pPr>
          </w:p>
        </w:tc>
      </w:tr>
    </w:tbl>
    <w:p w14:paraId="3D88D74D" w14:textId="77777777" w:rsidR="007947BF" w:rsidRPr="008662BF" w:rsidRDefault="007947BF" w:rsidP="007947BF">
      <w:pPr>
        <w:rPr>
          <w:rFonts w:eastAsia="Calibri" w:cs="Arial"/>
          <w:sz w:val="24"/>
          <w:lang w:val="mk-MK"/>
        </w:rPr>
      </w:pPr>
    </w:p>
    <w:p w14:paraId="45B86DA7" w14:textId="77777777" w:rsidR="007947BF" w:rsidRPr="008662BF" w:rsidRDefault="0089093D" w:rsidP="007947BF">
      <w:pPr>
        <w:rPr>
          <w:b/>
          <w:sz w:val="24"/>
          <w:lang w:val="mk-MK"/>
        </w:rPr>
      </w:pPr>
      <w:r w:rsidRPr="008662BF">
        <w:rPr>
          <w:b/>
          <w:sz w:val="24"/>
          <w:lang w:val="mk-MK"/>
        </w:rPr>
        <w:t>3.3. Учество во проекти</w:t>
      </w:r>
      <w:r w:rsidR="001A62DC">
        <w:rPr>
          <w:b/>
          <w:sz w:val="24"/>
          <w:lang w:val="mk-MK"/>
        </w:rPr>
        <w:t xml:space="preserve"> што се</w:t>
      </w:r>
      <w:r w:rsidRPr="008662BF">
        <w:rPr>
          <w:b/>
          <w:sz w:val="24"/>
          <w:lang w:val="mk-MK"/>
        </w:rPr>
        <w:t xml:space="preserve"> поврзани со развој на истражувачка</w:t>
      </w:r>
      <w:r w:rsidR="00A1403E">
        <w:rPr>
          <w:b/>
          <w:sz w:val="24"/>
          <w:lang w:val="mk-MK"/>
        </w:rPr>
        <w:t>та</w:t>
      </w:r>
      <w:r w:rsidRPr="008662BF">
        <w:rPr>
          <w:b/>
          <w:sz w:val="24"/>
          <w:lang w:val="mk-MK"/>
        </w:rPr>
        <w:t xml:space="preserve"> инфраструктура</w:t>
      </w:r>
    </w:p>
    <w:p w14:paraId="4F5380D9" w14:textId="15F726EA" w:rsidR="007947BF" w:rsidRPr="008662BF" w:rsidRDefault="0089093D" w:rsidP="007947BF">
      <w:pPr>
        <w:rPr>
          <w:lang w:val="mk-MK"/>
        </w:rPr>
      </w:pPr>
      <w:r w:rsidRPr="008662BF">
        <w:rPr>
          <w:lang w:val="mk-MK"/>
        </w:rPr>
        <w:t>Дали сте учествувале во проект</w:t>
      </w:r>
      <w:r w:rsidR="001A62DC">
        <w:rPr>
          <w:lang w:val="mk-MK"/>
        </w:rPr>
        <w:t xml:space="preserve"> </w:t>
      </w:r>
      <w:r w:rsidRPr="008662BF">
        <w:rPr>
          <w:lang w:val="mk-MK"/>
        </w:rPr>
        <w:t xml:space="preserve"> </w:t>
      </w:r>
      <w:r w:rsidR="001A62DC">
        <w:rPr>
          <w:lang w:val="mk-MK"/>
        </w:rPr>
        <w:t>чија</w:t>
      </w:r>
      <w:r w:rsidRPr="008662BF">
        <w:rPr>
          <w:lang w:val="mk-MK"/>
        </w:rPr>
        <w:t xml:space="preserve"> цел</w:t>
      </w:r>
      <w:r w:rsidR="001A62DC">
        <w:rPr>
          <w:lang w:val="mk-MK"/>
        </w:rPr>
        <w:t xml:space="preserve"> е</w:t>
      </w:r>
      <w:r w:rsidRPr="008662BF">
        <w:rPr>
          <w:lang w:val="mk-MK"/>
        </w:rPr>
        <w:t xml:space="preserve"> развој на истражувачка инфраструктура?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65"/>
      </w:tblGrid>
      <w:tr w:rsidR="007947BF" w:rsidRPr="008662BF" w14:paraId="1B18DF03" w14:textId="77777777" w:rsidTr="004B2AB0">
        <w:sdt>
          <w:sdtPr>
            <w:rPr>
              <w:lang w:val="mk-MK"/>
            </w:rPr>
            <w:id w:val="-528870544"/>
          </w:sdtPr>
          <w:sdtEndPr/>
          <w:sdtContent>
            <w:tc>
              <w:tcPr>
                <w:tcW w:w="436" w:type="dxa"/>
              </w:tcPr>
              <w:p w14:paraId="5182F539" w14:textId="33309D80" w:rsidR="007947BF" w:rsidRPr="008662BF" w:rsidRDefault="007947BF" w:rsidP="004B2AB0">
                <w:pPr>
                  <w:jc w:val="both"/>
                  <w:rPr>
                    <w:lang w:val="mk-MK"/>
                  </w:rPr>
                </w:pPr>
                <w:r w:rsidRPr="008662BF">
                  <w:rPr>
                    <w:rFonts w:ascii="MS Gothic" w:eastAsia="MS Gothic" w:hAnsi="MS Gothic" w:cs="MS Gothic"/>
                    <w:lang w:val="mk-MK"/>
                  </w:rPr>
                  <w:t>☐</w:t>
                </w:r>
              </w:p>
            </w:tc>
          </w:sdtContent>
        </w:sdt>
        <w:tc>
          <w:tcPr>
            <w:tcW w:w="665" w:type="dxa"/>
          </w:tcPr>
          <w:p w14:paraId="2806773B" w14:textId="77777777" w:rsidR="007947BF" w:rsidRPr="008662BF" w:rsidRDefault="0089093D" w:rsidP="0089093D">
            <w:pPr>
              <w:jc w:val="both"/>
              <w:rPr>
                <w:lang w:val="mk-MK"/>
              </w:rPr>
            </w:pPr>
            <w:r w:rsidRPr="008662BF">
              <w:rPr>
                <w:lang w:val="mk-MK"/>
              </w:rPr>
              <w:t>Да</w:t>
            </w:r>
          </w:p>
        </w:tc>
      </w:tr>
      <w:tr w:rsidR="007947BF" w:rsidRPr="008662BF" w14:paraId="142F1515" w14:textId="77777777" w:rsidTr="004B2AB0">
        <w:sdt>
          <w:sdtPr>
            <w:rPr>
              <w:lang w:val="mk-MK"/>
            </w:rPr>
            <w:id w:val="-316277131"/>
          </w:sdtPr>
          <w:sdtEndPr/>
          <w:sdtContent>
            <w:tc>
              <w:tcPr>
                <w:tcW w:w="436" w:type="dxa"/>
              </w:tcPr>
              <w:p w14:paraId="243041FF" w14:textId="77777777" w:rsidR="007947BF" w:rsidRPr="008662BF" w:rsidRDefault="007947BF" w:rsidP="004B2AB0">
                <w:pPr>
                  <w:jc w:val="both"/>
                  <w:rPr>
                    <w:lang w:val="mk-MK"/>
                  </w:rPr>
                </w:pPr>
                <w:r w:rsidRPr="008662BF">
                  <w:rPr>
                    <w:rFonts w:ascii="MS Gothic" w:eastAsia="MS Gothic" w:hAnsi="MS Gothic" w:cs="MS Gothic"/>
                    <w:lang w:val="mk-MK"/>
                  </w:rPr>
                  <w:t>☐</w:t>
                </w:r>
              </w:p>
            </w:tc>
          </w:sdtContent>
        </w:sdt>
        <w:tc>
          <w:tcPr>
            <w:tcW w:w="665" w:type="dxa"/>
          </w:tcPr>
          <w:p w14:paraId="6A60872F" w14:textId="77777777" w:rsidR="007947BF" w:rsidRPr="008662BF" w:rsidRDefault="0089093D" w:rsidP="0089093D">
            <w:pPr>
              <w:jc w:val="both"/>
              <w:rPr>
                <w:lang w:val="mk-MK"/>
              </w:rPr>
            </w:pPr>
            <w:r w:rsidRPr="008662BF">
              <w:rPr>
                <w:lang w:val="mk-MK"/>
              </w:rPr>
              <w:t>Не</w:t>
            </w:r>
          </w:p>
        </w:tc>
      </w:tr>
    </w:tbl>
    <w:p w14:paraId="6D487588" w14:textId="77777777" w:rsidR="007947BF" w:rsidRPr="008662BF" w:rsidRDefault="0089093D" w:rsidP="007947BF">
      <w:pPr>
        <w:rPr>
          <w:lang w:val="mk-MK"/>
        </w:rPr>
      </w:pPr>
      <w:r w:rsidRPr="008662BF">
        <w:rPr>
          <w:lang w:val="mk-MK"/>
        </w:rPr>
        <w:t>Ако е „да“, објаснете подетално</w:t>
      </w:r>
      <w:r w:rsidR="007947BF" w:rsidRPr="008662BF">
        <w:rPr>
          <w:lang w:val="mk-MK"/>
        </w:rPr>
        <w:t xml:space="preserve">: </w:t>
      </w:r>
    </w:p>
    <w:tbl>
      <w:tblPr>
        <w:tblStyle w:val="TableGrid"/>
        <w:tblW w:w="0" w:type="auto"/>
        <w:tblLook w:val="04A0" w:firstRow="1" w:lastRow="0" w:firstColumn="1" w:lastColumn="0" w:noHBand="0" w:noVBand="1"/>
      </w:tblPr>
      <w:tblGrid>
        <w:gridCol w:w="3955"/>
        <w:gridCol w:w="5107"/>
      </w:tblGrid>
      <w:tr w:rsidR="007947BF" w:rsidRPr="008662BF" w14:paraId="371179A1" w14:textId="77777777" w:rsidTr="004B2AB0">
        <w:tc>
          <w:tcPr>
            <w:tcW w:w="4219" w:type="dxa"/>
          </w:tcPr>
          <w:p w14:paraId="0FD1D75F" w14:textId="77777777" w:rsidR="007947BF" w:rsidRPr="008662BF" w:rsidRDefault="0089093D" w:rsidP="0089093D">
            <w:pPr>
              <w:rPr>
                <w:lang w:val="mk-MK"/>
              </w:rPr>
            </w:pPr>
            <w:r w:rsidRPr="008662BF">
              <w:rPr>
                <w:lang w:val="mk-MK"/>
              </w:rPr>
              <w:t>Назив на проектот</w:t>
            </w:r>
            <w:r w:rsidR="007947BF" w:rsidRPr="008662BF">
              <w:rPr>
                <w:lang w:val="mk-MK"/>
              </w:rPr>
              <w:t>:</w:t>
            </w:r>
          </w:p>
        </w:tc>
        <w:tc>
          <w:tcPr>
            <w:tcW w:w="5635" w:type="dxa"/>
          </w:tcPr>
          <w:p w14:paraId="00401FD2" w14:textId="77777777" w:rsidR="007947BF" w:rsidRPr="008662BF" w:rsidRDefault="007947BF" w:rsidP="004B2AB0">
            <w:pPr>
              <w:rPr>
                <w:lang w:val="mk-MK"/>
              </w:rPr>
            </w:pPr>
          </w:p>
        </w:tc>
      </w:tr>
      <w:tr w:rsidR="007947BF" w:rsidRPr="008662BF" w14:paraId="63FAD9FF" w14:textId="77777777" w:rsidTr="004B2AB0">
        <w:tc>
          <w:tcPr>
            <w:tcW w:w="4219" w:type="dxa"/>
          </w:tcPr>
          <w:p w14:paraId="3473F420" w14:textId="77777777" w:rsidR="007947BF" w:rsidRPr="008662BF" w:rsidRDefault="0089093D" w:rsidP="00A1403E">
            <w:pPr>
              <w:rPr>
                <w:lang w:val="mk-MK"/>
              </w:rPr>
            </w:pPr>
            <w:r w:rsidRPr="008662BF">
              <w:rPr>
                <w:lang w:val="mk-MK"/>
              </w:rPr>
              <w:t>Врем</w:t>
            </w:r>
            <w:r w:rsidR="00A1403E">
              <w:rPr>
                <w:lang w:val="mk-MK"/>
              </w:rPr>
              <w:t>етраење на проектот</w:t>
            </w:r>
            <w:r w:rsidR="007947BF" w:rsidRPr="008662BF">
              <w:rPr>
                <w:lang w:val="mk-MK"/>
              </w:rPr>
              <w:t>:</w:t>
            </w:r>
          </w:p>
        </w:tc>
        <w:tc>
          <w:tcPr>
            <w:tcW w:w="5635" w:type="dxa"/>
          </w:tcPr>
          <w:p w14:paraId="5F69414C" w14:textId="77777777" w:rsidR="007947BF" w:rsidRPr="008662BF" w:rsidRDefault="007947BF" w:rsidP="004B2AB0">
            <w:pPr>
              <w:rPr>
                <w:lang w:val="mk-MK"/>
              </w:rPr>
            </w:pPr>
          </w:p>
        </w:tc>
      </w:tr>
      <w:tr w:rsidR="007947BF" w:rsidRPr="008662BF" w14:paraId="21BC76A2" w14:textId="77777777" w:rsidTr="004B2AB0">
        <w:tc>
          <w:tcPr>
            <w:tcW w:w="4219" w:type="dxa"/>
          </w:tcPr>
          <w:p w14:paraId="298A003A" w14:textId="77777777" w:rsidR="007947BF" w:rsidRPr="008662BF" w:rsidRDefault="0089093D" w:rsidP="0089093D">
            <w:pPr>
              <w:rPr>
                <w:lang w:val="mk-MK"/>
              </w:rPr>
            </w:pPr>
            <w:r w:rsidRPr="008662BF">
              <w:rPr>
                <w:lang w:val="mk-MK"/>
              </w:rPr>
              <w:t>Врска до веб-страницата</w:t>
            </w:r>
            <w:r w:rsidR="00A1403E">
              <w:rPr>
                <w:lang w:val="mk-MK"/>
              </w:rPr>
              <w:t>:</w:t>
            </w:r>
          </w:p>
        </w:tc>
        <w:tc>
          <w:tcPr>
            <w:tcW w:w="5635" w:type="dxa"/>
          </w:tcPr>
          <w:p w14:paraId="2E377CD3" w14:textId="77777777" w:rsidR="007947BF" w:rsidRPr="008662BF" w:rsidRDefault="007947BF" w:rsidP="004B2AB0">
            <w:pPr>
              <w:rPr>
                <w:lang w:val="mk-MK"/>
              </w:rPr>
            </w:pPr>
          </w:p>
        </w:tc>
      </w:tr>
    </w:tbl>
    <w:p w14:paraId="561FDF5F" w14:textId="77777777" w:rsidR="007947BF" w:rsidRPr="008662BF" w:rsidRDefault="0089093D" w:rsidP="007947BF">
      <w:pPr>
        <w:rPr>
          <w:rFonts w:eastAsia="Calibri" w:cs="Arial"/>
          <w:lang w:val="mk-MK"/>
        </w:rPr>
      </w:pPr>
      <w:r w:rsidRPr="008662BF">
        <w:rPr>
          <w:rFonts w:eastAsia="Calibri" w:cs="Arial"/>
          <w:lang w:val="mk-MK"/>
        </w:rPr>
        <w:t>Додајте нови редови доколку е потребно</w:t>
      </w:r>
      <w:r w:rsidR="007947BF" w:rsidRPr="008662BF">
        <w:rPr>
          <w:rFonts w:eastAsia="Calibri" w:cs="Arial"/>
          <w:lang w:val="mk-MK"/>
        </w:rPr>
        <w:t>.</w:t>
      </w:r>
    </w:p>
    <w:p w14:paraId="1FC91408" w14:textId="77777777" w:rsidR="007947BF" w:rsidRPr="008662BF" w:rsidRDefault="007947BF" w:rsidP="007947BF">
      <w:pPr>
        <w:rPr>
          <w:b/>
          <w:sz w:val="24"/>
          <w:lang w:val="mk-MK"/>
        </w:rPr>
      </w:pPr>
      <w:r w:rsidRPr="008662BF">
        <w:rPr>
          <w:b/>
          <w:sz w:val="24"/>
          <w:lang w:val="mk-MK"/>
        </w:rPr>
        <w:t xml:space="preserve">3.4. </w:t>
      </w:r>
      <w:r w:rsidR="0089093D" w:rsidRPr="008662BF">
        <w:rPr>
          <w:b/>
          <w:sz w:val="24"/>
          <w:lang w:val="mk-MK"/>
        </w:rPr>
        <w:t>План за идниот период</w:t>
      </w:r>
    </w:p>
    <w:p w14:paraId="00124C8E" w14:textId="77777777" w:rsidR="007947BF" w:rsidRPr="008662BF" w:rsidRDefault="0089093D" w:rsidP="007947BF">
      <w:pPr>
        <w:spacing w:after="0"/>
        <w:rPr>
          <w:rFonts w:eastAsia="Calibri" w:cs="Arial"/>
          <w:lang w:val="mk-MK"/>
        </w:rPr>
      </w:pPr>
      <w:r w:rsidRPr="008662BF">
        <w:rPr>
          <w:rFonts w:eastAsia="Calibri" w:cs="Arial"/>
          <w:lang w:val="mk-MK"/>
        </w:rPr>
        <w:t xml:space="preserve">Опишете го детално планот за следниот период, најмалку за </w:t>
      </w:r>
      <w:r w:rsidR="00A1403E">
        <w:rPr>
          <w:rFonts w:eastAsia="Calibri" w:cs="Arial"/>
          <w:lang w:val="mk-MK"/>
        </w:rPr>
        <w:t xml:space="preserve">период </w:t>
      </w:r>
      <w:r w:rsidRPr="008662BF">
        <w:rPr>
          <w:rFonts w:eastAsia="Calibri" w:cs="Arial"/>
          <w:lang w:val="mk-MK"/>
        </w:rPr>
        <w:t>2-5 години</w:t>
      </w:r>
      <w:r w:rsidR="007947BF" w:rsidRPr="008662BF">
        <w:rPr>
          <w:rFonts w:eastAsia="Calibri" w:cs="Arial"/>
          <w:lang w:val="mk-MK"/>
        </w:rPr>
        <w:t xml:space="preserve">: </w:t>
      </w:r>
    </w:p>
    <w:tbl>
      <w:tblPr>
        <w:tblStyle w:val="TableGrid"/>
        <w:tblW w:w="0" w:type="auto"/>
        <w:tblLook w:val="04A0" w:firstRow="1" w:lastRow="0" w:firstColumn="1" w:lastColumn="0" w:noHBand="0" w:noVBand="1"/>
      </w:tblPr>
      <w:tblGrid>
        <w:gridCol w:w="4610"/>
        <w:gridCol w:w="4452"/>
      </w:tblGrid>
      <w:tr w:rsidR="007947BF" w:rsidRPr="008662BF" w14:paraId="7C011F6D" w14:textId="77777777" w:rsidTr="004B2AB0">
        <w:tc>
          <w:tcPr>
            <w:tcW w:w="4927" w:type="dxa"/>
          </w:tcPr>
          <w:p w14:paraId="590F884D" w14:textId="77777777" w:rsidR="007947BF" w:rsidRPr="008662BF" w:rsidRDefault="0089093D" w:rsidP="0089093D">
            <w:pPr>
              <w:rPr>
                <w:rFonts w:eastAsia="Calibri" w:cs="Arial"/>
                <w:lang w:val="mk-MK"/>
              </w:rPr>
            </w:pPr>
            <w:r w:rsidRPr="008662BF">
              <w:rPr>
                <w:rFonts w:eastAsia="Calibri" w:cs="Arial"/>
                <w:lang w:val="mk-MK"/>
              </w:rPr>
              <w:t>Идни инвестиции во истражувачка опрема</w:t>
            </w:r>
            <w:r w:rsidR="007947BF" w:rsidRPr="008662BF">
              <w:rPr>
                <w:rFonts w:eastAsia="Calibri" w:cs="Arial"/>
                <w:lang w:val="mk-MK"/>
              </w:rPr>
              <w:t>:</w:t>
            </w:r>
          </w:p>
        </w:tc>
        <w:tc>
          <w:tcPr>
            <w:tcW w:w="4927" w:type="dxa"/>
          </w:tcPr>
          <w:p w14:paraId="43ECCBF7" w14:textId="77777777" w:rsidR="007947BF" w:rsidRPr="008662BF" w:rsidRDefault="007947BF" w:rsidP="004B2AB0">
            <w:pPr>
              <w:rPr>
                <w:rFonts w:eastAsia="Calibri" w:cs="Arial"/>
                <w:lang w:val="mk-MK"/>
              </w:rPr>
            </w:pPr>
          </w:p>
          <w:p w14:paraId="6E59899C" w14:textId="77777777" w:rsidR="007947BF" w:rsidRPr="008662BF" w:rsidRDefault="007947BF" w:rsidP="004B2AB0">
            <w:pPr>
              <w:rPr>
                <w:rFonts w:eastAsia="Calibri" w:cs="Arial"/>
                <w:lang w:val="mk-MK"/>
              </w:rPr>
            </w:pPr>
          </w:p>
        </w:tc>
      </w:tr>
      <w:tr w:rsidR="007947BF" w:rsidRPr="008662BF" w14:paraId="370BBAEF" w14:textId="77777777" w:rsidTr="004B2AB0">
        <w:tc>
          <w:tcPr>
            <w:tcW w:w="4927" w:type="dxa"/>
          </w:tcPr>
          <w:p w14:paraId="521F9F3E" w14:textId="77777777" w:rsidR="007947BF" w:rsidRPr="008662BF" w:rsidRDefault="0089093D" w:rsidP="0089093D">
            <w:pPr>
              <w:rPr>
                <w:rFonts w:eastAsia="Calibri" w:cs="Arial"/>
                <w:lang w:val="mk-MK"/>
              </w:rPr>
            </w:pPr>
            <w:r w:rsidRPr="008662BF">
              <w:rPr>
                <w:rFonts w:eastAsia="Calibri" w:cs="Arial"/>
                <w:lang w:val="mk-MK"/>
              </w:rPr>
              <w:t xml:space="preserve">Дали се разгледува можноста за интеграција во поголеми истражувачки инфраструктури: </w:t>
            </w:r>
          </w:p>
        </w:tc>
        <w:tc>
          <w:tcPr>
            <w:tcW w:w="4927" w:type="dxa"/>
          </w:tcPr>
          <w:p w14:paraId="222CF719" w14:textId="77777777" w:rsidR="007947BF" w:rsidRPr="008662BF" w:rsidRDefault="007947BF" w:rsidP="004B2AB0">
            <w:pPr>
              <w:rPr>
                <w:rFonts w:eastAsia="Calibri" w:cs="Arial"/>
                <w:lang w:val="mk-MK"/>
              </w:rPr>
            </w:pPr>
          </w:p>
          <w:p w14:paraId="3210514D" w14:textId="77777777" w:rsidR="007947BF" w:rsidRPr="008662BF" w:rsidRDefault="007947BF" w:rsidP="004B2AB0">
            <w:pPr>
              <w:rPr>
                <w:rFonts w:eastAsia="Calibri" w:cs="Arial"/>
                <w:lang w:val="mk-MK"/>
              </w:rPr>
            </w:pPr>
          </w:p>
        </w:tc>
      </w:tr>
      <w:tr w:rsidR="007947BF" w:rsidRPr="008662BF" w14:paraId="4487D0C3" w14:textId="77777777" w:rsidTr="004B2AB0">
        <w:tc>
          <w:tcPr>
            <w:tcW w:w="4927" w:type="dxa"/>
          </w:tcPr>
          <w:p w14:paraId="580F32FF" w14:textId="77777777" w:rsidR="007947BF" w:rsidRPr="008662BF" w:rsidRDefault="0089093D" w:rsidP="0089093D">
            <w:pPr>
              <w:rPr>
                <w:rFonts w:eastAsia="Calibri" w:cs="Arial"/>
                <w:lang w:val="mk-MK"/>
              </w:rPr>
            </w:pPr>
            <w:r w:rsidRPr="008662BF">
              <w:rPr>
                <w:rFonts w:eastAsia="Calibri" w:cs="Arial"/>
                <w:lang w:val="mk-MK"/>
              </w:rPr>
              <w:t>Други релевантни информации:</w:t>
            </w:r>
          </w:p>
        </w:tc>
        <w:tc>
          <w:tcPr>
            <w:tcW w:w="4927" w:type="dxa"/>
          </w:tcPr>
          <w:p w14:paraId="5A24481D" w14:textId="77777777" w:rsidR="007947BF" w:rsidRPr="008662BF" w:rsidRDefault="007947BF" w:rsidP="004B2AB0">
            <w:pPr>
              <w:rPr>
                <w:rFonts w:eastAsia="Calibri" w:cs="Arial"/>
                <w:lang w:val="mk-MK"/>
              </w:rPr>
            </w:pPr>
          </w:p>
          <w:p w14:paraId="3CEF5475" w14:textId="77777777" w:rsidR="007947BF" w:rsidRPr="008662BF" w:rsidRDefault="007947BF" w:rsidP="004B2AB0">
            <w:pPr>
              <w:rPr>
                <w:rFonts w:eastAsia="Calibri" w:cs="Arial"/>
                <w:lang w:val="mk-MK"/>
              </w:rPr>
            </w:pPr>
          </w:p>
        </w:tc>
      </w:tr>
    </w:tbl>
    <w:p w14:paraId="2960B4E3" w14:textId="77777777" w:rsidR="007947BF" w:rsidRPr="008662BF" w:rsidRDefault="007947BF" w:rsidP="007947BF">
      <w:pPr>
        <w:spacing w:after="0"/>
        <w:rPr>
          <w:rFonts w:eastAsia="Calibri" w:cs="Arial"/>
          <w:lang w:val="mk-MK"/>
        </w:rPr>
      </w:pPr>
    </w:p>
    <w:p w14:paraId="7E083F74" w14:textId="77777777" w:rsidR="007947BF" w:rsidRPr="008662BF" w:rsidRDefault="007947BF" w:rsidP="007947BF">
      <w:pPr>
        <w:spacing w:after="0"/>
        <w:rPr>
          <w:rFonts w:eastAsia="Calibri" w:cs="Arial"/>
          <w:lang w:val="mk-MK"/>
        </w:rPr>
      </w:pPr>
    </w:p>
    <w:p w14:paraId="1D7740ED" w14:textId="77777777" w:rsidR="007947BF" w:rsidRPr="008662BF" w:rsidRDefault="007947BF" w:rsidP="007947BF">
      <w:pPr>
        <w:rPr>
          <w:rFonts w:eastAsiaTheme="majorEastAsia" w:cstheme="minorHAnsi"/>
          <w:b/>
          <w:bCs/>
          <w:color w:val="365F91" w:themeColor="accent1" w:themeShade="BF"/>
          <w:sz w:val="32"/>
          <w:szCs w:val="28"/>
          <w:lang w:val="mk-MK"/>
        </w:rPr>
      </w:pPr>
    </w:p>
    <w:p w14:paraId="03027A46" w14:textId="77777777" w:rsidR="007947BF" w:rsidRPr="008662BF" w:rsidRDefault="00F87A27" w:rsidP="007947BF">
      <w:pPr>
        <w:pStyle w:val="Heading1"/>
        <w:rPr>
          <w:rFonts w:asciiTheme="minorHAnsi" w:hAnsiTheme="minorHAnsi" w:cstheme="minorHAnsi"/>
          <w:b w:val="0"/>
          <w:bCs w:val="0"/>
          <w:sz w:val="32"/>
          <w:lang w:val="mk-MK"/>
        </w:rPr>
      </w:pPr>
      <w:bookmarkStart w:id="54" w:name="_Toc63107237"/>
      <w:bookmarkStart w:id="55" w:name="_Toc64639531"/>
      <w:bookmarkStart w:id="56" w:name="_Toc86916080"/>
      <w:r w:rsidRPr="008662BF">
        <w:rPr>
          <w:rFonts w:asciiTheme="minorHAnsi" w:hAnsiTheme="minorHAnsi" w:cstheme="minorHAnsi"/>
          <w:sz w:val="32"/>
          <w:lang w:val="mk-MK"/>
        </w:rPr>
        <w:lastRenderedPageBreak/>
        <w:t>ПРИЛОГ 3: Детални упатства за пополнување на прашалникот</w:t>
      </w:r>
      <w:bookmarkEnd w:id="53"/>
      <w:bookmarkEnd w:id="54"/>
      <w:bookmarkEnd w:id="55"/>
      <w:bookmarkEnd w:id="56"/>
    </w:p>
    <w:p w14:paraId="11198F6C" w14:textId="77777777" w:rsidR="007947BF" w:rsidRPr="008662BF" w:rsidRDefault="007947BF" w:rsidP="007947BF">
      <w:pPr>
        <w:spacing w:after="0" w:line="252" w:lineRule="auto"/>
        <w:jc w:val="both"/>
        <w:rPr>
          <w:rFonts w:cs="Arial"/>
          <w:color w:val="0049DA"/>
          <w:lang w:val="mk-MK"/>
        </w:rPr>
      </w:pPr>
    </w:p>
    <w:p w14:paraId="1C9FDA5C" w14:textId="75F0508E" w:rsidR="00F87A27" w:rsidRPr="008662BF" w:rsidRDefault="00F87A27" w:rsidP="00F87A27">
      <w:pPr>
        <w:jc w:val="both"/>
        <w:rPr>
          <w:lang w:val="mk-MK"/>
        </w:rPr>
      </w:pPr>
      <w:r w:rsidRPr="008662BF">
        <w:rPr>
          <w:lang w:val="mk-MK"/>
        </w:rPr>
        <w:t xml:space="preserve">Целиот процес на започнување и спроведување на анкетата треба да се спроведе во широка соработка со научната и </w:t>
      </w:r>
      <w:r w:rsidR="001A62DC">
        <w:rPr>
          <w:lang w:val="mk-MK"/>
        </w:rPr>
        <w:t xml:space="preserve">со </w:t>
      </w:r>
      <w:r w:rsidRPr="008662BF">
        <w:rPr>
          <w:lang w:val="mk-MK"/>
        </w:rPr>
        <w:t xml:space="preserve">истражувачката заедница. </w:t>
      </w:r>
      <w:r w:rsidR="001A62DC">
        <w:rPr>
          <w:lang w:val="mk-MK"/>
        </w:rPr>
        <w:t>За започнување на анкетата</w:t>
      </w:r>
      <w:r w:rsidR="001A62DC" w:rsidRPr="001A62DC">
        <w:rPr>
          <w:lang w:val="mk-MK"/>
        </w:rPr>
        <w:t xml:space="preserve"> </w:t>
      </w:r>
      <w:r w:rsidR="001A62DC" w:rsidRPr="008662BF">
        <w:rPr>
          <w:lang w:val="mk-MK"/>
        </w:rPr>
        <w:t xml:space="preserve">е одговорно </w:t>
      </w:r>
      <w:r w:rsidRPr="008662BF">
        <w:rPr>
          <w:lang w:val="mk-MK"/>
        </w:rPr>
        <w:t>Министерството за образование и наука</w:t>
      </w:r>
      <w:r w:rsidR="001A62DC">
        <w:rPr>
          <w:lang w:val="mk-MK"/>
        </w:rPr>
        <w:t>,</w:t>
      </w:r>
      <w:r w:rsidRPr="008662BF">
        <w:rPr>
          <w:lang w:val="mk-MK"/>
        </w:rPr>
        <w:t xml:space="preserve"> како и за прибирање на информациите од неа. Анкетата треба да се дополни со внесување податоци за инфраструктурата од други извори, т.е. </w:t>
      </w:r>
      <w:r w:rsidR="001A62DC">
        <w:rPr>
          <w:lang w:val="mk-MK"/>
        </w:rPr>
        <w:t xml:space="preserve">од </w:t>
      </w:r>
      <w:r w:rsidRPr="008662BF">
        <w:rPr>
          <w:lang w:val="mk-MK"/>
        </w:rPr>
        <w:t xml:space="preserve">членства во меѓународни организации за истражувачка инфраструктура, </w:t>
      </w:r>
      <w:r w:rsidR="001A62DC">
        <w:rPr>
          <w:lang w:val="mk-MK"/>
        </w:rPr>
        <w:t xml:space="preserve">од </w:t>
      </w:r>
      <w:r w:rsidRPr="008662BF">
        <w:rPr>
          <w:lang w:val="mk-MK"/>
        </w:rPr>
        <w:t xml:space="preserve">истражувачки инфраструктури на национално ниво </w:t>
      </w:r>
      <w:r w:rsidR="001A62DC">
        <w:rPr>
          <w:lang w:val="mk-MK"/>
        </w:rPr>
        <w:t xml:space="preserve">што се </w:t>
      </w:r>
      <w:r w:rsidRPr="008662BF">
        <w:rPr>
          <w:lang w:val="mk-MK"/>
        </w:rPr>
        <w:t xml:space="preserve">основани со домашни средства и </w:t>
      </w:r>
      <w:r w:rsidR="001A62DC">
        <w:rPr>
          <w:lang w:val="mk-MK"/>
        </w:rPr>
        <w:t xml:space="preserve">со </w:t>
      </w:r>
      <w:r w:rsidRPr="008662BF">
        <w:rPr>
          <w:lang w:val="mk-MK"/>
        </w:rPr>
        <w:t>фондови</w:t>
      </w:r>
      <w:r w:rsidR="001A62DC">
        <w:rPr>
          <w:lang w:val="mk-MK"/>
        </w:rPr>
        <w:t xml:space="preserve"> </w:t>
      </w:r>
      <w:r w:rsidRPr="008662BF">
        <w:rPr>
          <w:lang w:val="mk-MK"/>
        </w:rPr>
        <w:t>на ЕУ</w:t>
      </w:r>
      <w:r w:rsidR="001A62DC">
        <w:rPr>
          <w:lang w:val="mk-MK"/>
        </w:rPr>
        <w:t>,</w:t>
      </w:r>
      <w:r w:rsidRPr="008662BF">
        <w:rPr>
          <w:lang w:val="mk-MK"/>
        </w:rPr>
        <w:t xml:space="preserve"> итн.</w:t>
      </w:r>
    </w:p>
    <w:p w14:paraId="3B88C7C6" w14:textId="1F4F552C" w:rsidR="00F87A27" w:rsidRPr="008662BF" w:rsidRDefault="00F87A27" w:rsidP="00F87A27">
      <w:pPr>
        <w:jc w:val="both"/>
        <w:rPr>
          <w:lang w:val="mk-MK"/>
        </w:rPr>
      </w:pPr>
      <w:r w:rsidRPr="008662BF">
        <w:rPr>
          <w:lang w:val="mk-MK"/>
        </w:rPr>
        <w:t>Во натамошниот текст се дадени детални упатства за пополнување на анкетниот прашалник.</w:t>
      </w:r>
    </w:p>
    <w:p w14:paraId="0964D44B" w14:textId="77777777" w:rsidR="00F87A27" w:rsidRPr="008662BF" w:rsidRDefault="00F87A27" w:rsidP="007947BF">
      <w:pPr>
        <w:spacing w:after="0" w:line="252" w:lineRule="auto"/>
        <w:jc w:val="both"/>
        <w:rPr>
          <w:rFonts w:cs="Arial"/>
          <w:lang w:val="mk-MK"/>
        </w:rPr>
      </w:pPr>
      <w:r w:rsidRPr="008662BF">
        <w:rPr>
          <w:rFonts w:cs="Arial"/>
          <w:lang w:val="mk-MK"/>
        </w:rPr>
        <w:t>Анкетниот прашалник се состои од 3 дела:</w:t>
      </w:r>
    </w:p>
    <w:p w14:paraId="7C310128" w14:textId="77777777" w:rsidR="00F87A27" w:rsidRPr="008662BF" w:rsidRDefault="00F87A27" w:rsidP="007947BF">
      <w:pPr>
        <w:pStyle w:val="ListParagraph"/>
        <w:numPr>
          <w:ilvl w:val="0"/>
          <w:numId w:val="14"/>
        </w:numPr>
        <w:spacing w:after="0" w:line="252" w:lineRule="auto"/>
        <w:jc w:val="both"/>
        <w:rPr>
          <w:rFonts w:cs="Arial"/>
          <w:lang w:val="mk-MK"/>
        </w:rPr>
      </w:pPr>
      <w:r w:rsidRPr="008662BF">
        <w:rPr>
          <w:rFonts w:cs="Arial"/>
          <w:lang w:val="mk-MK"/>
        </w:rPr>
        <w:t>Општи информации</w:t>
      </w:r>
    </w:p>
    <w:p w14:paraId="7F065968" w14:textId="77777777" w:rsidR="00F87A27" w:rsidRPr="008662BF" w:rsidRDefault="00F87A27" w:rsidP="00F87A27">
      <w:pPr>
        <w:pStyle w:val="ListParagraph"/>
        <w:numPr>
          <w:ilvl w:val="0"/>
          <w:numId w:val="14"/>
        </w:numPr>
        <w:spacing w:after="0" w:line="252" w:lineRule="auto"/>
        <w:jc w:val="both"/>
        <w:rPr>
          <w:rFonts w:cs="Arial"/>
          <w:lang w:val="mk-MK"/>
        </w:rPr>
      </w:pPr>
      <w:r w:rsidRPr="008662BF">
        <w:rPr>
          <w:rFonts w:cs="Arial"/>
          <w:lang w:val="mk-MK"/>
        </w:rPr>
        <w:t>Податоци за инфраструктурата и опремата</w:t>
      </w:r>
    </w:p>
    <w:p w14:paraId="31A0F0FB" w14:textId="41832DA9" w:rsidR="00F87A27" w:rsidRPr="008662BF" w:rsidRDefault="00F87A27" w:rsidP="00F87A27">
      <w:pPr>
        <w:pStyle w:val="ListParagraph"/>
        <w:numPr>
          <w:ilvl w:val="0"/>
          <w:numId w:val="14"/>
        </w:numPr>
        <w:spacing w:after="0" w:line="252" w:lineRule="auto"/>
        <w:jc w:val="both"/>
        <w:rPr>
          <w:rFonts w:cs="Arial"/>
          <w:lang w:val="mk-MK"/>
        </w:rPr>
      </w:pPr>
      <w:r w:rsidRPr="008662BF">
        <w:rPr>
          <w:rFonts w:cs="Arial"/>
          <w:lang w:val="mk-MK"/>
        </w:rPr>
        <w:t>Информации за пристап</w:t>
      </w:r>
      <w:r w:rsidR="00692DD1" w:rsidRPr="008662BF">
        <w:rPr>
          <w:rFonts w:cs="Arial"/>
          <w:lang w:val="mk-MK"/>
        </w:rPr>
        <w:t>от</w:t>
      </w:r>
      <w:r w:rsidRPr="008662BF">
        <w:rPr>
          <w:rFonts w:cs="Arial"/>
          <w:lang w:val="mk-MK"/>
        </w:rPr>
        <w:t>, соработка</w:t>
      </w:r>
      <w:r w:rsidR="00692DD1" w:rsidRPr="008662BF">
        <w:rPr>
          <w:rFonts w:cs="Arial"/>
          <w:lang w:val="mk-MK"/>
        </w:rPr>
        <w:t>та</w:t>
      </w:r>
      <w:r w:rsidRPr="008662BF">
        <w:rPr>
          <w:rFonts w:cs="Arial"/>
          <w:lang w:val="mk-MK"/>
        </w:rPr>
        <w:t xml:space="preserve"> и мрежи</w:t>
      </w:r>
      <w:r w:rsidR="00692DD1" w:rsidRPr="008662BF">
        <w:rPr>
          <w:rFonts w:cs="Arial"/>
          <w:lang w:val="mk-MK"/>
        </w:rPr>
        <w:t>те</w:t>
      </w:r>
    </w:p>
    <w:p w14:paraId="06498CF4" w14:textId="77777777" w:rsidR="007947BF" w:rsidRPr="008662BF" w:rsidRDefault="007947BF" w:rsidP="007947BF">
      <w:pPr>
        <w:spacing w:after="0" w:line="252" w:lineRule="auto"/>
        <w:jc w:val="both"/>
        <w:rPr>
          <w:rFonts w:cs="Arial"/>
          <w:b/>
          <w:lang w:val="mk-MK"/>
        </w:rPr>
      </w:pPr>
    </w:p>
    <w:p w14:paraId="4EB10FDB" w14:textId="77777777" w:rsidR="002776BC" w:rsidRPr="008662BF" w:rsidRDefault="002776BC" w:rsidP="007947BF">
      <w:pPr>
        <w:spacing w:after="0" w:line="252" w:lineRule="auto"/>
        <w:jc w:val="both"/>
        <w:rPr>
          <w:rFonts w:cs="Arial"/>
          <w:lang w:val="mk-MK"/>
        </w:rPr>
      </w:pPr>
      <w:r w:rsidRPr="008662BF">
        <w:rPr>
          <w:rFonts w:cs="Arial"/>
          <w:lang w:val="mk-MK"/>
        </w:rPr>
        <w:t xml:space="preserve">Прашалникот треба да се пополни за една истражувачка инфраструктура и треба да се внесат сите податоци и описи за конкретната инфраструктура </w:t>
      </w:r>
      <w:r w:rsidR="002940D7">
        <w:rPr>
          <w:rFonts w:cs="Arial"/>
          <w:lang w:val="mk-MK"/>
        </w:rPr>
        <w:t>која</w:t>
      </w:r>
      <w:r w:rsidRPr="008662BF">
        <w:rPr>
          <w:rFonts w:cs="Arial"/>
          <w:lang w:val="mk-MK"/>
        </w:rPr>
        <w:t>што е предмет на прашалникот. Детални</w:t>
      </w:r>
      <w:r w:rsidR="001A62DC">
        <w:rPr>
          <w:rFonts w:cs="Arial"/>
          <w:lang w:val="mk-MK"/>
        </w:rPr>
        <w:t>те</w:t>
      </w:r>
      <w:r w:rsidRPr="008662BF">
        <w:rPr>
          <w:rFonts w:cs="Arial"/>
          <w:lang w:val="mk-MK"/>
        </w:rPr>
        <w:t xml:space="preserve"> упатства за пополнување на прашалникот се дадени во текстот подолу.</w:t>
      </w:r>
    </w:p>
    <w:p w14:paraId="79BA2CA1" w14:textId="77777777" w:rsidR="007947BF" w:rsidRPr="008662BF" w:rsidRDefault="007947BF" w:rsidP="007947BF">
      <w:pPr>
        <w:spacing w:after="0" w:line="252" w:lineRule="auto"/>
        <w:jc w:val="both"/>
        <w:rPr>
          <w:rFonts w:cs="Arial"/>
          <w:b/>
          <w:lang w:val="mk-MK"/>
        </w:rPr>
      </w:pPr>
    </w:p>
    <w:p w14:paraId="764F2827" w14:textId="77777777" w:rsidR="007947BF" w:rsidRPr="008662BF" w:rsidRDefault="002776BC" w:rsidP="007947BF">
      <w:pPr>
        <w:spacing w:after="0" w:line="252" w:lineRule="auto"/>
        <w:jc w:val="both"/>
        <w:rPr>
          <w:rFonts w:cs="Arial"/>
          <w:b/>
          <w:lang w:val="mk-MK"/>
        </w:rPr>
      </w:pPr>
      <w:r w:rsidRPr="008662BF">
        <w:rPr>
          <w:rFonts w:cs="Arial"/>
          <w:b/>
          <w:lang w:val="mk-MK"/>
        </w:rPr>
        <w:t xml:space="preserve">Упатства за пополнување на Дел 1: Општи информации: Табели </w:t>
      </w:r>
      <w:r w:rsidR="007947BF" w:rsidRPr="008662BF">
        <w:rPr>
          <w:rFonts w:cs="Arial"/>
          <w:b/>
          <w:lang w:val="mk-MK"/>
        </w:rPr>
        <w:t>1.1., 1.2., 1.3., 1.4.</w:t>
      </w:r>
    </w:p>
    <w:p w14:paraId="55C4502F" w14:textId="77777777" w:rsidR="007947BF" w:rsidRPr="008662BF" w:rsidRDefault="007947BF" w:rsidP="007947BF">
      <w:pPr>
        <w:spacing w:after="0" w:line="252" w:lineRule="auto"/>
        <w:jc w:val="both"/>
        <w:rPr>
          <w:rFonts w:cs="Arial"/>
          <w:b/>
          <w:lang w:val="mk-MK"/>
        </w:rPr>
      </w:pPr>
    </w:p>
    <w:p w14:paraId="67450A31" w14:textId="77777777" w:rsidR="002776BC" w:rsidRPr="008662BF" w:rsidRDefault="002776BC" w:rsidP="007947BF">
      <w:pPr>
        <w:spacing w:after="0" w:line="252" w:lineRule="auto"/>
        <w:jc w:val="both"/>
        <w:rPr>
          <w:rFonts w:cs="Arial"/>
          <w:lang w:val="mk-MK"/>
        </w:rPr>
      </w:pPr>
      <w:r w:rsidRPr="008662BF">
        <w:rPr>
          <w:rFonts w:cs="Arial"/>
          <w:lang w:val="mk-MK"/>
        </w:rPr>
        <w:t>Табелата 1.1 треба да ги содржи главните информации за испитаникот. Втората Табела 1.2 се однесува на општите информации за истражувачката инфраструктура која е главниот</w:t>
      </w:r>
      <w:r w:rsidR="006B7662">
        <w:rPr>
          <w:rFonts w:cs="Arial"/>
          <w:lang w:val="mk-MK"/>
        </w:rPr>
        <w:t xml:space="preserve"> предмет </w:t>
      </w:r>
      <w:r w:rsidRPr="008662BF">
        <w:rPr>
          <w:rFonts w:cs="Arial"/>
          <w:lang w:val="mk-MK"/>
        </w:rPr>
        <w:t>на прашалникот.</w:t>
      </w:r>
    </w:p>
    <w:p w14:paraId="5EA4E1F3" w14:textId="7C1631C5" w:rsidR="00BF5ECF" w:rsidRPr="008662BF" w:rsidRDefault="00BF5ECF" w:rsidP="007947BF">
      <w:pPr>
        <w:spacing w:after="0" w:line="252" w:lineRule="auto"/>
        <w:jc w:val="both"/>
        <w:rPr>
          <w:rFonts w:cs="Arial"/>
          <w:lang w:val="mk-MK"/>
        </w:rPr>
      </w:pPr>
      <w:r w:rsidRPr="008662BF">
        <w:rPr>
          <w:rFonts w:cs="Arial"/>
          <w:lang w:val="mk-MK"/>
        </w:rPr>
        <w:t xml:space="preserve">Во полето „Тематска категоризација на типови ИИ по научна област“, истражувачката инфраструктура треба </w:t>
      </w:r>
      <w:r w:rsidR="002940D7" w:rsidRPr="008662BF">
        <w:rPr>
          <w:rFonts w:cs="Arial"/>
          <w:lang w:val="mk-MK"/>
        </w:rPr>
        <w:t xml:space="preserve">тематски </w:t>
      </w:r>
      <w:r w:rsidR="002940D7">
        <w:rPr>
          <w:rFonts w:cs="Arial"/>
          <w:lang w:val="mk-MK"/>
        </w:rPr>
        <w:t xml:space="preserve">соодветно </w:t>
      </w:r>
      <w:r w:rsidR="002940D7" w:rsidRPr="008662BF">
        <w:rPr>
          <w:rFonts w:cs="Arial"/>
          <w:lang w:val="mk-MK"/>
        </w:rPr>
        <w:t>да се групира</w:t>
      </w:r>
      <w:r w:rsidRPr="008662BF">
        <w:rPr>
          <w:rFonts w:cs="Arial"/>
          <w:lang w:val="mk-MK"/>
        </w:rPr>
        <w:t>. Во Патоказот на ESFRI 2016 се утврдени следните 6 тематски области:</w:t>
      </w:r>
    </w:p>
    <w:p w14:paraId="767D138C" w14:textId="77777777" w:rsidR="00191E95" w:rsidRPr="00417197" w:rsidRDefault="00191E95" w:rsidP="007947BF">
      <w:pPr>
        <w:spacing w:after="0" w:line="252" w:lineRule="auto"/>
        <w:jc w:val="both"/>
        <w:rPr>
          <w:rFonts w:cs="Arial"/>
        </w:rPr>
      </w:pPr>
    </w:p>
    <w:p w14:paraId="3763CDC2" w14:textId="77777777" w:rsidR="00191E95" w:rsidRPr="008662BF" w:rsidRDefault="00191E95" w:rsidP="00191E95">
      <w:pPr>
        <w:pStyle w:val="ListParagraph"/>
        <w:numPr>
          <w:ilvl w:val="0"/>
          <w:numId w:val="56"/>
        </w:numPr>
        <w:spacing w:after="0" w:line="252" w:lineRule="auto"/>
        <w:jc w:val="both"/>
        <w:rPr>
          <w:rFonts w:eastAsia="Calibri" w:cs="Arial"/>
          <w:lang w:val="mk-MK"/>
        </w:rPr>
      </w:pPr>
      <w:r w:rsidRPr="008662BF">
        <w:rPr>
          <w:rFonts w:eastAsia="Calibri" w:cs="Arial"/>
          <w:lang w:val="mk-MK"/>
        </w:rPr>
        <w:t>енергија;</w:t>
      </w:r>
    </w:p>
    <w:p w14:paraId="0AD95489" w14:textId="77777777" w:rsidR="00191E95" w:rsidRPr="008662BF" w:rsidRDefault="00191E95" w:rsidP="00191E95">
      <w:pPr>
        <w:pStyle w:val="ListParagraph"/>
        <w:numPr>
          <w:ilvl w:val="0"/>
          <w:numId w:val="56"/>
        </w:numPr>
        <w:spacing w:after="0" w:line="252" w:lineRule="auto"/>
        <w:jc w:val="both"/>
        <w:rPr>
          <w:rFonts w:eastAsia="Calibri" w:cs="Arial"/>
          <w:lang w:val="mk-MK"/>
        </w:rPr>
      </w:pPr>
      <w:r w:rsidRPr="008662BF">
        <w:rPr>
          <w:rFonts w:eastAsia="Calibri" w:cs="Arial"/>
          <w:lang w:val="mk-MK"/>
        </w:rPr>
        <w:t>животна средина;</w:t>
      </w:r>
    </w:p>
    <w:p w14:paraId="4E8CC311" w14:textId="7A804D25" w:rsidR="00191E95" w:rsidRPr="008662BF" w:rsidRDefault="00191E95" w:rsidP="00191E95">
      <w:pPr>
        <w:pStyle w:val="ListParagraph"/>
        <w:numPr>
          <w:ilvl w:val="0"/>
          <w:numId w:val="56"/>
        </w:numPr>
        <w:spacing w:after="0" w:line="252" w:lineRule="auto"/>
        <w:jc w:val="both"/>
        <w:rPr>
          <w:rFonts w:eastAsia="Calibri" w:cs="Arial"/>
          <w:lang w:val="mk-MK"/>
        </w:rPr>
      </w:pPr>
      <w:r w:rsidRPr="008662BF">
        <w:rPr>
          <w:rFonts w:eastAsia="Calibri" w:cs="Arial"/>
          <w:lang w:val="mk-MK"/>
        </w:rPr>
        <w:t>здравствени и прехра</w:t>
      </w:r>
      <w:r w:rsidR="002940D7">
        <w:rPr>
          <w:rFonts w:eastAsia="Calibri" w:cs="Arial"/>
          <w:lang w:val="mk-MK"/>
        </w:rPr>
        <w:t>н</w:t>
      </w:r>
      <w:r w:rsidRPr="008662BF">
        <w:rPr>
          <w:rFonts w:eastAsia="Calibri" w:cs="Arial"/>
          <w:lang w:val="mk-MK"/>
        </w:rPr>
        <w:t>бени науки;</w:t>
      </w:r>
    </w:p>
    <w:p w14:paraId="09243EF7" w14:textId="77777777" w:rsidR="00191E95" w:rsidRPr="008662BF" w:rsidRDefault="00191E95" w:rsidP="00191E95">
      <w:pPr>
        <w:pStyle w:val="ListParagraph"/>
        <w:numPr>
          <w:ilvl w:val="0"/>
          <w:numId w:val="56"/>
        </w:numPr>
        <w:spacing w:after="0" w:line="252" w:lineRule="auto"/>
        <w:jc w:val="both"/>
        <w:rPr>
          <w:rFonts w:eastAsia="Calibri" w:cs="Arial"/>
          <w:lang w:val="mk-MK"/>
        </w:rPr>
      </w:pPr>
      <w:r w:rsidRPr="008662BF">
        <w:rPr>
          <w:rFonts w:eastAsia="Calibri" w:cs="Arial"/>
          <w:lang w:val="mk-MK"/>
        </w:rPr>
        <w:t>физички науки и инженерство;</w:t>
      </w:r>
    </w:p>
    <w:p w14:paraId="4E9050C3" w14:textId="77777777" w:rsidR="00191E95" w:rsidRPr="008662BF" w:rsidRDefault="00191E95" w:rsidP="00191E95">
      <w:pPr>
        <w:pStyle w:val="ListParagraph"/>
        <w:numPr>
          <w:ilvl w:val="0"/>
          <w:numId w:val="56"/>
        </w:numPr>
        <w:spacing w:after="0" w:line="252" w:lineRule="auto"/>
        <w:jc w:val="both"/>
        <w:rPr>
          <w:rFonts w:eastAsia="Calibri" w:cs="Arial"/>
          <w:lang w:val="mk-MK"/>
        </w:rPr>
      </w:pPr>
      <w:r w:rsidRPr="008662BF">
        <w:rPr>
          <w:rFonts w:eastAsia="Calibri" w:cs="Arial"/>
          <w:lang w:val="mk-MK"/>
        </w:rPr>
        <w:t>општествени и културни иновации;</w:t>
      </w:r>
    </w:p>
    <w:p w14:paraId="11772A2D" w14:textId="77777777" w:rsidR="00191E95" w:rsidRPr="008662BF" w:rsidRDefault="00191E95" w:rsidP="00191E95">
      <w:pPr>
        <w:pStyle w:val="ListParagraph"/>
        <w:numPr>
          <w:ilvl w:val="0"/>
          <w:numId w:val="56"/>
        </w:numPr>
        <w:spacing w:after="0" w:line="252" w:lineRule="auto"/>
        <w:jc w:val="both"/>
        <w:rPr>
          <w:rFonts w:eastAsia="Calibri" w:cs="Arial"/>
          <w:lang w:val="mk-MK"/>
        </w:rPr>
      </w:pPr>
      <w:r w:rsidRPr="008662BF">
        <w:rPr>
          <w:rFonts w:eastAsia="Calibri" w:cs="Arial"/>
          <w:lang w:val="mk-MK"/>
        </w:rPr>
        <w:t>е-инфраструктури</w:t>
      </w:r>
      <w:r w:rsidR="002940D7">
        <w:rPr>
          <w:rFonts w:eastAsia="Calibri" w:cs="Arial"/>
          <w:lang w:val="mk-MK"/>
        </w:rPr>
        <w:t>.</w:t>
      </w:r>
    </w:p>
    <w:p w14:paraId="2399B1F4" w14:textId="77777777" w:rsidR="00191E95" w:rsidRPr="008662BF" w:rsidRDefault="00191E95" w:rsidP="00191E95">
      <w:pPr>
        <w:spacing w:after="0" w:line="252" w:lineRule="auto"/>
        <w:jc w:val="both"/>
        <w:rPr>
          <w:rFonts w:eastAsia="Calibri" w:cs="Arial"/>
          <w:lang w:val="mk-MK"/>
        </w:rPr>
      </w:pPr>
    </w:p>
    <w:p w14:paraId="5A4C9A8E" w14:textId="77777777" w:rsidR="00191E95" w:rsidRPr="008662BF" w:rsidRDefault="00191E95" w:rsidP="00191E95">
      <w:pPr>
        <w:spacing w:after="0" w:line="252" w:lineRule="auto"/>
        <w:jc w:val="both"/>
        <w:rPr>
          <w:rFonts w:eastAsia="Calibri" w:cs="Arial"/>
          <w:lang w:val="mk-MK"/>
        </w:rPr>
      </w:pPr>
      <w:r w:rsidRPr="008662BF">
        <w:rPr>
          <w:rFonts w:eastAsia="Calibri" w:cs="Arial"/>
          <w:lang w:val="mk-MK"/>
        </w:rPr>
        <w:t>Истражувачките инфраструктури треба да се поврзат со една од овие дефинирани категории.</w:t>
      </w:r>
    </w:p>
    <w:p w14:paraId="47D22D46" w14:textId="77777777" w:rsidR="00191E95" w:rsidRPr="008662BF" w:rsidRDefault="00191E95" w:rsidP="00191E95">
      <w:pPr>
        <w:spacing w:after="0" w:line="252" w:lineRule="auto"/>
        <w:jc w:val="both"/>
        <w:rPr>
          <w:rFonts w:eastAsia="Calibri" w:cs="Arial"/>
          <w:lang w:val="mk-MK"/>
        </w:rPr>
      </w:pPr>
    </w:p>
    <w:p w14:paraId="651FC1A6" w14:textId="77777777" w:rsidR="00191E95" w:rsidRPr="008662BF" w:rsidRDefault="00191E95" w:rsidP="00191E95">
      <w:pPr>
        <w:spacing w:after="0" w:line="252" w:lineRule="auto"/>
        <w:jc w:val="both"/>
        <w:rPr>
          <w:rFonts w:eastAsia="Calibri" w:cs="Arial"/>
          <w:lang w:val="mk-MK"/>
        </w:rPr>
      </w:pPr>
      <w:r w:rsidRPr="008662BF">
        <w:rPr>
          <w:rFonts w:eastAsia="Calibri" w:cs="Arial"/>
          <w:lang w:val="mk-MK"/>
        </w:rPr>
        <w:t xml:space="preserve">Во следното поле „Тип на ИИ“, најчесто се разликуваат четири типа на ИИ: </w:t>
      </w:r>
    </w:p>
    <w:p w14:paraId="0E54FABD" w14:textId="77777777" w:rsidR="00191E95" w:rsidRPr="008662BF" w:rsidRDefault="00191E95" w:rsidP="00191E95">
      <w:pPr>
        <w:pStyle w:val="ListParagraph"/>
        <w:numPr>
          <w:ilvl w:val="0"/>
          <w:numId w:val="57"/>
        </w:numPr>
        <w:spacing w:after="0" w:line="252" w:lineRule="auto"/>
        <w:jc w:val="both"/>
        <w:rPr>
          <w:rFonts w:eastAsia="Calibri" w:cs="Arial"/>
          <w:lang w:val="mk-MK"/>
        </w:rPr>
      </w:pPr>
      <w:r w:rsidRPr="008662BF">
        <w:rPr>
          <w:rFonts w:eastAsia="Calibri" w:cs="Arial"/>
          <w:lang w:val="mk-MK"/>
        </w:rPr>
        <w:t>централизирани објекти;</w:t>
      </w:r>
    </w:p>
    <w:p w14:paraId="6D23DAAE" w14:textId="77777777" w:rsidR="00191E95" w:rsidRPr="008662BF" w:rsidRDefault="00191E95" w:rsidP="00191E95">
      <w:pPr>
        <w:pStyle w:val="ListParagraph"/>
        <w:numPr>
          <w:ilvl w:val="0"/>
          <w:numId w:val="57"/>
        </w:numPr>
        <w:spacing w:after="0" w:line="252" w:lineRule="auto"/>
        <w:jc w:val="both"/>
        <w:rPr>
          <w:rFonts w:eastAsia="Calibri" w:cs="Arial"/>
          <w:lang w:val="mk-MK"/>
        </w:rPr>
      </w:pPr>
      <w:r w:rsidRPr="008662BF">
        <w:rPr>
          <w:rFonts w:eastAsia="Calibri" w:cs="Arial"/>
          <w:lang w:val="mk-MK"/>
        </w:rPr>
        <w:t>децентрализирани објекти;</w:t>
      </w:r>
    </w:p>
    <w:p w14:paraId="138943FE" w14:textId="77777777" w:rsidR="00191E95" w:rsidRPr="008662BF" w:rsidRDefault="00191E95" w:rsidP="00191E95">
      <w:pPr>
        <w:pStyle w:val="ListParagraph"/>
        <w:numPr>
          <w:ilvl w:val="0"/>
          <w:numId w:val="57"/>
        </w:numPr>
        <w:spacing w:after="0" w:line="252" w:lineRule="auto"/>
        <w:jc w:val="both"/>
        <w:rPr>
          <w:rFonts w:eastAsia="Calibri" w:cs="Arial"/>
          <w:lang w:val="mk-MK"/>
        </w:rPr>
      </w:pPr>
      <w:r w:rsidRPr="008662BF">
        <w:rPr>
          <w:rFonts w:eastAsia="Calibri" w:cs="Arial"/>
          <w:lang w:val="mk-MK"/>
        </w:rPr>
        <w:t>мобилни објекти;</w:t>
      </w:r>
    </w:p>
    <w:p w14:paraId="140227A4" w14:textId="77777777" w:rsidR="00191E95" w:rsidRPr="008662BF" w:rsidRDefault="00191E95" w:rsidP="00191E95">
      <w:pPr>
        <w:pStyle w:val="ListParagraph"/>
        <w:numPr>
          <w:ilvl w:val="0"/>
          <w:numId w:val="57"/>
        </w:numPr>
        <w:spacing w:after="0" w:line="252" w:lineRule="auto"/>
        <w:jc w:val="both"/>
        <w:rPr>
          <w:rFonts w:eastAsia="Calibri" w:cs="Arial"/>
          <w:lang w:val="mk-MK"/>
        </w:rPr>
      </w:pPr>
      <w:r w:rsidRPr="008662BF">
        <w:rPr>
          <w:rFonts w:eastAsia="Calibri" w:cs="Arial"/>
          <w:lang w:val="mk-MK"/>
        </w:rPr>
        <w:t>виртуелни објекти.</w:t>
      </w:r>
    </w:p>
    <w:p w14:paraId="31B7732E" w14:textId="77777777" w:rsidR="00191E95" w:rsidRPr="008662BF" w:rsidRDefault="00191E95" w:rsidP="007947BF">
      <w:pPr>
        <w:spacing w:after="0" w:line="252" w:lineRule="auto"/>
        <w:jc w:val="both"/>
        <w:rPr>
          <w:rFonts w:eastAsia="Calibri" w:cs="Arial"/>
          <w:lang w:val="mk-MK"/>
        </w:rPr>
      </w:pPr>
    </w:p>
    <w:p w14:paraId="65CA72D1" w14:textId="77777777" w:rsidR="00191E95" w:rsidRPr="008662BF" w:rsidRDefault="00191E95" w:rsidP="007947BF">
      <w:pPr>
        <w:spacing w:after="0" w:line="252" w:lineRule="auto"/>
        <w:jc w:val="both"/>
        <w:rPr>
          <w:rFonts w:eastAsia="Calibri" w:cs="Arial"/>
          <w:lang w:val="mk-MK"/>
        </w:rPr>
      </w:pPr>
      <w:r w:rsidRPr="008662BF">
        <w:rPr>
          <w:rFonts w:eastAsia="Calibri" w:cs="Arial"/>
          <w:lang w:val="mk-MK"/>
        </w:rPr>
        <w:t>Секоја истражувачка инфраструктура треба да припаѓа на еден од овие 4 типа.</w:t>
      </w:r>
    </w:p>
    <w:p w14:paraId="22A3A43A" w14:textId="77777777" w:rsidR="007947BF" w:rsidRPr="008662BF" w:rsidRDefault="007947BF" w:rsidP="007947BF">
      <w:pPr>
        <w:spacing w:after="0" w:line="252" w:lineRule="auto"/>
        <w:jc w:val="both"/>
        <w:rPr>
          <w:rFonts w:eastAsia="Calibri" w:cs="Arial"/>
          <w:lang w:val="mk-MK"/>
        </w:rPr>
      </w:pPr>
    </w:p>
    <w:p w14:paraId="7AE018E9" w14:textId="77777777" w:rsidR="00191E95" w:rsidRPr="008662BF" w:rsidRDefault="00191E95" w:rsidP="00191E95">
      <w:pPr>
        <w:spacing w:after="0" w:line="252" w:lineRule="auto"/>
        <w:jc w:val="both"/>
        <w:rPr>
          <w:rFonts w:eastAsia="Calibri" w:cs="Arial"/>
          <w:lang w:val="mk-MK"/>
        </w:rPr>
      </w:pPr>
      <w:r w:rsidRPr="008662BF">
        <w:rPr>
          <w:rFonts w:eastAsia="Calibri" w:cs="Arial"/>
          <w:lang w:val="mk-MK"/>
        </w:rPr>
        <w:lastRenderedPageBreak/>
        <w:t xml:space="preserve">Во Табелата 1.3 треба да се даде детален опис на истражувачката инфраструктура (општи информации за истражувачката инфраструктура) и </w:t>
      </w:r>
      <w:r w:rsidR="002940D7">
        <w:rPr>
          <w:rFonts w:eastAsia="Calibri" w:cs="Arial"/>
          <w:lang w:val="mk-MK"/>
        </w:rPr>
        <w:t xml:space="preserve">на </w:t>
      </w:r>
      <w:r w:rsidRPr="008662BF">
        <w:rPr>
          <w:rFonts w:eastAsia="Calibri" w:cs="Arial"/>
          <w:lang w:val="mk-MK"/>
        </w:rPr>
        <w:t>нејзината главна намена и цели.</w:t>
      </w:r>
    </w:p>
    <w:p w14:paraId="0228ACAB" w14:textId="77777777" w:rsidR="00191E95" w:rsidRPr="008662BF" w:rsidRDefault="00191E95" w:rsidP="00191E95">
      <w:pPr>
        <w:spacing w:after="0" w:line="252" w:lineRule="auto"/>
        <w:jc w:val="both"/>
        <w:rPr>
          <w:rFonts w:eastAsia="Calibri" w:cs="Arial"/>
          <w:lang w:val="mk-MK"/>
        </w:rPr>
      </w:pPr>
    </w:p>
    <w:p w14:paraId="6D74BFB6" w14:textId="0D0AF4D4" w:rsidR="00191E95" w:rsidRPr="008662BF" w:rsidRDefault="00191E95" w:rsidP="00191E95">
      <w:pPr>
        <w:spacing w:after="0" w:line="252" w:lineRule="auto"/>
        <w:jc w:val="both"/>
        <w:rPr>
          <w:rFonts w:eastAsia="Calibri" w:cs="Arial"/>
          <w:lang w:val="mk-MK"/>
        </w:rPr>
      </w:pPr>
      <w:r w:rsidRPr="008662BF">
        <w:rPr>
          <w:rFonts w:eastAsia="Calibri" w:cs="Arial"/>
          <w:lang w:val="mk-MK"/>
        </w:rPr>
        <w:t>Во Табелата 1.4 треба да се наведат и објаснат конкретните истражувачки услуги што им се обезбедуваат на корисниците и</w:t>
      </w:r>
      <w:r w:rsidR="002940D7">
        <w:rPr>
          <w:rFonts w:eastAsia="Calibri" w:cs="Arial"/>
          <w:lang w:val="mk-MK"/>
        </w:rPr>
        <w:t xml:space="preserve"> на</w:t>
      </w:r>
      <w:r w:rsidRPr="008662BF">
        <w:rPr>
          <w:rFonts w:eastAsia="Calibri" w:cs="Arial"/>
          <w:lang w:val="mk-MK"/>
        </w:rPr>
        <w:t xml:space="preserve"> надворешните истражувачи. Неопходно е да се наведат услугите што им се достапни на истражувачите и што </w:t>
      </w:r>
      <w:r w:rsidR="002940D7" w:rsidRPr="008662BF">
        <w:rPr>
          <w:rFonts w:eastAsia="Calibri" w:cs="Arial"/>
          <w:lang w:val="mk-MK"/>
        </w:rPr>
        <w:t xml:space="preserve">ги обезбедува </w:t>
      </w:r>
      <w:r w:rsidRPr="008662BF">
        <w:rPr>
          <w:rFonts w:eastAsia="Calibri" w:cs="Arial"/>
          <w:lang w:val="mk-MK"/>
        </w:rPr>
        <w:t>истражувачката инфраструктура.</w:t>
      </w:r>
    </w:p>
    <w:p w14:paraId="32EB8DAD" w14:textId="77777777" w:rsidR="007947BF" w:rsidRPr="008662BF" w:rsidRDefault="007947BF" w:rsidP="007947BF">
      <w:pPr>
        <w:spacing w:after="0" w:line="252" w:lineRule="auto"/>
        <w:jc w:val="both"/>
        <w:rPr>
          <w:rFonts w:eastAsia="Calibri" w:cs="Arial"/>
          <w:lang w:val="mk-MK"/>
        </w:rPr>
      </w:pPr>
    </w:p>
    <w:p w14:paraId="11A6E743" w14:textId="77777777" w:rsidR="007947BF" w:rsidRPr="008662BF" w:rsidRDefault="00A541F0" w:rsidP="007947BF">
      <w:pPr>
        <w:spacing w:after="0" w:line="252" w:lineRule="auto"/>
        <w:jc w:val="both"/>
        <w:rPr>
          <w:rFonts w:eastAsia="Calibri" w:cs="Arial"/>
          <w:b/>
          <w:lang w:val="mk-MK"/>
        </w:rPr>
      </w:pPr>
      <w:r w:rsidRPr="008662BF">
        <w:rPr>
          <w:rFonts w:eastAsia="Calibri" w:cs="Arial"/>
          <w:b/>
          <w:lang w:val="mk-MK"/>
        </w:rPr>
        <w:t xml:space="preserve">Упатства за пополнување на Табела </w:t>
      </w:r>
      <w:r w:rsidR="007947BF" w:rsidRPr="008662BF">
        <w:rPr>
          <w:rFonts w:eastAsia="Calibri" w:cs="Arial"/>
          <w:b/>
          <w:lang w:val="mk-MK"/>
        </w:rPr>
        <w:t>2.1:</w:t>
      </w:r>
    </w:p>
    <w:p w14:paraId="4B02BEC5" w14:textId="77777777" w:rsidR="00A541F0" w:rsidRPr="008662BF" w:rsidRDefault="00A541F0" w:rsidP="007947BF">
      <w:pPr>
        <w:spacing w:after="0" w:line="252" w:lineRule="auto"/>
        <w:jc w:val="both"/>
        <w:rPr>
          <w:rFonts w:eastAsia="Calibri" w:cs="Arial"/>
          <w:lang w:val="mk-MK"/>
        </w:rPr>
      </w:pPr>
      <w:r w:rsidRPr="008662BF">
        <w:rPr>
          <w:rFonts w:eastAsia="Calibri" w:cs="Arial"/>
          <w:lang w:val="mk-MK"/>
        </w:rPr>
        <w:t xml:space="preserve">Вкупната вредност на истражувачката опрема што се користи во истражувачката инфраструктура треба да се внесе во Табела 2.1. Важно е да се внесат два </w:t>
      </w:r>
      <w:r w:rsidR="006B7662">
        <w:rPr>
          <w:rFonts w:eastAsia="Calibri" w:cs="Arial"/>
          <w:lang w:val="mk-MK"/>
        </w:rPr>
        <w:t xml:space="preserve">типа </w:t>
      </w:r>
      <w:r w:rsidRPr="008662BF">
        <w:rPr>
          <w:rFonts w:eastAsia="Calibri" w:cs="Arial"/>
          <w:lang w:val="mk-MK"/>
        </w:rPr>
        <w:t>вредности: набавната вредност и сегашната вредност во која се зема предвид амортизацијата на опремата.</w:t>
      </w:r>
    </w:p>
    <w:p w14:paraId="435D65B5" w14:textId="77777777" w:rsidR="007947BF" w:rsidRPr="008662BF" w:rsidRDefault="007947BF" w:rsidP="007947BF">
      <w:pPr>
        <w:spacing w:after="0" w:line="252" w:lineRule="auto"/>
        <w:jc w:val="both"/>
        <w:rPr>
          <w:rFonts w:eastAsia="Calibri" w:cs="Arial"/>
          <w:b/>
          <w:lang w:val="mk-MK"/>
        </w:rPr>
      </w:pPr>
    </w:p>
    <w:p w14:paraId="711397EF" w14:textId="77777777" w:rsidR="007947BF" w:rsidRPr="008662BF" w:rsidRDefault="00A541F0" w:rsidP="007947BF">
      <w:pPr>
        <w:spacing w:after="0" w:line="252" w:lineRule="auto"/>
        <w:jc w:val="both"/>
        <w:rPr>
          <w:rFonts w:eastAsia="Calibri" w:cs="Arial"/>
          <w:b/>
          <w:lang w:val="mk-MK"/>
        </w:rPr>
      </w:pPr>
      <w:r w:rsidRPr="008662BF">
        <w:rPr>
          <w:rFonts w:eastAsia="Calibri" w:cs="Arial"/>
          <w:b/>
          <w:lang w:val="mk-MK"/>
        </w:rPr>
        <w:t>Упатства за пополнување на Табела</w:t>
      </w:r>
      <w:r w:rsidR="007947BF" w:rsidRPr="008662BF">
        <w:rPr>
          <w:rFonts w:eastAsia="Calibri" w:cs="Arial"/>
          <w:b/>
          <w:lang w:val="mk-MK"/>
        </w:rPr>
        <w:t xml:space="preserve"> 2.2:</w:t>
      </w:r>
    </w:p>
    <w:p w14:paraId="17B89B18" w14:textId="77777777" w:rsidR="00A541F0" w:rsidRPr="008662BF" w:rsidRDefault="00A541F0" w:rsidP="00A541F0">
      <w:pPr>
        <w:spacing w:after="0" w:line="252" w:lineRule="auto"/>
        <w:jc w:val="both"/>
        <w:rPr>
          <w:rFonts w:eastAsia="Calibri" w:cs="Arial"/>
          <w:lang w:val="mk-MK"/>
        </w:rPr>
      </w:pPr>
      <w:r w:rsidRPr="008662BF">
        <w:rPr>
          <w:rFonts w:eastAsia="Calibri" w:cs="Arial"/>
          <w:lang w:val="mk-MK"/>
        </w:rPr>
        <w:t xml:space="preserve">Во Табела 2.2 треба да се наведе само капиталната истражувачка опрема со набавна цена </w:t>
      </w:r>
      <w:r w:rsidR="002940D7">
        <w:rPr>
          <w:rFonts w:eastAsia="Calibri" w:cs="Arial"/>
          <w:lang w:val="mk-MK"/>
        </w:rPr>
        <w:t xml:space="preserve">што е </w:t>
      </w:r>
      <w:r w:rsidRPr="008662BF">
        <w:rPr>
          <w:rFonts w:eastAsia="Calibri" w:cs="Arial"/>
          <w:lang w:val="mk-MK"/>
        </w:rPr>
        <w:t>повисока од 50.000 евра.</w:t>
      </w:r>
    </w:p>
    <w:p w14:paraId="2022B785" w14:textId="77777777" w:rsidR="00A541F0" w:rsidRPr="008662BF" w:rsidRDefault="00A541F0" w:rsidP="00A541F0">
      <w:pPr>
        <w:spacing w:after="0" w:line="252" w:lineRule="auto"/>
        <w:jc w:val="both"/>
        <w:rPr>
          <w:rFonts w:eastAsia="Calibri" w:cs="Arial"/>
          <w:lang w:val="mk-MK"/>
        </w:rPr>
      </w:pPr>
      <w:r w:rsidRPr="008662BF">
        <w:rPr>
          <w:rFonts w:eastAsia="Calibri" w:cs="Arial"/>
          <w:lang w:val="mk-MK"/>
        </w:rPr>
        <w:t xml:space="preserve">Изворот на финансирање треба да се внесе во колоната „Извор на средства за набавка на опремата“. Доколку има два или повеќе извори на финансирање, треба да се наведе секој од нив </w:t>
      </w:r>
      <w:r w:rsidR="006B7662">
        <w:rPr>
          <w:rFonts w:eastAsia="Calibri" w:cs="Arial"/>
          <w:lang w:val="mk-MK"/>
        </w:rPr>
        <w:t xml:space="preserve">заедно </w:t>
      </w:r>
      <w:r w:rsidRPr="008662BF">
        <w:rPr>
          <w:rFonts w:eastAsia="Calibri" w:cs="Arial"/>
          <w:lang w:val="mk-MK"/>
        </w:rPr>
        <w:t>со процентот на учество. Треба да се внесе еден од следниве извори на финансирање:</w:t>
      </w:r>
    </w:p>
    <w:p w14:paraId="6EE72DF3"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Сопствени средства</w:t>
      </w:r>
    </w:p>
    <w:p w14:paraId="35DAABCE"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Средства од Министерството за образование и наука</w:t>
      </w:r>
    </w:p>
    <w:p w14:paraId="20FDC04D"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Средства од други министерства</w:t>
      </w:r>
    </w:p>
    <w:p w14:paraId="41C701DF" w14:textId="3C207331"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 xml:space="preserve">Јавни </w:t>
      </w:r>
      <w:r w:rsidR="006B7662">
        <w:rPr>
          <w:rFonts w:eastAsia="Calibri" w:cs="Arial"/>
          <w:lang w:val="mk-MK"/>
        </w:rPr>
        <w:t xml:space="preserve">средства </w:t>
      </w:r>
      <w:r w:rsidRPr="008662BF">
        <w:rPr>
          <w:rFonts w:eastAsia="Calibri" w:cs="Arial"/>
          <w:lang w:val="mk-MK"/>
        </w:rPr>
        <w:t xml:space="preserve">на Р. </w:t>
      </w:r>
      <w:r w:rsidR="00417197">
        <w:rPr>
          <w:rFonts w:eastAsia="Calibri" w:cs="Arial"/>
          <w:lang w:val="mk-MK"/>
        </w:rPr>
        <w:t>Република Северна Македонија</w:t>
      </w:r>
    </w:p>
    <w:p w14:paraId="0A9F8ED3"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Донации</w:t>
      </w:r>
    </w:p>
    <w:p w14:paraId="2636DAB8"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Средства од меѓународни проекти</w:t>
      </w:r>
    </w:p>
    <w:p w14:paraId="217182D0"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Меѓународни средства/ донации</w:t>
      </w:r>
    </w:p>
    <w:p w14:paraId="1AB4215C" w14:textId="77777777" w:rsidR="00A541F0" w:rsidRPr="008662BF" w:rsidRDefault="00A541F0" w:rsidP="00A541F0">
      <w:pPr>
        <w:pStyle w:val="ListParagraph"/>
        <w:numPr>
          <w:ilvl w:val="0"/>
          <w:numId w:val="11"/>
        </w:numPr>
        <w:spacing w:after="0" w:line="252" w:lineRule="auto"/>
        <w:jc w:val="both"/>
        <w:rPr>
          <w:rFonts w:eastAsia="Calibri" w:cs="Arial"/>
          <w:lang w:val="mk-MK"/>
        </w:rPr>
      </w:pPr>
      <w:r w:rsidRPr="008662BF">
        <w:rPr>
          <w:rFonts w:eastAsia="Calibri" w:cs="Arial"/>
          <w:lang w:val="mk-MK"/>
        </w:rPr>
        <w:t>Други извори - наведете кои!</w:t>
      </w:r>
    </w:p>
    <w:p w14:paraId="0B7077F4" w14:textId="77777777" w:rsidR="00A541F0" w:rsidRPr="008662BF" w:rsidRDefault="00A541F0" w:rsidP="00A541F0">
      <w:pPr>
        <w:pStyle w:val="ListParagraph"/>
        <w:spacing w:after="0" w:line="252" w:lineRule="auto"/>
        <w:jc w:val="both"/>
        <w:rPr>
          <w:rFonts w:eastAsia="Calibri" w:cs="Arial"/>
          <w:lang w:val="mk-MK"/>
        </w:rPr>
      </w:pPr>
    </w:p>
    <w:p w14:paraId="74B68196" w14:textId="77777777" w:rsidR="007947BF" w:rsidRDefault="00F966A6" w:rsidP="007947BF">
      <w:pPr>
        <w:spacing w:after="0"/>
        <w:rPr>
          <w:b/>
          <w:lang w:val="mk-MK"/>
        </w:rPr>
      </w:pPr>
      <w:r w:rsidRPr="008662BF">
        <w:rPr>
          <w:b/>
          <w:lang w:val="mk-MK"/>
        </w:rPr>
        <w:t xml:space="preserve">Упатства за дел </w:t>
      </w:r>
      <w:r w:rsidR="007947BF" w:rsidRPr="008662BF">
        <w:rPr>
          <w:b/>
          <w:lang w:val="mk-MK"/>
        </w:rPr>
        <w:t xml:space="preserve">3: </w:t>
      </w:r>
      <w:r w:rsidR="00D155AF" w:rsidRPr="008662BF">
        <w:rPr>
          <w:b/>
          <w:lang w:val="mk-MK"/>
        </w:rPr>
        <w:t>Информации за пристапот, соработката и влијанието</w:t>
      </w:r>
    </w:p>
    <w:p w14:paraId="18964F4E" w14:textId="77777777" w:rsidR="006B7662" w:rsidRPr="008662BF" w:rsidRDefault="006B7662" w:rsidP="007947BF">
      <w:pPr>
        <w:spacing w:after="0"/>
        <w:rPr>
          <w:b/>
          <w:lang w:val="mk-MK"/>
        </w:rPr>
      </w:pPr>
    </w:p>
    <w:p w14:paraId="596D27E5" w14:textId="77777777" w:rsidR="00134842" w:rsidRPr="008662BF" w:rsidRDefault="00134842" w:rsidP="007947BF">
      <w:pPr>
        <w:jc w:val="both"/>
        <w:rPr>
          <w:lang w:val="mk-MK"/>
        </w:rPr>
      </w:pPr>
      <w:r w:rsidRPr="008662BF">
        <w:rPr>
          <w:lang w:val="mk-MK"/>
        </w:rPr>
        <w:t xml:space="preserve">Дел 3 се состои од 4 отворени прашања и потпрашања, а во него се бараат информации за пристапот, соработката и </w:t>
      </w:r>
      <w:r w:rsidR="002940D7">
        <w:rPr>
          <w:lang w:val="mk-MK"/>
        </w:rPr>
        <w:t xml:space="preserve">за </w:t>
      </w:r>
      <w:r w:rsidRPr="008662BF">
        <w:rPr>
          <w:lang w:val="mk-MK"/>
        </w:rPr>
        <w:t xml:space="preserve">влијанието на истражувачката инфраструктура. </w:t>
      </w:r>
    </w:p>
    <w:p w14:paraId="4BA05DBF" w14:textId="77777777" w:rsidR="007947BF" w:rsidRPr="008662BF" w:rsidRDefault="00F966A6" w:rsidP="007947BF">
      <w:pPr>
        <w:jc w:val="both"/>
        <w:rPr>
          <w:lang w:val="mk-MK"/>
        </w:rPr>
      </w:pPr>
      <w:r w:rsidRPr="008662BF">
        <w:rPr>
          <w:rFonts w:eastAsia="Calibri" w:cs="Arial"/>
          <w:b/>
          <w:lang w:val="mk-MK"/>
        </w:rPr>
        <w:t>Упатства за пополнување на дел</w:t>
      </w:r>
      <w:r w:rsidR="007947BF" w:rsidRPr="008662BF">
        <w:rPr>
          <w:rFonts w:eastAsia="Calibri" w:cs="Arial"/>
          <w:b/>
          <w:lang w:val="mk-MK"/>
        </w:rPr>
        <w:t xml:space="preserve"> 3.1.</w:t>
      </w:r>
    </w:p>
    <w:p w14:paraId="62395541" w14:textId="785F221C" w:rsidR="00134842" w:rsidRPr="008662BF" w:rsidRDefault="00134842" w:rsidP="007947BF">
      <w:pPr>
        <w:jc w:val="both"/>
        <w:rPr>
          <w:lang w:val="mk-MK"/>
        </w:rPr>
      </w:pPr>
      <w:r w:rsidRPr="008662BF">
        <w:rPr>
          <w:lang w:val="mk-MK"/>
        </w:rPr>
        <w:t>Во дел</w:t>
      </w:r>
      <w:r w:rsidR="002940D7">
        <w:rPr>
          <w:lang w:val="mk-MK"/>
        </w:rPr>
        <w:t>от</w:t>
      </w:r>
      <w:r w:rsidRPr="008662BF">
        <w:rPr>
          <w:lang w:val="mk-MK"/>
        </w:rPr>
        <w:t xml:space="preserve"> 3.1 треба да се даде краток опис на политиката и</w:t>
      </w:r>
      <w:r w:rsidR="002940D7">
        <w:rPr>
          <w:lang w:val="mk-MK"/>
        </w:rPr>
        <w:t xml:space="preserve"> на</w:t>
      </w:r>
      <w:r w:rsidRPr="008662BF">
        <w:rPr>
          <w:lang w:val="mk-MK"/>
        </w:rPr>
        <w:t xml:space="preserve"> процедурите за пристап на корисниците на истражувачката инфраструктура. Ако не постои официјална политика за пристап, опишете ги внатрешните процедури што се користат. Исто така, треба да се внесе и проценетиот број на корисници на истражувачката инфраструктура</w:t>
      </w:r>
      <w:r w:rsidR="006B7662">
        <w:rPr>
          <w:lang w:val="mk-MK"/>
        </w:rPr>
        <w:t>,</w:t>
      </w:r>
      <w:r w:rsidRPr="008662BF">
        <w:rPr>
          <w:lang w:val="mk-MK"/>
        </w:rPr>
        <w:t xml:space="preserve"> бидејќи тоа е многу важна информација за </w:t>
      </w:r>
      <w:r w:rsidR="006B7662">
        <w:rPr>
          <w:lang w:val="mk-MK"/>
        </w:rPr>
        <w:t xml:space="preserve">утврдување </w:t>
      </w:r>
      <w:r w:rsidRPr="008662BF">
        <w:rPr>
          <w:lang w:val="mk-MK"/>
        </w:rPr>
        <w:t xml:space="preserve">на важноста на избраната истражувачка инфраструктура за истражувачката заедница на национално и </w:t>
      </w:r>
      <w:r w:rsidR="002940D7">
        <w:rPr>
          <w:lang w:val="mk-MK"/>
        </w:rPr>
        <w:t xml:space="preserve">на </w:t>
      </w:r>
      <w:r w:rsidRPr="008662BF">
        <w:rPr>
          <w:lang w:val="mk-MK"/>
        </w:rPr>
        <w:t>меѓународно ниво. Во дел</w:t>
      </w:r>
      <w:r w:rsidR="002940D7">
        <w:rPr>
          <w:lang w:val="mk-MK"/>
        </w:rPr>
        <w:t>от</w:t>
      </w:r>
      <w:r w:rsidRPr="008662BF">
        <w:rPr>
          <w:lang w:val="mk-MK"/>
        </w:rPr>
        <w:t xml:space="preserve"> 3.1.1. треба да се наведат сите надворешни организации и институции кои досега користеле истражувачка опрема </w:t>
      </w:r>
      <w:r w:rsidR="002940D7">
        <w:rPr>
          <w:lang w:val="mk-MK"/>
        </w:rPr>
        <w:t>што</w:t>
      </w:r>
      <w:r w:rsidR="002940D7" w:rsidRPr="008662BF">
        <w:rPr>
          <w:lang w:val="mk-MK"/>
        </w:rPr>
        <w:t xml:space="preserve"> </w:t>
      </w:r>
      <w:r w:rsidRPr="008662BF">
        <w:rPr>
          <w:lang w:val="mk-MK"/>
        </w:rPr>
        <w:t xml:space="preserve">била обезбедена од истражувачката инфраструктура. </w:t>
      </w:r>
    </w:p>
    <w:p w14:paraId="4C889BE5" w14:textId="77777777" w:rsidR="007947BF" w:rsidRPr="008662BF" w:rsidRDefault="00F966A6" w:rsidP="007947BF">
      <w:pPr>
        <w:jc w:val="both"/>
        <w:rPr>
          <w:lang w:val="mk-MK"/>
        </w:rPr>
      </w:pPr>
      <w:r w:rsidRPr="008662BF">
        <w:rPr>
          <w:rFonts w:eastAsia="Calibri" w:cs="Arial"/>
          <w:b/>
          <w:lang w:val="mk-MK"/>
        </w:rPr>
        <w:t xml:space="preserve">Упатства за пополнување на дел </w:t>
      </w:r>
      <w:r w:rsidR="007947BF" w:rsidRPr="008662BF">
        <w:rPr>
          <w:rFonts w:eastAsia="Calibri" w:cs="Arial"/>
          <w:b/>
          <w:lang w:val="mk-MK"/>
        </w:rPr>
        <w:t>3.2.</w:t>
      </w:r>
    </w:p>
    <w:p w14:paraId="2FD16EA5" w14:textId="77777777" w:rsidR="00D155AF" w:rsidRPr="008662BF" w:rsidRDefault="00D155AF" w:rsidP="00D155AF">
      <w:pPr>
        <w:jc w:val="both"/>
        <w:rPr>
          <w:lang w:val="mk-MK"/>
        </w:rPr>
      </w:pPr>
      <w:r w:rsidRPr="008662BF">
        <w:rPr>
          <w:lang w:val="mk-MK"/>
        </w:rPr>
        <w:t>Препознавањето на истражувачката инфраструктура и</w:t>
      </w:r>
      <w:r w:rsidR="002940D7">
        <w:rPr>
          <w:lang w:val="mk-MK"/>
        </w:rPr>
        <w:t xml:space="preserve"> на</w:t>
      </w:r>
      <w:r w:rsidRPr="008662BF">
        <w:rPr>
          <w:lang w:val="mk-MK"/>
        </w:rPr>
        <w:t xml:space="preserve"> научното влијание на меѓународно ниво треба да се </w:t>
      </w:r>
      <w:r w:rsidR="006B7662">
        <w:rPr>
          <w:lang w:val="mk-MK"/>
        </w:rPr>
        <w:t xml:space="preserve">истакнат во </w:t>
      </w:r>
      <w:r w:rsidRPr="008662BF">
        <w:rPr>
          <w:lang w:val="mk-MK"/>
        </w:rPr>
        <w:t>дел</w:t>
      </w:r>
      <w:r w:rsidR="002940D7">
        <w:rPr>
          <w:lang w:val="mk-MK"/>
        </w:rPr>
        <w:t>овите</w:t>
      </w:r>
      <w:r w:rsidRPr="008662BF">
        <w:rPr>
          <w:lang w:val="mk-MK"/>
        </w:rPr>
        <w:t xml:space="preserve"> 3.2 и 3.3 од овој прашалник. Овие информации се од </w:t>
      </w:r>
      <w:r w:rsidRPr="008662BF">
        <w:rPr>
          <w:lang w:val="mk-MK"/>
        </w:rPr>
        <w:lastRenderedPageBreak/>
        <w:t>особен интерес за утврдување на релевантноста на истражувачката инфраструктура на меѓународно ниво.</w:t>
      </w:r>
    </w:p>
    <w:p w14:paraId="108E6A3D" w14:textId="77777777" w:rsidR="00D155AF" w:rsidRPr="008662BF" w:rsidRDefault="00D155AF" w:rsidP="00D155AF">
      <w:pPr>
        <w:jc w:val="both"/>
        <w:rPr>
          <w:lang w:val="mk-MK"/>
        </w:rPr>
      </w:pPr>
      <w:r w:rsidRPr="008662BF">
        <w:rPr>
          <w:lang w:val="mk-MK"/>
        </w:rPr>
        <w:t xml:space="preserve">Информациите за соработката со други истражувачки институции се важни за </w:t>
      </w:r>
      <w:r w:rsidR="006B7662">
        <w:rPr>
          <w:lang w:val="mk-MK"/>
        </w:rPr>
        <w:t xml:space="preserve">утврдување </w:t>
      </w:r>
      <w:r w:rsidRPr="008662BF">
        <w:rPr>
          <w:lang w:val="mk-MK"/>
        </w:rPr>
        <w:t>на релевантноста на истражувачката инфраструктура, како и на нивото на интеракција со другите вклучени страни во истражувачката заедница. Во дел</w:t>
      </w:r>
      <w:r w:rsidR="002940D7">
        <w:rPr>
          <w:lang w:val="mk-MK"/>
        </w:rPr>
        <w:t>от</w:t>
      </w:r>
      <w:r w:rsidRPr="008662BF">
        <w:rPr>
          <w:lang w:val="mk-MK"/>
        </w:rPr>
        <w:t xml:space="preserve"> 3.2 треба да се наведат сите меѓународни истражувачки проекти, партнерства или договори во кои учествувала </w:t>
      </w:r>
      <w:r w:rsidR="006B7662" w:rsidRPr="008662BF">
        <w:rPr>
          <w:lang w:val="mk-MK"/>
        </w:rPr>
        <w:t xml:space="preserve">истражувачката инфраструктура </w:t>
      </w:r>
      <w:r w:rsidRPr="008662BF">
        <w:rPr>
          <w:lang w:val="mk-MK"/>
        </w:rPr>
        <w:t>во последните 10 години. Имајте предвид дека треба да се внесат само истра</w:t>
      </w:r>
      <w:r w:rsidR="006B7662">
        <w:rPr>
          <w:lang w:val="mk-MK"/>
        </w:rPr>
        <w:t xml:space="preserve">жувачките проекти во рамките на </w:t>
      </w:r>
      <w:r w:rsidRPr="008662BF">
        <w:rPr>
          <w:lang w:val="mk-MK"/>
        </w:rPr>
        <w:t>кои се користела опремата за истражување. Во дел</w:t>
      </w:r>
      <w:r w:rsidR="002940D7">
        <w:rPr>
          <w:lang w:val="mk-MK"/>
        </w:rPr>
        <w:t>от</w:t>
      </w:r>
      <w:r w:rsidRPr="008662BF">
        <w:rPr>
          <w:lang w:val="mk-MK"/>
        </w:rPr>
        <w:t xml:space="preserve"> 3.2.1 треба да се внесат информациите за потенцијалната интеграција во меѓународните или </w:t>
      </w:r>
      <w:r w:rsidR="002940D7">
        <w:rPr>
          <w:lang w:val="mk-MK"/>
        </w:rPr>
        <w:t xml:space="preserve">во </w:t>
      </w:r>
      <w:r w:rsidRPr="008662BF">
        <w:rPr>
          <w:lang w:val="mk-MK"/>
        </w:rPr>
        <w:t xml:space="preserve">паневропските истражувачки инфраструктури, доколку ги има. </w:t>
      </w:r>
    </w:p>
    <w:p w14:paraId="428E65C6" w14:textId="77777777" w:rsidR="007947BF" w:rsidRPr="008662BF" w:rsidRDefault="00F966A6" w:rsidP="007947BF">
      <w:pPr>
        <w:jc w:val="both"/>
        <w:rPr>
          <w:lang w:val="mk-MK"/>
        </w:rPr>
      </w:pPr>
      <w:r w:rsidRPr="008662BF">
        <w:rPr>
          <w:rFonts w:eastAsia="Calibri" w:cs="Arial"/>
          <w:b/>
          <w:lang w:val="mk-MK"/>
        </w:rPr>
        <w:t xml:space="preserve">Упатства за пополнување на дел </w:t>
      </w:r>
      <w:r w:rsidR="007947BF" w:rsidRPr="008662BF">
        <w:rPr>
          <w:b/>
          <w:lang w:val="mk-MK"/>
        </w:rPr>
        <w:t>3.3.</w:t>
      </w:r>
    </w:p>
    <w:p w14:paraId="6BE33EEF" w14:textId="74AC75BE" w:rsidR="00D155AF" w:rsidRPr="008662BF" w:rsidRDefault="00D155AF" w:rsidP="007947BF">
      <w:pPr>
        <w:jc w:val="both"/>
        <w:rPr>
          <w:lang w:val="mk-MK"/>
        </w:rPr>
      </w:pPr>
      <w:r w:rsidRPr="008662BF">
        <w:rPr>
          <w:lang w:val="mk-MK"/>
        </w:rPr>
        <w:t xml:space="preserve">Делот 3.3 се однесува на учеството во истражувачки проекти (H2020, FP7, други програми) </w:t>
      </w:r>
      <w:r w:rsidR="002940D7">
        <w:rPr>
          <w:lang w:val="mk-MK"/>
        </w:rPr>
        <w:t>чија</w:t>
      </w:r>
      <w:r w:rsidRPr="008662BF">
        <w:rPr>
          <w:lang w:val="mk-MK"/>
        </w:rPr>
        <w:t xml:space="preserve"> цел </w:t>
      </w:r>
      <w:r w:rsidR="002940D7">
        <w:rPr>
          <w:lang w:val="mk-MK"/>
        </w:rPr>
        <w:t xml:space="preserve">е </w:t>
      </w:r>
      <w:r w:rsidRPr="008662BF">
        <w:rPr>
          <w:lang w:val="mk-MK"/>
        </w:rPr>
        <w:t xml:space="preserve">воспоставување на истражувачки инфраструктури на национално или </w:t>
      </w:r>
      <w:r w:rsidR="002940D7">
        <w:rPr>
          <w:lang w:val="mk-MK"/>
        </w:rPr>
        <w:t xml:space="preserve">на </w:t>
      </w:r>
      <w:r w:rsidRPr="008662BF">
        <w:rPr>
          <w:lang w:val="mk-MK"/>
        </w:rPr>
        <w:t xml:space="preserve">меѓународно ниво. </w:t>
      </w:r>
    </w:p>
    <w:p w14:paraId="07F24725" w14:textId="77777777" w:rsidR="007947BF" w:rsidRPr="008662BF" w:rsidRDefault="00F966A6" w:rsidP="007947BF">
      <w:pPr>
        <w:jc w:val="both"/>
        <w:rPr>
          <w:lang w:val="mk-MK"/>
        </w:rPr>
      </w:pPr>
      <w:r w:rsidRPr="008662BF">
        <w:rPr>
          <w:rFonts w:eastAsia="Calibri" w:cs="Arial"/>
          <w:b/>
          <w:lang w:val="mk-MK"/>
        </w:rPr>
        <w:t xml:space="preserve">Упатства за пополнување на дел </w:t>
      </w:r>
      <w:r w:rsidR="007947BF" w:rsidRPr="008662BF">
        <w:rPr>
          <w:b/>
          <w:lang w:val="mk-MK"/>
        </w:rPr>
        <w:t>3.4.</w:t>
      </w:r>
    </w:p>
    <w:p w14:paraId="74A014B4" w14:textId="77777777" w:rsidR="00D155AF" w:rsidRPr="008662BF" w:rsidRDefault="00D155AF" w:rsidP="007947BF">
      <w:pPr>
        <w:jc w:val="both"/>
        <w:rPr>
          <w:lang w:val="mk-MK"/>
        </w:rPr>
      </w:pPr>
      <w:r w:rsidRPr="008662BF">
        <w:rPr>
          <w:lang w:val="mk-MK"/>
        </w:rPr>
        <w:t xml:space="preserve">Последниот дел (3.4) се однесува на идниот план за управување со </w:t>
      </w:r>
      <w:r w:rsidR="006B7662">
        <w:rPr>
          <w:lang w:val="mk-MK"/>
        </w:rPr>
        <w:t>истражувачката инфраструктур</w:t>
      </w:r>
      <w:r w:rsidR="002940D7">
        <w:rPr>
          <w:lang w:val="mk-MK"/>
        </w:rPr>
        <w:t>а</w:t>
      </w:r>
      <w:r w:rsidRPr="008662BF">
        <w:rPr>
          <w:lang w:val="mk-MK"/>
        </w:rPr>
        <w:t xml:space="preserve">. Испитаникот треба накратко да ги објасни идните инвестиции, интеграцијата во пошироките ИИ и </w:t>
      </w:r>
      <w:r w:rsidR="006373B2">
        <w:rPr>
          <w:lang w:val="mk-MK"/>
        </w:rPr>
        <w:t xml:space="preserve">во </w:t>
      </w:r>
      <w:r w:rsidRPr="008662BF">
        <w:rPr>
          <w:lang w:val="mk-MK"/>
        </w:rPr>
        <w:t>другите релевантни информации кои</w:t>
      </w:r>
      <w:r w:rsidR="006373B2">
        <w:rPr>
          <w:lang w:val="mk-MK"/>
        </w:rPr>
        <w:t>што</w:t>
      </w:r>
      <w:r w:rsidRPr="008662BF">
        <w:rPr>
          <w:lang w:val="mk-MK"/>
        </w:rPr>
        <w:t xml:space="preserve"> се сметаат за важни.</w:t>
      </w:r>
    </w:p>
    <w:p w14:paraId="3C473B6C" w14:textId="77777777" w:rsidR="007947BF" w:rsidRPr="008662BF" w:rsidRDefault="007947BF" w:rsidP="007947BF">
      <w:pPr>
        <w:rPr>
          <w:lang w:val="mk-MK"/>
        </w:rPr>
      </w:pPr>
    </w:p>
    <w:p w14:paraId="13BF65CB" w14:textId="77777777" w:rsidR="007947BF" w:rsidRPr="008662BF" w:rsidRDefault="007947BF" w:rsidP="007947BF">
      <w:pPr>
        <w:rPr>
          <w:lang w:val="mk-MK"/>
        </w:rPr>
      </w:pPr>
    </w:p>
    <w:p w14:paraId="30B0E222" w14:textId="77777777" w:rsidR="007947BF" w:rsidRPr="008662BF" w:rsidRDefault="007947BF" w:rsidP="007947BF">
      <w:pPr>
        <w:rPr>
          <w:lang w:val="mk-MK"/>
        </w:rPr>
      </w:pPr>
    </w:p>
    <w:p w14:paraId="0CDFED79" w14:textId="77777777" w:rsidR="000F5DAB" w:rsidRPr="008662BF" w:rsidRDefault="000F5DAB">
      <w:pPr>
        <w:rPr>
          <w:lang w:val="mk-MK"/>
        </w:rPr>
      </w:pPr>
    </w:p>
    <w:sectPr w:rsidR="000F5DAB" w:rsidRPr="008662BF" w:rsidSect="004B2A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90D79" w14:textId="77777777" w:rsidR="001A55EE" w:rsidRDefault="001A55EE" w:rsidP="007947BF">
      <w:pPr>
        <w:spacing w:after="0" w:line="240" w:lineRule="auto"/>
      </w:pPr>
      <w:r>
        <w:separator/>
      </w:r>
    </w:p>
  </w:endnote>
  <w:endnote w:type="continuationSeparator" w:id="0">
    <w:p w14:paraId="56FA687C" w14:textId="77777777" w:rsidR="001A55EE" w:rsidRDefault="001A55EE" w:rsidP="00794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316414"/>
      <w:docPartObj>
        <w:docPartGallery w:val="Page Numbers (Bottom of Page)"/>
        <w:docPartUnique/>
      </w:docPartObj>
    </w:sdtPr>
    <w:sdtEndPr>
      <w:rPr>
        <w:noProof/>
      </w:rPr>
    </w:sdtEndPr>
    <w:sdtContent>
      <w:p w14:paraId="206DED17" w14:textId="77777777" w:rsidR="002940D7" w:rsidRDefault="00313C62">
        <w:pPr>
          <w:pStyle w:val="Footer"/>
          <w:jc w:val="center"/>
        </w:pPr>
        <w:r>
          <w:fldChar w:fldCharType="begin"/>
        </w:r>
        <w:r>
          <w:instrText xml:space="preserve"> PAGE   \* MERGEFORMAT </w:instrText>
        </w:r>
        <w:r>
          <w:fldChar w:fldCharType="separate"/>
        </w:r>
        <w:r w:rsidR="00D70527">
          <w:rPr>
            <w:noProof/>
          </w:rPr>
          <w:t>7</w:t>
        </w:r>
        <w:r>
          <w:rPr>
            <w:noProof/>
          </w:rPr>
          <w:fldChar w:fldCharType="end"/>
        </w:r>
      </w:p>
    </w:sdtContent>
  </w:sdt>
  <w:p w14:paraId="342D4859" w14:textId="77777777" w:rsidR="002940D7" w:rsidRDefault="0029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6E1C" w14:textId="77777777" w:rsidR="001A55EE" w:rsidRDefault="001A55EE" w:rsidP="007947BF">
      <w:pPr>
        <w:spacing w:after="0" w:line="240" w:lineRule="auto"/>
      </w:pPr>
      <w:r>
        <w:separator/>
      </w:r>
    </w:p>
  </w:footnote>
  <w:footnote w:type="continuationSeparator" w:id="0">
    <w:p w14:paraId="512A34AC" w14:textId="77777777" w:rsidR="001A55EE" w:rsidRDefault="001A55EE" w:rsidP="007947BF">
      <w:pPr>
        <w:spacing w:after="0" w:line="240" w:lineRule="auto"/>
      </w:pPr>
      <w:r>
        <w:continuationSeparator/>
      </w:r>
    </w:p>
  </w:footnote>
  <w:footnote w:id="1">
    <w:p w14:paraId="421DD5DF" w14:textId="77777777" w:rsidR="002940D7" w:rsidRPr="00255660" w:rsidRDefault="002940D7" w:rsidP="00A60A37">
      <w:pPr>
        <w:pStyle w:val="FootnoteText"/>
      </w:pPr>
      <w:r w:rsidRPr="00255660">
        <w:rPr>
          <w:rStyle w:val="FootnoteReference"/>
        </w:rPr>
        <w:footnoteRef/>
      </w:r>
      <w:r w:rsidRPr="00392406">
        <w:t>ЕК (2016). Европско поглавје за пристап до истражувачки инфраструктури, Генерален директорат за истражување и иновации, Брисел</w:t>
      </w:r>
      <w:r>
        <w:rPr>
          <w:lang w:val="mk-MK"/>
        </w:rPr>
        <w:t>.</w:t>
      </w:r>
    </w:p>
  </w:footnote>
  <w:footnote w:id="2">
    <w:p w14:paraId="0DA2B12B" w14:textId="77777777" w:rsidR="002940D7" w:rsidRPr="00255660" w:rsidRDefault="002940D7" w:rsidP="000C6BE9">
      <w:pPr>
        <w:pStyle w:val="FootnoteText"/>
      </w:pPr>
      <w:r w:rsidRPr="00255660">
        <w:rPr>
          <w:rStyle w:val="FootnoteReference"/>
        </w:rPr>
        <w:footnoteRef/>
      </w:r>
      <w:r w:rsidRPr="000C6BE9">
        <w:t>Регулатива (ЕУ) бр. 1291/2013 од 11 декември 2013 година - „Воспоставување на Хоризонт 2020 – Рамковна програма за и</w:t>
      </w:r>
      <w:r>
        <w:t>стражување и иновации 2014-2020</w:t>
      </w:r>
      <w:r w:rsidRPr="00255660">
        <w:t>”</w:t>
      </w:r>
    </w:p>
  </w:footnote>
  <w:footnote w:id="3">
    <w:p w14:paraId="35737A57" w14:textId="77777777" w:rsidR="002940D7" w:rsidRPr="00255660" w:rsidRDefault="002940D7" w:rsidP="00697CA0">
      <w:pPr>
        <w:pStyle w:val="FootnoteText"/>
      </w:pPr>
      <w:r w:rsidRPr="00255660">
        <w:rPr>
          <w:rStyle w:val="FootnoteReference"/>
        </w:rPr>
        <w:footnoteRef/>
      </w:r>
      <w:hyperlink r:id="rId1" w:history="1">
        <w:r w:rsidRPr="00255660">
          <w:rPr>
            <w:rStyle w:val="Hyperlink"/>
          </w:rPr>
          <w:t>http://ec.europa.eu/research/esfri</w:t>
        </w:r>
      </w:hyperlink>
    </w:p>
  </w:footnote>
  <w:footnote w:id="4">
    <w:p w14:paraId="2A292C88" w14:textId="77777777" w:rsidR="002940D7" w:rsidRPr="00EA6DD8" w:rsidRDefault="002940D7" w:rsidP="006B289F">
      <w:pPr>
        <w:pStyle w:val="FootnoteText"/>
      </w:pPr>
      <w:r w:rsidRPr="00255660">
        <w:rPr>
          <w:rStyle w:val="FootnoteReference"/>
        </w:rPr>
        <w:footnoteRef/>
      </w:r>
      <w:hyperlink r:id="rId2" w:history="1">
        <w:r w:rsidRPr="00EA6DD8">
          <w:rPr>
            <w:rStyle w:val="Hyperlink"/>
          </w:rPr>
          <w:t>https://data.worldbank.org/indicator/GB.XPD.RSDV.GD.ZS?locations=MK</w:t>
        </w:r>
      </w:hyperlink>
    </w:p>
  </w:footnote>
  <w:footnote w:id="5">
    <w:p w14:paraId="089E177B" w14:textId="67AF826C" w:rsidR="002940D7" w:rsidRPr="00EA6DD8" w:rsidRDefault="002940D7" w:rsidP="000E3434">
      <w:pPr>
        <w:pStyle w:val="FootnoteText"/>
      </w:pPr>
      <w:r w:rsidRPr="00EA6DD8">
        <w:rPr>
          <w:rStyle w:val="FootnoteReference"/>
        </w:rPr>
        <w:footnoteRef/>
      </w:r>
      <w:r w:rsidRPr="00EA6DD8">
        <w:t xml:space="preserve"> Извор: Државен завод за статистика на Република </w:t>
      </w:r>
      <w:r w:rsidR="00417197">
        <w:t>Република Северна Македонија</w:t>
      </w:r>
      <w:r w:rsidRPr="00EA6DD8">
        <w:t xml:space="preserve"> </w:t>
      </w:r>
      <w:r>
        <w:rPr>
          <w:rFonts w:cstheme="minorHAnsi"/>
        </w:rPr>
        <w:t>–</w:t>
      </w:r>
      <w:r w:rsidRPr="00EA6DD8">
        <w:t xml:space="preserve"> Истражување и развој, 2020</w:t>
      </w:r>
    </w:p>
  </w:footnote>
  <w:footnote w:id="6">
    <w:p w14:paraId="33F77465" w14:textId="77777777" w:rsidR="002940D7" w:rsidRPr="00A21742" w:rsidRDefault="002940D7" w:rsidP="00874D8E">
      <w:pPr>
        <w:pStyle w:val="FootnoteText"/>
      </w:pPr>
      <w:r>
        <w:rPr>
          <w:rStyle w:val="FootnoteReference"/>
        </w:rPr>
        <w:footnoteRef/>
      </w:r>
      <w:r w:rsidRPr="00874D8E">
        <w:t>Оваа ознака не е во спротивност со позициите за статусот и е во согласност со Резолуцијата 1244/1999 на СБ ОН и</w:t>
      </w:r>
      <w:r>
        <w:rPr>
          <w:lang w:val="mk-MK"/>
        </w:rPr>
        <w:t xml:space="preserve"> со</w:t>
      </w:r>
      <w:r w:rsidRPr="00874D8E">
        <w:t xml:space="preserve"> мислењето на МСП за прогласувањето</w:t>
      </w:r>
      <w:r>
        <w:rPr>
          <w:lang w:val="mk-MK"/>
        </w:rPr>
        <w:t xml:space="preserve"> на</w:t>
      </w:r>
      <w:r w:rsidRPr="00874D8E">
        <w:t xml:space="preserve"> независност</w:t>
      </w:r>
      <w:r>
        <w:rPr>
          <w:lang w:val="mk-MK"/>
        </w:rPr>
        <w:t>а</w:t>
      </w:r>
      <w:r w:rsidRPr="00874D8E">
        <w:t xml:space="preserve"> на Косово.</w:t>
      </w:r>
    </w:p>
  </w:footnote>
  <w:footnote w:id="7">
    <w:p w14:paraId="37390EB3" w14:textId="77777777" w:rsidR="002940D7" w:rsidRPr="00255660" w:rsidRDefault="002940D7" w:rsidP="00F96B81">
      <w:pPr>
        <w:pStyle w:val="FootnoteText"/>
      </w:pPr>
      <w:r w:rsidRPr="00255660">
        <w:rPr>
          <w:rStyle w:val="FootnoteReference"/>
        </w:rPr>
        <w:footnoteRef/>
      </w:r>
      <w:r w:rsidRPr="00392406">
        <w:t>ЕК (2016). Европско поглавје за пристап до истражувачки инфраструктури, Генерален директорат за истражување и иновации, Брисел</w:t>
      </w:r>
      <w:r>
        <w:rPr>
          <w:lang w:val="mk-MK"/>
        </w:rPr>
        <w:t>.</w:t>
      </w:r>
      <w:r w:rsidRPr="0039240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AB39" w14:textId="77777777" w:rsidR="002940D7" w:rsidRDefault="002940D7" w:rsidP="004B2AB0">
    <w:pPr>
      <w:pStyle w:val="Header"/>
      <w:tabs>
        <w:tab w:val="clear" w:pos="4536"/>
        <w:tab w:val="clear" w:pos="9072"/>
        <w:tab w:val="left" w:pos="5505"/>
      </w:tabs>
    </w:pPr>
    <w:r>
      <w:rPr>
        <w:noProof/>
      </w:rPr>
      <w:drawing>
        <wp:inline distT="0" distB="0" distL="0" distR="0" wp14:anchorId="6585F8B3" wp14:editId="5FA2E90E">
          <wp:extent cx="1847850" cy="92638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926389"/>
                  </a:xfrm>
                  <a:prstGeom prst="rect">
                    <a:avLst/>
                  </a:prstGeom>
                  <a:noFill/>
                  <a:ln>
                    <a:noFill/>
                  </a:ln>
                </pic:spPr>
              </pic:pic>
            </a:graphicData>
          </a:graphic>
        </wp:inline>
      </w:drawing>
    </w:r>
    <w:r>
      <w:tab/>
    </w:r>
    <w:r>
      <w:rPr>
        <w:noProof/>
      </w:rPr>
      <w:drawing>
        <wp:inline distT="0" distB="0" distL="0" distR="0" wp14:anchorId="07D3ABDC" wp14:editId="5E74CE5E">
          <wp:extent cx="1190334" cy="1019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
                    <a:extLst>
                      <a:ext uri="{28A0092B-C50C-407E-A947-70E740481C1C}">
                        <a14:useLocalDpi xmlns:a14="http://schemas.microsoft.com/office/drawing/2010/main" val="0"/>
                      </a:ext>
                    </a:extLst>
                  </a:blip>
                  <a:stretch>
                    <a:fillRect/>
                  </a:stretch>
                </pic:blipFill>
                <pic:spPr>
                  <a:xfrm>
                    <a:off x="0" y="0"/>
                    <a:ext cx="1191916" cy="1020530"/>
                  </a:xfrm>
                  <a:prstGeom prst="rect">
                    <a:avLst/>
                  </a:prstGeom>
                </pic:spPr>
              </pic:pic>
            </a:graphicData>
          </a:graphic>
        </wp:inline>
      </w:drawing>
    </w:r>
  </w:p>
  <w:p w14:paraId="1C90A784" w14:textId="77777777" w:rsidR="002940D7" w:rsidRDefault="00294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39FB"/>
    <w:multiLevelType w:val="hybridMultilevel"/>
    <w:tmpl w:val="2280F404"/>
    <w:lvl w:ilvl="0" w:tplc="057CD520">
      <w:start w:val="11"/>
      <w:numFmt w:val="bullet"/>
      <w:lvlText w:val="•"/>
      <w:lvlJc w:val="left"/>
      <w:pPr>
        <w:ind w:left="1065" w:hanging="705"/>
      </w:pPr>
      <w:rPr>
        <w:rFonts w:ascii="Calibri" w:eastAsiaTheme="minorHAnsi" w:hAnsi="Calibri" w:cstheme="minorBidi" w:hint="default"/>
      </w:rPr>
    </w:lvl>
    <w:lvl w:ilvl="1" w:tplc="C3B21DE2">
      <w:numFmt w:val="bullet"/>
      <w:lvlText w:val="-"/>
      <w:lvlJc w:val="left"/>
      <w:pPr>
        <w:ind w:left="1785" w:hanging="705"/>
      </w:pPr>
      <w:rPr>
        <w:rFonts w:ascii="Calibri" w:eastAsiaTheme="minorHAnsi" w:hAnsi="Calibri" w:cstheme="minorBid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6786199"/>
    <w:multiLevelType w:val="hybridMultilevel"/>
    <w:tmpl w:val="C65C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1623D"/>
    <w:multiLevelType w:val="hybridMultilevel"/>
    <w:tmpl w:val="27EABC40"/>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AA74DD7"/>
    <w:multiLevelType w:val="hybridMultilevel"/>
    <w:tmpl w:val="138059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B614024"/>
    <w:multiLevelType w:val="hybridMultilevel"/>
    <w:tmpl w:val="F02AFF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0C682CA5"/>
    <w:multiLevelType w:val="hybridMultilevel"/>
    <w:tmpl w:val="D848FF4E"/>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71A65EB"/>
    <w:multiLevelType w:val="multilevel"/>
    <w:tmpl w:val="3050E272"/>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4D11FF"/>
    <w:multiLevelType w:val="hybridMultilevel"/>
    <w:tmpl w:val="5F8CDA00"/>
    <w:lvl w:ilvl="0" w:tplc="3E12CCD8">
      <w:start w:val="4"/>
      <w:numFmt w:val="bullet"/>
      <w:lvlText w:val="•"/>
      <w:lvlJc w:val="left"/>
      <w:pPr>
        <w:ind w:left="720" w:hanging="360"/>
      </w:pPr>
      <w:rPr>
        <w:rFonts w:ascii="Calibri" w:eastAsiaTheme="minorHAnsi" w:hAnsi="Calibri" w:cstheme="minorBidi" w:hint="default"/>
      </w:rPr>
    </w:lvl>
    <w:lvl w:ilvl="1" w:tplc="B6BA917C">
      <w:numFmt w:val="bullet"/>
      <w:lvlText w:val="–"/>
      <w:lvlJc w:val="left"/>
      <w:pPr>
        <w:ind w:left="1440" w:hanging="360"/>
      </w:pPr>
      <w:rPr>
        <w:rFonts w:ascii="Calibri" w:eastAsia="Calibri" w:hAnsi="Calibri"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B5F5280"/>
    <w:multiLevelType w:val="hybridMultilevel"/>
    <w:tmpl w:val="7C9CEB2E"/>
    <w:lvl w:ilvl="0" w:tplc="057CD520">
      <w:start w:val="11"/>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BA716AC"/>
    <w:multiLevelType w:val="hybridMultilevel"/>
    <w:tmpl w:val="CF9661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1BC871C8"/>
    <w:multiLevelType w:val="hybridMultilevel"/>
    <w:tmpl w:val="B2ECA66C"/>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C756EF8"/>
    <w:multiLevelType w:val="hybridMultilevel"/>
    <w:tmpl w:val="CF96289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1EA67ACB"/>
    <w:multiLevelType w:val="hybridMultilevel"/>
    <w:tmpl w:val="17C66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66AC7"/>
    <w:multiLevelType w:val="hybridMultilevel"/>
    <w:tmpl w:val="D4507F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AF759E"/>
    <w:multiLevelType w:val="hybridMultilevel"/>
    <w:tmpl w:val="EEA4AE14"/>
    <w:lvl w:ilvl="0" w:tplc="241A0001">
      <w:start w:val="1"/>
      <w:numFmt w:val="bullet"/>
      <w:lvlText w:val=""/>
      <w:lvlJc w:val="left"/>
      <w:pPr>
        <w:ind w:left="720" w:hanging="360"/>
      </w:pPr>
      <w:rPr>
        <w:rFonts w:ascii="Symbol" w:hAnsi="Symbol" w:hint="default"/>
      </w:rPr>
    </w:lvl>
    <w:lvl w:ilvl="1" w:tplc="BF9EBD9E">
      <w:numFmt w:val="bullet"/>
      <w:lvlText w:val="–"/>
      <w:lvlJc w:val="left"/>
      <w:pPr>
        <w:ind w:left="1440" w:hanging="360"/>
      </w:pPr>
      <w:rPr>
        <w:rFonts w:ascii="Calibri" w:eastAsiaTheme="minorHAnsi" w:hAnsi="Calibri" w:cstheme="minorBid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1FE50FA"/>
    <w:multiLevelType w:val="hybridMultilevel"/>
    <w:tmpl w:val="7D720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67DB8"/>
    <w:multiLevelType w:val="hybridMultilevel"/>
    <w:tmpl w:val="C51C685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227F1B58"/>
    <w:multiLevelType w:val="hybridMultilevel"/>
    <w:tmpl w:val="72C6A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2D7464F"/>
    <w:multiLevelType w:val="hybridMultilevel"/>
    <w:tmpl w:val="18C4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8C6170"/>
    <w:multiLevelType w:val="hybridMultilevel"/>
    <w:tmpl w:val="9A8E9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C147F1"/>
    <w:multiLevelType w:val="hybridMultilevel"/>
    <w:tmpl w:val="5B62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261F9"/>
    <w:multiLevelType w:val="hybridMultilevel"/>
    <w:tmpl w:val="95C670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25CE0A1E"/>
    <w:multiLevelType w:val="hybridMultilevel"/>
    <w:tmpl w:val="88D8418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26CC161E"/>
    <w:multiLevelType w:val="hybridMultilevel"/>
    <w:tmpl w:val="5F84C030"/>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8092A20"/>
    <w:multiLevelType w:val="multilevel"/>
    <w:tmpl w:val="857E9298"/>
    <w:lvl w:ilvl="0">
      <w:start w:val="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9816A84"/>
    <w:multiLevelType w:val="hybridMultilevel"/>
    <w:tmpl w:val="4A341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B40C5E"/>
    <w:multiLevelType w:val="hybridMultilevel"/>
    <w:tmpl w:val="26E6C914"/>
    <w:lvl w:ilvl="0" w:tplc="3E12CCD8">
      <w:start w:val="4"/>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13F0217"/>
    <w:multiLevelType w:val="hybridMultilevel"/>
    <w:tmpl w:val="2730C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80E32BC"/>
    <w:multiLevelType w:val="hybridMultilevel"/>
    <w:tmpl w:val="0D80691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8251441"/>
    <w:multiLevelType w:val="hybridMultilevel"/>
    <w:tmpl w:val="BC6AE40E"/>
    <w:lvl w:ilvl="0" w:tplc="057CD520">
      <w:start w:val="11"/>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388C14F0"/>
    <w:multiLevelType w:val="multilevel"/>
    <w:tmpl w:val="F168CF74"/>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9B64A1E"/>
    <w:multiLevelType w:val="hybridMultilevel"/>
    <w:tmpl w:val="196CB25C"/>
    <w:lvl w:ilvl="0" w:tplc="81064B74">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3DD60314"/>
    <w:multiLevelType w:val="hybridMultilevel"/>
    <w:tmpl w:val="A524C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1C448E"/>
    <w:multiLevelType w:val="hybridMultilevel"/>
    <w:tmpl w:val="750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4B659C"/>
    <w:multiLevelType w:val="hybridMultilevel"/>
    <w:tmpl w:val="977008BE"/>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3F6D7647"/>
    <w:multiLevelType w:val="hybridMultilevel"/>
    <w:tmpl w:val="9098AC14"/>
    <w:lvl w:ilvl="0" w:tplc="9E56C85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15:restartNumberingAfterBreak="0">
    <w:nsid w:val="438802E9"/>
    <w:multiLevelType w:val="hybridMultilevel"/>
    <w:tmpl w:val="B7781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4E07BA2"/>
    <w:multiLevelType w:val="hybridMultilevel"/>
    <w:tmpl w:val="7FD479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46F90E99"/>
    <w:multiLevelType w:val="hybridMultilevel"/>
    <w:tmpl w:val="634E4748"/>
    <w:lvl w:ilvl="0" w:tplc="057CD520">
      <w:start w:val="11"/>
      <w:numFmt w:val="bullet"/>
      <w:lvlText w:val="•"/>
      <w:lvlJc w:val="left"/>
      <w:pPr>
        <w:ind w:left="1065" w:hanging="705"/>
      </w:pPr>
      <w:rPr>
        <w:rFonts w:ascii="Calibri" w:eastAsiaTheme="minorHAnsi" w:hAnsi="Calibri" w:cstheme="minorBidi" w:hint="default"/>
      </w:rPr>
    </w:lvl>
    <w:lvl w:ilvl="1" w:tplc="241A0001">
      <w:start w:val="1"/>
      <w:numFmt w:val="bullet"/>
      <w:lvlText w:val=""/>
      <w:lvlJc w:val="left"/>
      <w:pPr>
        <w:ind w:left="1785" w:hanging="705"/>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0">
    <w:nsid w:val="49E653FD"/>
    <w:multiLevelType w:val="hybridMultilevel"/>
    <w:tmpl w:val="557CD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4E4856B6"/>
    <w:multiLevelType w:val="hybridMultilevel"/>
    <w:tmpl w:val="AEB836B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51946BCA"/>
    <w:multiLevelType w:val="hybridMultilevel"/>
    <w:tmpl w:val="79A2A886"/>
    <w:lvl w:ilvl="0" w:tplc="057CD520">
      <w:start w:val="11"/>
      <w:numFmt w:val="bullet"/>
      <w:lvlText w:val="•"/>
      <w:lvlJc w:val="left"/>
      <w:pPr>
        <w:ind w:left="1065" w:hanging="705"/>
      </w:pPr>
      <w:rPr>
        <w:rFonts w:ascii="Calibri" w:eastAsiaTheme="minorHAnsi" w:hAnsi="Calibri" w:cstheme="minorBidi" w:hint="default"/>
      </w:rPr>
    </w:lvl>
    <w:lvl w:ilvl="1" w:tplc="EC8AFC3A">
      <w:numFmt w:val="bullet"/>
      <w:lvlText w:val="-"/>
      <w:lvlJc w:val="left"/>
      <w:pPr>
        <w:ind w:left="1785" w:hanging="705"/>
      </w:pPr>
      <w:rPr>
        <w:rFonts w:ascii="Calibri" w:eastAsiaTheme="minorHAnsi" w:hAnsi="Calibri" w:cstheme="minorBidi"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15:restartNumberingAfterBreak="0">
    <w:nsid w:val="51BB2D23"/>
    <w:multiLevelType w:val="hybridMultilevel"/>
    <w:tmpl w:val="8E76BE6E"/>
    <w:lvl w:ilvl="0" w:tplc="3E12CCD8">
      <w:start w:val="4"/>
      <w:numFmt w:val="bullet"/>
      <w:lvlText w:val="•"/>
      <w:lvlJc w:val="left"/>
      <w:pPr>
        <w:ind w:left="720" w:hanging="360"/>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56F06DD0"/>
    <w:multiLevelType w:val="hybridMultilevel"/>
    <w:tmpl w:val="2F788DC0"/>
    <w:lvl w:ilvl="0" w:tplc="81064B74">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15:restartNumberingAfterBreak="0">
    <w:nsid w:val="574E23B2"/>
    <w:multiLevelType w:val="hybridMultilevel"/>
    <w:tmpl w:val="180AB238"/>
    <w:lvl w:ilvl="0" w:tplc="0809000F">
      <w:start w:val="1"/>
      <w:numFmt w:val="decimal"/>
      <w:lvlText w:val="%1."/>
      <w:lvlJc w:val="left"/>
      <w:pPr>
        <w:ind w:left="36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5A0234F0"/>
    <w:multiLevelType w:val="hybridMultilevel"/>
    <w:tmpl w:val="262600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15:restartNumberingAfterBreak="0">
    <w:nsid w:val="5B3E2736"/>
    <w:multiLevelType w:val="hybridMultilevel"/>
    <w:tmpl w:val="D62CDD28"/>
    <w:lvl w:ilvl="0" w:tplc="057CD520">
      <w:start w:val="11"/>
      <w:numFmt w:val="bullet"/>
      <w:lvlText w:val="•"/>
      <w:lvlJc w:val="left"/>
      <w:pPr>
        <w:ind w:left="1410" w:hanging="705"/>
      </w:pPr>
      <w:rPr>
        <w:rFonts w:ascii="Calibri" w:eastAsiaTheme="minorHAnsi" w:hAnsi="Calibri" w:cstheme="minorBidi" w:hint="default"/>
      </w:rPr>
    </w:lvl>
    <w:lvl w:ilvl="1" w:tplc="241A0001">
      <w:start w:val="1"/>
      <w:numFmt w:val="bullet"/>
      <w:lvlText w:val=""/>
      <w:lvlJc w:val="left"/>
      <w:pPr>
        <w:ind w:left="2130" w:hanging="705"/>
      </w:pPr>
      <w:rPr>
        <w:rFonts w:ascii="Symbol" w:hAnsi="Symbol" w:hint="default"/>
      </w:rPr>
    </w:lvl>
    <w:lvl w:ilvl="2" w:tplc="241A0005" w:tentative="1">
      <w:start w:val="1"/>
      <w:numFmt w:val="bullet"/>
      <w:lvlText w:val=""/>
      <w:lvlJc w:val="left"/>
      <w:pPr>
        <w:ind w:left="2505" w:hanging="360"/>
      </w:pPr>
      <w:rPr>
        <w:rFonts w:ascii="Wingdings" w:hAnsi="Wingdings" w:hint="default"/>
      </w:rPr>
    </w:lvl>
    <w:lvl w:ilvl="3" w:tplc="241A0001" w:tentative="1">
      <w:start w:val="1"/>
      <w:numFmt w:val="bullet"/>
      <w:lvlText w:val=""/>
      <w:lvlJc w:val="left"/>
      <w:pPr>
        <w:ind w:left="3225" w:hanging="360"/>
      </w:pPr>
      <w:rPr>
        <w:rFonts w:ascii="Symbol" w:hAnsi="Symbol" w:hint="default"/>
      </w:rPr>
    </w:lvl>
    <w:lvl w:ilvl="4" w:tplc="241A0003" w:tentative="1">
      <w:start w:val="1"/>
      <w:numFmt w:val="bullet"/>
      <w:lvlText w:val="o"/>
      <w:lvlJc w:val="left"/>
      <w:pPr>
        <w:ind w:left="3945" w:hanging="360"/>
      </w:pPr>
      <w:rPr>
        <w:rFonts w:ascii="Courier New" w:hAnsi="Courier New" w:cs="Courier New" w:hint="default"/>
      </w:rPr>
    </w:lvl>
    <w:lvl w:ilvl="5" w:tplc="241A0005" w:tentative="1">
      <w:start w:val="1"/>
      <w:numFmt w:val="bullet"/>
      <w:lvlText w:val=""/>
      <w:lvlJc w:val="left"/>
      <w:pPr>
        <w:ind w:left="4665" w:hanging="360"/>
      </w:pPr>
      <w:rPr>
        <w:rFonts w:ascii="Wingdings" w:hAnsi="Wingdings" w:hint="default"/>
      </w:rPr>
    </w:lvl>
    <w:lvl w:ilvl="6" w:tplc="241A0001" w:tentative="1">
      <w:start w:val="1"/>
      <w:numFmt w:val="bullet"/>
      <w:lvlText w:val=""/>
      <w:lvlJc w:val="left"/>
      <w:pPr>
        <w:ind w:left="5385" w:hanging="360"/>
      </w:pPr>
      <w:rPr>
        <w:rFonts w:ascii="Symbol" w:hAnsi="Symbol" w:hint="default"/>
      </w:rPr>
    </w:lvl>
    <w:lvl w:ilvl="7" w:tplc="241A0003" w:tentative="1">
      <w:start w:val="1"/>
      <w:numFmt w:val="bullet"/>
      <w:lvlText w:val="o"/>
      <w:lvlJc w:val="left"/>
      <w:pPr>
        <w:ind w:left="6105" w:hanging="360"/>
      </w:pPr>
      <w:rPr>
        <w:rFonts w:ascii="Courier New" w:hAnsi="Courier New" w:cs="Courier New" w:hint="default"/>
      </w:rPr>
    </w:lvl>
    <w:lvl w:ilvl="8" w:tplc="241A0005" w:tentative="1">
      <w:start w:val="1"/>
      <w:numFmt w:val="bullet"/>
      <w:lvlText w:val=""/>
      <w:lvlJc w:val="left"/>
      <w:pPr>
        <w:ind w:left="6825" w:hanging="360"/>
      </w:pPr>
      <w:rPr>
        <w:rFonts w:ascii="Wingdings" w:hAnsi="Wingdings" w:hint="default"/>
      </w:rPr>
    </w:lvl>
  </w:abstractNum>
  <w:abstractNum w:abstractNumId="47" w15:restartNumberingAfterBreak="0">
    <w:nsid w:val="5CB42A5D"/>
    <w:multiLevelType w:val="hybridMultilevel"/>
    <w:tmpl w:val="51C2E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DF15DD"/>
    <w:multiLevelType w:val="hybridMultilevel"/>
    <w:tmpl w:val="084E19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08F1873"/>
    <w:multiLevelType w:val="hybridMultilevel"/>
    <w:tmpl w:val="54908EAA"/>
    <w:lvl w:ilvl="0" w:tplc="057CD520">
      <w:start w:val="11"/>
      <w:numFmt w:val="bullet"/>
      <w:lvlText w:val="•"/>
      <w:lvlJc w:val="left"/>
      <w:pPr>
        <w:ind w:left="1065" w:hanging="705"/>
      </w:pPr>
      <w:rPr>
        <w:rFonts w:ascii="Calibri" w:eastAsiaTheme="minorHAnsi" w:hAnsi="Calibri"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63D5284D"/>
    <w:multiLevelType w:val="hybridMultilevel"/>
    <w:tmpl w:val="A69C5EE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15:restartNumberingAfterBreak="0">
    <w:nsid w:val="68485239"/>
    <w:multiLevelType w:val="hybridMultilevel"/>
    <w:tmpl w:val="2730C9B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68816F05"/>
    <w:multiLevelType w:val="multilevel"/>
    <w:tmpl w:val="E612EA78"/>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C46049D"/>
    <w:multiLevelType w:val="hybridMultilevel"/>
    <w:tmpl w:val="4CD8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EDC4C02"/>
    <w:multiLevelType w:val="hybridMultilevel"/>
    <w:tmpl w:val="4840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FBF4574"/>
    <w:multiLevelType w:val="hybridMultilevel"/>
    <w:tmpl w:val="6B4C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C03D79"/>
    <w:multiLevelType w:val="hybridMultilevel"/>
    <w:tmpl w:val="1A5CA0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7B262359"/>
    <w:multiLevelType w:val="hybridMultilevel"/>
    <w:tmpl w:val="98789E6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2"/>
  </w:num>
  <w:num w:numId="4">
    <w:abstractNumId w:val="10"/>
  </w:num>
  <w:num w:numId="5">
    <w:abstractNumId w:val="5"/>
  </w:num>
  <w:num w:numId="6">
    <w:abstractNumId w:val="42"/>
  </w:num>
  <w:num w:numId="7">
    <w:abstractNumId w:val="34"/>
  </w:num>
  <w:num w:numId="8">
    <w:abstractNumId w:val="51"/>
  </w:num>
  <w:num w:numId="9">
    <w:abstractNumId w:val="28"/>
  </w:num>
  <w:num w:numId="10">
    <w:abstractNumId w:val="50"/>
  </w:num>
  <w:num w:numId="11">
    <w:abstractNumId w:val="22"/>
  </w:num>
  <w:num w:numId="12">
    <w:abstractNumId w:val="4"/>
  </w:num>
  <w:num w:numId="13">
    <w:abstractNumId w:val="45"/>
  </w:num>
  <w:num w:numId="14">
    <w:abstractNumId w:val="11"/>
  </w:num>
  <w:num w:numId="15">
    <w:abstractNumId w:val="7"/>
  </w:num>
  <w:num w:numId="16">
    <w:abstractNumId w:val="6"/>
  </w:num>
  <w:num w:numId="17">
    <w:abstractNumId w:val="14"/>
  </w:num>
  <w:num w:numId="18">
    <w:abstractNumId w:val="31"/>
  </w:num>
  <w:num w:numId="19">
    <w:abstractNumId w:val="43"/>
  </w:num>
  <w:num w:numId="20">
    <w:abstractNumId w:val="18"/>
  </w:num>
  <w:num w:numId="21">
    <w:abstractNumId w:val="37"/>
  </w:num>
  <w:num w:numId="22">
    <w:abstractNumId w:val="29"/>
  </w:num>
  <w:num w:numId="23">
    <w:abstractNumId w:val="41"/>
  </w:num>
  <w:num w:numId="24">
    <w:abstractNumId w:val="49"/>
  </w:num>
  <w:num w:numId="25">
    <w:abstractNumId w:val="40"/>
  </w:num>
  <w:num w:numId="26">
    <w:abstractNumId w:val="57"/>
  </w:num>
  <w:num w:numId="27">
    <w:abstractNumId w:val="55"/>
  </w:num>
  <w:num w:numId="28">
    <w:abstractNumId w:val="20"/>
  </w:num>
  <w:num w:numId="29">
    <w:abstractNumId w:val="36"/>
  </w:num>
  <w:num w:numId="30">
    <w:abstractNumId w:val="33"/>
  </w:num>
  <w:num w:numId="31">
    <w:abstractNumId w:val="32"/>
  </w:num>
  <w:num w:numId="32">
    <w:abstractNumId w:val="19"/>
  </w:num>
  <w:num w:numId="33">
    <w:abstractNumId w:val="12"/>
  </w:num>
  <w:num w:numId="34">
    <w:abstractNumId w:val="25"/>
  </w:num>
  <w:num w:numId="35">
    <w:abstractNumId w:val="54"/>
  </w:num>
  <w:num w:numId="36">
    <w:abstractNumId w:val="46"/>
  </w:num>
  <w:num w:numId="37">
    <w:abstractNumId w:val="1"/>
  </w:num>
  <w:num w:numId="38">
    <w:abstractNumId w:val="53"/>
  </w:num>
  <w:num w:numId="39">
    <w:abstractNumId w:val="0"/>
  </w:num>
  <w:num w:numId="40">
    <w:abstractNumId w:val="8"/>
  </w:num>
  <w:num w:numId="41">
    <w:abstractNumId w:val="39"/>
  </w:num>
  <w:num w:numId="42">
    <w:abstractNumId w:val="16"/>
  </w:num>
  <w:num w:numId="43">
    <w:abstractNumId w:val="9"/>
  </w:num>
  <w:num w:numId="44">
    <w:abstractNumId w:val="26"/>
  </w:num>
  <w:num w:numId="45">
    <w:abstractNumId w:val="30"/>
  </w:num>
  <w:num w:numId="46">
    <w:abstractNumId w:val="48"/>
  </w:num>
  <w:num w:numId="47">
    <w:abstractNumId w:val="21"/>
  </w:num>
  <w:num w:numId="48">
    <w:abstractNumId w:val="56"/>
  </w:num>
  <w:num w:numId="49">
    <w:abstractNumId w:val="38"/>
  </w:num>
  <w:num w:numId="50">
    <w:abstractNumId w:val="44"/>
  </w:num>
  <w:num w:numId="51">
    <w:abstractNumId w:val="15"/>
  </w:num>
  <w:num w:numId="52">
    <w:abstractNumId w:val="17"/>
  </w:num>
  <w:num w:numId="53">
    <w:abstractNumId w:val="24"/>
  </w:num>
  <w:num w:numId="54">
    <w:abstractNumId w:val="52"/>
  </w:num>
  <w:num w:numId="55">
    <w:abstractNumId w:val="35"/>
  </w:num>
  <w:num w:numId="56">
    <w:abstractNumId w:val="47"/>
  </w:num>
  <w:num w:numId="57">
    <w:abstractNumId w:val="27"/>
  </w:num>
  <w:num w:numId="5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BF"/>
    <w:rsid w:val="00003CF7"/>
    <w:rsid w:val="0001023C"/>
    <w:rsid w:val="000153E7"/>
    <w:rsid w:val="00015F9F"/>
    <w:rsid w:val="00020EF3"/>
    <w:rsid w:val="000225C0"/>
    <w:rsid w:val="0003074F"/>
    <w:rsid w:val="000333B4"/>
    <w:rsid w:val="00033470"/>
    <w:rsid w:val="00036D9A"/>
    <w:rsid w:val="00037D45"/>
    <w:rsid w:val="000410F9"/>
    <w:rsid w:val="00045BF3"/>
    <w:rsid w:val="00046863"/>
    <w:rsid w:val="0005121C"/>
    <w:rsid w:val="00053E14"/>
    <w:rsid w:val="00054303"/>
    <w:rsid w:val="0005721E"/>
    <w:rsid w:val="00073C3A"/>
    <w:rsid w:val="000837C4"/>
    <w:rsid w:val="0008669E"/>
    <w:rsid w:val="000905FC"/>
    <w:rsid w:val="0009120B"/>
    <w:rsid w:val="00096784"/>
    <w:rsid w:val="000A0D17"/>
    <w:rsid w:val="000A66C1"/>
    <w:rsid w:val="000A6C42"/>
    <w:rsid w:val="000B7B03"/>
    <w:rsid w:val="000C5596"/>
    <w:rsid w:val="000C6BE9"/>
    <w:rsid w:val="000D487F"/>
    <w:rsid w:val="000D5B51"/>
    <w:rsid w:val="000E3434"/>
    <w:rsid w:val="000F3813"/>
    <w:rsid w:val="000F38DB"/>
    <w:rsid w:val="000F3E95"/>
    <w:rsid w:val="000F46FA"/>
    <w:rsid w:val="000F5DAB"/>
    <w:rsid w:val="001005DC"/>
    <w:rsid w:val="001117DF"/>
    <w:rsid w:val="00113742"/>
    <w:rsid w:val="00124EEA"/>
    <w:rsid w:val="00125935"/>
    <w:rsid w:val="00133AA8"/>
    <w:rsid w:val="00134842"/>
    <w:rsid w:val="00140418"/>
    <w:rsid w:val="0014303A"/>
    <w:rsid w:val="00146272"/>
    <w:rsid w:val="00146D97"/>
    <w:rsid w:val="00150604"/>
    <w:rsid w:val="001560D1"/>
    <w:rsid w:val="00171286"/>
    <w:rsid w:val="00171C0C"/>
    <w:rsid w:val="0018022C"/>
    <w:rsid w:val="0018091C"/>
    <w:rsid w:val="00181F8F"/>
    <w:rsid w:val="00182827"/>
    <w:rsid w:val="001910A9"/>
    <w:rsid w:val="00191E95"/>
    <w:rsid w:val="00193EDF"/>
    <w:rsid w:val="00194D25"/>
    <w:rsid w:val="001969A5"/>
    <w:rsid w:val="00197C99"/>
    <w:rsid w:val="001A23E6"/>
    <w:rsid w:val="001A55EE"/>
    <w:rsid w:val="001A62DC"/>
    <w:rsid w:val="001A6E3D"/>
    <w:rsid w:val="001A735C"/>
    <w:rsid w:val="001D0D19"/>
    <w:rsid w:val="001D4D17"/>
    <w:rsid w:val="001D54F2"/>
    <w:rsid w:val="001E0314"/>
    <w:rsid w:val="001E3693"/>
    <w:rsid w:val="001E3F31"/>
    <w:rsid w:val="001E7AE5"/>
    <w:rsid w:val="001F3040"/>
    <w:rsid w:val="001F4C49"/>
    <w:rsid w:val="001F5578"/>
    <w:rsid w:val="001F5CEF"/>
    <w:rsid w:val="00201302"/>
    <w:rsid w:val="00201A07"/>
    <w:rsid w:val="00213E99"/>
    <w:rsid w:val="00222524"/>
    <w:rsid w:val="002227A5"/>
    <w:rsid w:val="00225D9F"/>
    <w:rsid w:val="002323BA"/>
    <w:rsid w:val="0024342E"/>
    <w:rsid w:val="00243C5B"/>
    <w:rsid w:val="00244881"/>
    <w:rsid w:val="00247567"/>
    <w:rsid w:val="00255A94"/>
    <w:rsid w:val="00256087"/>
    <w:rsid w:val="00261876"/>
    <w:rsid w:val="00270F36"/>
    <w:rsid w:val="00274DCD"/>
    <w:rsid w:val="002776BC"/>
    <w:rsid w:val="00281A86"/>
    <w:rsid w:val="00287AFE"/>
    <w:rsid w:val="00293584"/>
    <w:rsid w:val="002940D7"/>
    <w:rsid w:val="002943B9"/>
    <w:rsid w:val="00294F0B"/>
    <w:rsid w:val="002A0BB4"/>
    <w:rsid w:val="002A107F"/>
    <w:rsid w:val="002A1338"/>
    <w:rsid w:val="002A2CA9"/>
    <w:rsid w:val="002A4246"/>
    <w:rsid w:val="002A7D82"/>
    <w:rsid w:val="002C3101"/>
    <w:rsid w:val="002D04BC"/>
    <w:rsid w:val="002D488F"/>
    <w:rsid w:val="002F0B30"/>
    <w:rsid w:val="002F6BCF"/>
    <w:rsid w:val="00300318"/>
    <w:rsid w:val="00306043"/>
    <w:rsid w:val="00307C23"/>
    <w:rsid w:val="00312CD6"/>
    <w:rsid w:val="00313C62"/>
    <w:rsid w:val="0031585B"/>
    <w:rsid w:val="00320400"/>
    <w:rsid w:val="00322A2E"/>
    <w:rsid w:val="00323893"/>
    <w:rsid w:val="0033134E"/>
    <w:rsid w:val="003322BA"/>
    <w:rsid w:val="0033550F"/>
    <w:rsid w:val="00341041"/>
    <w:rsid w:val="003425BB"/>
    <w:rsid w:val="00346105"/>
    <w:rsid w:val="00347389"/>
    <w:rsid w:val="00350760"/>
    <w:rsid w:val="00352027"/>
    <w:rsid w:val="003565C9"/>
    <w:rsid w:val="003601CC"/>
    <w:rsid w:val="00360AC4"/>
    <w:rsid w:val="00361492"/>
    <w:rsid w:val="00362DB3"/>
    <w:rsid w:val="00372CE9"/>
    <w:rsid w:val="00373524"/>
    <w:rsid w:val="00380DE2"/>
    <w:rsid w:val="00383E0A"/>
    <w:rsid w:val="003906C9"/>
    <w:rsid w:val="0039087D"/>
    <w:rsid w:val="0039088D"/>
    <w:rsid w:val="00392406"/>
    <w:rsid w:val="00392772"/>
    <w:rsid w:val="00395DDB"/>
    <w:rsid w:val="003A02F1"/>
    <w:rsid w:val="003A3EB2"/>
    <w:rsid w:val="003C0733"/>
    <w:rsid w:val="003C54FB"/>
    <w:rsid w:val="003C6D08"/>
    <w:rsid w:val="003D391A"/>
    <w:rsid w:val="003D4748"/>
    <w:rsid w:val="003D6DFE"/>
    <w:rsid w:val="003E05DA"/>
    <w:rsid w:val="003E1759"/>
    <w:rsid w:val="003E406D"/>
    <w:rsid w:val="003E729E"/>
    <w:rsid w:val="003F31C1"/>
    <w:rsid w:val="003F573F"/>
    <w:rsid w:val="003F6A0F"/>
    <w:rsid w:val="003F7535"/>
    <w:rsid w:val="003F7D14"/>
    <w:rsid w:val="00401300"/>
    <w:rsid w:val="00406AAD"/>
    <w:rsid w:val="00417197"/>
    <w:rsid w:val="00420427"/>
    <w:rsid w:val="004208A6"/>
    <w:rsid w:val="004251F2"/>
    <w:rsid w:val="00426DE8"/>
    <w:rsid w:val="004366DC"/>
    <w:rsid w:val="004368D2"/>
    <w:rsid w:val="00437DF5"/>
    <w:rsid w:val="00443715"/>
    <w:rsid w:val="00444EB0"/>
    <w:rsid w:val="00446454"/>
    <w:rsid w:val="004618BD"/>
    <w:rsid w:val="00462945"/>
    <w:rsid w:val="0046385E"/>
    <w:rsid w:val="004707A7"/>
    <w:rsid w:val="00473C93"/>
    <w:rsid w:val="00474016"/>
    <w:rsid w:val="004753FD"/>
    <w:rsid w:val="00486176"/>
    <w:rsid w:val="00490E2C"/>
    <w:rsid w:val="00494155"/>
    <w:rsid w:val="004943F1"/>
    <w:rsid w:val="00494848"/>
    <w:rsid w:val="0049485D"/>
    <w:rsid w:val="004A440F"/>
    <w:rsid w:val="004A5D81"/>
    <w:rsid w:val="004A798F"/>
    <w:rsid w:val="004B009D"/>
    <w:rsid w:val="004B2677"/>
    <w:rsid w:val="004B2AB0"/>
    <w:rsid w:val="004B3708"/>
    <w:rsid w:val="004B447E"/>
    <w:rsid w:val="004B6FD7"/>
    <w:rsid w:val="004B7BF5"/>
    <w:rsid w:val="004C3494"/>
    <w:rsid w:val="004C4377"/>
    <w:rsid w:val="004C503A"/>
    <w:rsid w:val="004C5F18"/>
    <w:rsid w:val="004D1F4A"/>
    <w:rsid w:val="004D44EA"/>
    <w:rsid w:val="004E6ED3"/>
    <w:rsid w:val="004F361C"/>
    <w:rsid w:val="0050200E"/>
    <w:rsid w:val="00520621"/>
    <w:rsid w:val="0052540B"/>
    <w:rsid w:val="00534836"/>
    <w:rsid w:val="0054039A"/>
    <w:rsid w:val="005404E9"/>
    <w:rsid w:val="00541F24"/>
    <w:rsid w:val="00557E45"/>
    <w:rsid w:val="00565D00"/>
    <w:rsid w:val="00573A1C"/>
    <w:rsid w:val="00574561"/>
    <w:rsid w:val="005748B9"/>
    <w:rsid w:val="00577722"/>
    <w:rsid w:val="00582148"/>
    <w:rsid w:val="005922FB"/>
    <w:rsid w:val="005965E8"/>
    <w:rsid w:val="005974B8"/>
    <w:rsid w:val="005B2E0A"/>
    <w:rsid w:val="005B7AA9"/>
    <w:rsid w:val="005C06A9"/>
    <w:rsid w:val="005C7180"/>
    <w:rsid w:val="005D76D7"/>
    <w:rsid w:val="005E3285"/>
    <w:rsid w:val="005E3922"/>
    <w:rsid w:val="005E5746"/>
    <w:rsid w:val="005F0AF1"/>
    <w:rsid w:val="005F332F"/>
    <w:rsid w:val="00601D86"/>
    <w:rsid w:val="0060280F"/>
    <w:rsid w:val="006070C5"/>
    <w:rsid w:val="00617E5C"/>
    <w:rsid w:val="00621FAB"/>
    <w:rsid w:val="006305C0"/>
    <w:rsid w:val="0063665B"/>
    <w:rsid w:val="006373B2"/>
    <w:rsid w:val="00637441"/>
    <w:rsid w:val="00641B64"/>
    <w:rsid w:val="0064265C"/>
    <w:rsid w:val="00653D76"/>
    <w:rsid w:val="006541E7"/>
    <w:rsid w:val="006572DC"/>
    <w:rsid w:val="006638AC"/>
    <w:rsid w:val="0066423E"/>
    <w:rsid w:val="00667DE4"/>
    <w:rsid w:val="00667E46"/>
    <w:rsid w:val="0067153F"/>
    <w:rsid w:val="00675210"/>
    <w:rsid w:val="00685609"/>
    <w:rsid w:val="00686F95"/>
    <w:rsid w:val="00690356"/>
    <w:rsid w:val="00690690"/>
    <w:rsid w:val="006916F3"/>
    <w:rsid w:val="00692DD1"/>
    <w:rsid w:val="00697CA0"/>
    <w:rsid w:val="006A2195"/>
    <w:rsid w:val="006A7A3F"/>
    <w:rsid w:val="006B0BC7"/>
    <w:rsid w:val="006B289F"/>
    <w:rsid w:val="006B418C"/>
    <w:rsid w:val="006B7662"/>
    <w:rsid w:val="006C2768"/>
    <w:rsid w:val="006C2AE9"/>
    <w:rsid w:val="006D2D06"/>
    <w:rsid w:val="006D475F"/>
    <w:rsid w:val="006E1911"/>
    <w:rsid w:val="006E6453"/>
    <w:rsid w:val="007001B8"/>
    <w:rsid w:val="00706363"/>
    <w:rsid w:val="00707CEA"/>
    <w:rsid w:val="00711B57"/>
    <w:rsid w:val="00712390"/>
    <w:rsid w:val="00723F80"/>
    <w:rsid w:val="00724864"/>
    <w:rsid w:val="00726202"/>
    <w:rsid w:val="007278B6"/>
    <w:rsid w:val="007414AD"/>
    <w:rsid w:val="00751238"/>
    <w:rsid w:val="0075536D"/>
    <w:rsid w:val="007577DD"/>
    <w:rsid w:val="007679F8"/>
    <w:rsid w:val="007744E3"/>
    <w:rsid w:val="00774B7A"/>
    <w:rsid w:val="0077584F"/>
    <w:rsid w:val="00783A3F"/>
    <w:rsid w:val="007855C0"/>
    <w:rsid w:val="00792FB2"/>
    <w:rsid w:val="00793C9C"/>
    <w:rsid w:val="007947BF"/>
    <w:rsid w:val="00794A70"/>
    <w:rsid w:val="00796C6D"/>
    <w:rsid w:val="007A03CC"/>
    <w:rsid w:val="007A4724"/>
    <w:rsid w:val="007B6DA7"/>
    <w:rsid w:val="007C3F3F"/>
    <w:rsid w:val="007C44A6"/>
    <w:rsid w:val="007E44C6"/>
    <w:rsid w:val="007E6127"/>
    <w:rsid w:val="007F5155"/>
    <w:rsid w:val="007F7FB3"/>
    <w:rsid w:val="00800996"/>
    <w:rsid w:val="00800F77"/>
    <w:rsid w:val="00801814"/>
    <w:rsid w:val="008107DF"/>
    <w:rsid w:val="00815BEA"/>
    <w:rsid w:val="00817179"/>
    <w:rsid w:val="008207DA"/>
    <w:rsid w:val="008231BC"/>
    <w:rsid w:val="00824A4F"/>
    <w:rsid w:val="00834DDC"/>
    <w:rsid w:val="00835518"/>
    <w:rsid w:val="008362B7"/>
    <w:rsid w:val="00840AC6"/>
    <w:rsid w:val="00843852"/>
    <w:rsid w:val="00844F83"/>
    <w:rsid w:val="00854D5E"/>
    <w:rsid w:val="008602CE"/>
    <w:rsid w:val="008662BF"/>
    <w:rsid w:val="00872510"/>
    <w:rsid w:val="00874705"/>
    <w:rsid w:val="00874D8E"/>
    <w:rsid w:val="0088600B"/>
    <w:rsid w:val="0089093D"/>
    <w:rsid w:val="00891460"/>
    <w:rsid w:val="00892B80"/>
    <w:rsid w:val="0089484E"/>
    <w:rsid w:val="008A67A8"/>
    <w:rsid w:val="008A68AC"/>
    <w:rsid w:val="008B21CF"/>
    <w:rsid w:val="008C1A7A"/>
    <w:rsid w:val="008C3C9D"/>
    <w:rsid w:val="008C50EC"/>
    <w:rsid w:val="008C6E9D"/>
    <w:rsid w:val="008C76EF"/>
    <w:rsid w:val="008D19C2"/>
    <w:rsid w:val="008E2ED0"/>
    <w:rsid w:val="008E7181"/>
    <w:rsid w:val="008F41DB"/>
    <w:rsid w:val="0090166E"/>
    <w:rsid w:val="009021FD"/>
    <w:rsid w:val="009061D7"/>
    <w:rsid w:val="00912D2F"/>
    <w:rsid w:val="009160F2"/>
    <w:rsid w:val="00921499"/>
    <w:rsid w:val="009224D2"/>
    <w:rsid w:val="0092568E"/>
    <w:rsid w:val="0092658E"/>
    <w:rsid w:val="00926B0F"/>
    <w:rsid w:val="00943008"/>
    <w:rsid w:val="0094306A"/>
    <w:rsid w:val="0095790D"/>
    <w:rsid w:val="00967DA0"/>
    <w:rsid w:val="00973194"/>
    <w:rsid w:val="00973AC3"/>
    <w:rsid w:val="009771DE"/>
    <w:rsid w:val="00984A38"/>
    <w:rsid w:val="0098733F"/>
    <w:rsid w:val="009934B6"/>
    <w:rsid w:val="009A308F"/>
    <w:rsid w:val="009B0E50"/>
    <w:rsid w:val="009B307A"/>
    <w:rsid w:val="009B35B1"/>
    <w:rsid w:val="009B3B6C"/>
    <w:rsid w:val="009C1BCA"/>
    <w:rsid w:val="009C27F4"/>
    <w:rsid w:val="009C4825"/>
    <w:rsid w:val="009C6455"/>
    <w:rsid w:val="009C699A"/>
    <w:rsid w:val="009D131E"/>
    <w:rsid w:val="009D2A08"/>
    <w:rsid w:val="009D4807"/>
    <w:rsid w:val="009E2032"/>
    <w:rsid w:val="009E3E2C"/>
    <w:rsid w:val="009E4863"/>
    <w:rsid w:val="009E69D0"/>
    <w:rsid w:val="009E733C"/>
    <w:rsid w:val="009F0A34"/>
    <w:rsid w:val="009F38DF"/>
    <w:rsid w:val="009F3B36"/>
    <w:rsid w:val="00A10A21"/>
    <w:rsid w:val="00A1234C"/>
    <w:rsid w:val="00A12F7B"/>
    <w:rsid w:val="00A1334F"/>
    <w:rsid w:val="00A1403E"/>
    <w:rsid w:val="00A14CEC"/>
    <w:rsid w:val="00A1563A"/>
    <w:rsid w:val="00A1636A"/>
    <w:rsid w:val="00A20B77"/>
    <w:rsid w:val="00A21332"/>
    <w:rsid w:val="00A2244D"/>
    <w:rsid w:val="00A257C9"/>
    <w:rsid w:val="00A25846"/>
    <w:rsid w:val="00A335EA"/>
    <w:rsid w:val="00A33CBE"/>
    <w:rsid w:val="00A446A6"/>
    <w:rsid w:val="00A541F0"/>
    <w:rsid w:val="00A60A37"/>
    <w:rsid w:val="00A64428"/>
    <w:rsid w:val="00A676B5"/>
    <w:rsid w:val="00A71055"/>
    <w:rsid w:val="00A71507"/>
    <w:rsid w:val="00A72769"/>
    <w:rsid w:val="00A808EA"/>
    <w:rsid w:val="00A81028"/>
    <w:rsid w:val="00A86DFD"/>
    <w:rsid w:val="00A9001D"/>
    <w:rsid w:val="00A91C10"/>
    <w:rsid w:val="00A94FBB"/>
    <w:rsid w:val="00A95FDB"/>
    <w:rsid w:val="00A96954"/>
    <w:rsid w:val="00A9722A"/>
    <w:rsid w:val="00AA35A9"/>
    <w:rsid w:val="00AA5317"/>
    <w:rsid w:val="00AB16BD"/>
    <w:rsid w:val="00AB2BEA"/>
    <w:rsid w:val="00AC0731"/>
    <w:rsid w:val="00AC4281"/>
    <w:rsid w:val="00AC762D"/>
    <w:rsid w:val="00AC7C06"/>
    <w:rsid w:val="00AD38D0"/>
    <w:rsid w:val="00AD5B74"/>
    <w:rsid w:val="00AE3578"/>
    <w:rsid w:val="00AE6615"/>
    <w:rsid w:val="00AE7323"/>
    <w:rsid w:val="00AF0A89"/>
    <w:rsid w:val="00AF1732"/>
    <w:rsid w:val="00AF772C"/>
    <w:rsid w:val="00B02616"/>
    <w:rsid w:val="00B03E9F"/>
    <w:rsid w:val="00B04857"/>
    <w:rsid w:val="00B105DE"/>
    <w:rsid w:val="00B10EC0"/>
    <w:rsid w:val="00B167AE"/>
    <w:rsid w:val="00B33632"/>
    <w:rsid w:val="00B33D0A"/>
    <w:rsid w:val="00B40DEB"/>
    <w:rsid w:val="00B424EB"/>
    <w:rsid w:val="00B44C38"/>
    <w:rsid w:val="00B461A4"/>
    <w:rsid w:val="00B509AF"/>
    <w:rsid w:val="00B66096"/>
    <w:rsid w:val="00B664C8"/>
    <w:rsid w:val="00B75671"/>
    <w:rsid w:val="00B767FB"/>
    <w:rsid w:val="00B84BEB"/>
    <w:rsid w:val="00B86C70"/>
    <w:rsid w:val="00B95413"/>
    <w:rsid w:val="00B967A3"/>
    <w:rsid w:val="00BA342B"/>
    <w:rsid w:val="00BA5ED4"/>
    <w:rsid w:val="00BA7DAF"/>
    <w:rsid w:val="00BB06AC"/>
    <w:rsid w:val="00BC082B"/>
    <w:rsid w:val="00BC3F70"/>
    <w:rsid w:val="00BC6660"/>
    <w:rsid w:val="00BC6ECC"/>
    <w:rsid w:val="00BD2A41"/>
    <w:rsid w:val="00BD3CC7"/>
    <w:rsid w:val="00BD761C"/>
    <w:rsid w:val="00BE29BF"/>
    <w:rsid w:val="00BE5B7B"/>
    <w:rsid w:val="00BF17DA"/>
    <w:rsid w:val="00BF3F86"/>
    <w:rsid w:val="00BF58E3"/>
    <w:rsid w:val="00BF5ECF"/>
    <w:rsid w:val="00C0043F"/>
    <w:rsid w:val="00C02553"/>
    <w:rsid w:val="00C11F22"/>
    <w:rsid w:val="00C176FB"/>
    <w:rsid w:val="00C3247A"/>
    <w:rsid w:val="00C34016"/>
    <w:rsid w:val="00C36A42"/>
    <w:rsid w:val="00C45B70"/>
    <w:rsid w:val="00C50642"/>
    <w:rsid w:val="00C52B57"/>
    <w:rsid w:val="00C6796D"/>
    <w:rsid w:val="00C7477F"/>
    <w:rsid w:val="00C75D1A"/>
    <w:rsid w:val="00C779B8"/>
    <w:rsid w:val="00C77EE5"/>
    <w:rsid w:val="00C87BCE"/>
    <w:rsid w:val="00C90FE1"/>
    <w:rsid w:val="00C91B77"/>
    <w:rsid w:val="00C9545B"/>
    <w:rsid w:val="00CA52E0"/>
    <w:rsid w:val="00CA7AF6"/>
    <w:rsid w:val="00CB055C"/>
    <w:rsid w:val="00CB2785"/>
    <w:rsid w:val="00CB2D25"/>
    <w:rsid w:val="00CC332D"/>
    <w:rsid w:val="00CD2297"/>
    <w:rsid w:val="00CD25B0"/>
    <w:rsid w:val="00CD59BD"/>
    <w:rsid w:val="00CE4140"/>
    <w:rsid w:val="00CE548B"/>
    <w:rsid w:val="00CE5B77"/>
    <w:rsid w:val="00CF0CE0"/>
    <w:rsid w:val="00CF48FE"/>
    <w:rsid w:val="00CF6857"/>
    <w:rsid w:val="00D0205F"/>
    <w:rsid w:val="00D02F89"/>
    <w:rsid w:val="00D12846"/>
    <w:rsid w:val="00D13439"/>
    <w:rsid w:val="00D155AF"/>
    <w:rsid w:val="00D17178"/>
    <w:rsid w:val="00D24238"/>
    <w:rsid w:val="00D253C3"/>
    <w:rsid w:val="00D30C5C"/>
    <w:rsid w:val="00D31CD7"/>
    <w:rsid w:val="00D404AE"/>
    <w:rsid w:val="00D40AA0"/>
    <w:rsid w:val="00D43049"/>
    <w:rsid w:val="00D50182"/>
    <w:rsid w:val="00D50C78"/>
    <w:rsid w:val="00D54EC2"/>
    <w:rsid w:val="00D574E8"/>
    <w:rsid w:val="00D606C0"/>
    <w:rsid w:val="00D60A40"/>
    <w:rsid w:val="00D61E89"/>
    <w:rsid w:val="00D669E5"/>
    <w:rsid w:val="00D70527"/>
    <w:rsid w:val="00D723ED"/>
    <w:rsid w:val="00D75578"/>
    <w:rsid w:val="00D75862"/>
    <w:rsid w:val="00D80F65"/>
    <w:rsid w:val="00D84D25"/>
    <w:rsid w:val="00D862BC"/>
    <w:rsid w:val="00D92CF4"/>
    <w:rsid w:val="00D93073"/>
    <w:rsid w:val="00D96197"/>
    <w:rsid w:val="00D974B6"/>
    <w:rsid w:val="00D977A9"/>
    <w:rsid w:val="00DA617D"/>
    <w:rsid w:val="00DB0901"/>
    <w:rsid w:val="00DB0E33"/>
    <w:rsid w:val="00DB5051"/>
    <w:rsid w:val="00DC40F0"/>
    <w:rsid w:val="00DD1AFE"/>
    <w:rsid w:val="00DD271C"/>
    <w:rsid w:val="00DD73C3"/>
    <w:rsid w:val="00DF63AB"/>
    <w:rsid w:val="00E053A7"/>
    <w:rsid w:val="00E10F1E"/>
    <w:rsid w:val="00E1385A"/>
    <w:rsid w:val="00E14E1B"/>
    <w:rsid w:val="00E16202"/>
    <w:rsid w:val="00E2336B"/>
    <w:rsid w:val="00E31493"/>
    <w:rsid w:val="00E32479"/>
    <w:rsid w:val="00E37E4D"/>
    <w:rsid w:val="00E42624"/>
    <w:rsid w:val="00E5353F"/>
    <w:rsid w:val="00E55E84"/>
    <w:rsid w:val="00E6229E"/>
    <w:rsid w:val="00E65DC7"/>
    <w:rsid w:val="00E66F27"/>
    <w:rsid w:val="00E71CCF"/>
    <w:rsid w:val="00E71DE9"/>
    <w:rsid w:val="00E733DF"/>
    <w:rsid w:val="00E8362A"/>
    <w:rsid w:val="00E97ABE"/>
    <w:rsid w:val="00EA1175"/>
    <w:rsid w:val="00EA1B48"/>
    <w:rsid w:val="00EA2867"/>
    <w:rsid w:val="00EA6DD8"/>
    <w:rsid w:val="00EB6210"/>
    <w:rsid w:val="00EB7AE2"/>
    <w:rsid w:val="00EC7A66"/>
    <w:rsid w:val="00ED18EB"/>
    <w:rsid w:val="00ED2164"/>
    <w:rsid w:val="00ED3C0C"/>
    <w:rsid w:val="00ED70FB"/>
    <w:rsid w:val="00EE4B56"/>
    <w:rsid w:val="00EE783C"/>
    <w:rsid w:val="00EF132C"/>
    <w:rsid w:val="00EF2388"/>
    <w:rsid w:val="00EF2C84"/>
    <w:rsid w:val="00EF4362"/>
    <w:rsid w:val="00EF53DF"/>
    <w:rsid w:val="00F00D61"/>
    <w:rsid w:val="00F0126E"/>
    <w:rsid w:val="00F051CE"/>
    <w:rsid w:val="00F10658"/>
    <w:rsid w:val="00F12829"/>
    <w:rsid w:val="00F27186"/>
    <w:rsid w:val="00F272D8"/>
    <w:rsid w:val="00F276BC"/>
    <w:rsid w:val="00F310B0"/>
    <w:rsid w:val="00F36C8A"/>
    <w:rsid w:val="00F424D2"/>
    <w:rsid w:val="00F4554B"/>
    <w:rsid w:val="00F50C18"/>
    <w:rsid w:val="00F564F8"/>
    <w:rsid w:val="00F61306"/>
    <w:rsid w:val="00F64221"/>
    <w:rsid w:val="00F6507E"/>
    <w:rsid w:val="00F676F4"/>
    <w:rsid w:val="00F731EF"/>
    <w:rsid w:val="00F771AB"/>
    <w:rsid w:val="00F86A2E"/>
    <w:rsid w:val="00F86DC4"/>
    <w:rsid w:val="00F87A27"/>
    <w:rsid w:val="00F931F3"/>
    <w:rsid w:val="00F95080"/>
    <w:rsid w:val="00F966A6"/>
    <w:rsid w:val="00F96B81"/>
    <w:rsid w:val="00FA1AA9"/>
    <w:rsid w:val="00FA2E32"/>
    <w:rsid w:val="00FA6D95"/>
    <w:rsid w:val="00FB2407"/>
    <w:rsid w:val="00FB7FF7"/>
    <w:rsid w:val="00FC0395"/>
    <w:rsid w:val="00FC7852"/>
    <w:rsid w:val="00FD397F"/>
    <w:rsid w:val="00FD47CC"/>
    <w:rsid w:val="00FD62CC"/>
    <w:rsid w:val="00FF0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0CDD"/>
  <w15:docId w15:val="{26E5BE36-65D4-4C5D-B356-C97E578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7BF"/>
  </w:style>
  <w:style w:type="paragraph" w:styleId="Heading1">
    <w:name w:val="heading 1"/>
    <w:basedOn w:val="Normal"/>
    <w:next w:val="Normal"/>
    <w:link w:val="Heading1Char"/>
    <w:uiPriority w:val="1"/>
    <w:qFormat/>
    <w:rsid w:val="007947BF"/>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7947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47BF"/>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1"/>
    <w:unhideWhenUsed/>
    <w:qFormat/>
    <w:rsid w:val="007947B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947B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947B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7947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947B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1"/>
    <w:rsid w:val="007947B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947BF"/>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947BF"/>
    <w:rPr>
      <w:color w:val="0000FF" w:themeColor="hyperlink"/>
      <w:u w:val="single"/>
    </w:rPr>
  </w:style>
  <w:style w:type="paragraph" w:styleId="ListParagraph">
    <w:name w:val="List Paragraph"/>
    <w:aliases w:val="Normal bullet 2,Bullet list,List Paragraph1,Numbered List,1st level - Bullet List Paragraph,Lettre d'introduction,List Paragraph11,Normal bullet 21,List Paragraph111,Bullet list1,Bullet Points,Liste Paragraf,Paragraph,lp1"/>
    <w:basedOn w:val="Normal"/>
    <w:link w:val="ListParagraphChar"/>
    <w:uiPriority w:val="34"/>
    <w:qFormat/>
    <w:rsid w:val="007947BF"/>
    <w:pPr>
      <w:ind w:left="720"/>
      <w:contextualSpacing/>
    </w:pPr>
  </w:style>
  <w:style w:type="paragraph" w:styleId="TOC1">
    <w:name w:val="toc 1"/>
    <w:basedOn w:val="Normal"/>
    <w:next w:val="Normal"/>
    <w:autoRedefine/>
    <w:uiPriority w:val="39"/>
    <w:unhideWhenUsed/>
    <w:rsid w:val="007947BF"/>
    <w:pPr>
      <w:spacing w:after="100"/>
    </w:pPr>
  </w:style>
  <w:style w:type="paragraph" w:styleId="TOC2">
    <w:name w:val="toc 2"/>
    <w:basedOn w:val="Normal"/>
    <w:next w:val="Normal"/>
    <w:autoRedefine/>
    <w:uiPriority w:val="39"/>
    <w:unhideWhenUsed/>
    <w:rsid w:val="00AC4281"/>
    <w:pPr>
      <w:tabs>
        <w:tab w:val="left" w:pos="880"/>
        <w:tab w:val="right" w:leader="dot" w:pos="9062"/>
      </w:tabs>
      <w:spacing w:after="100"/>
      <w:ind w:left="220"/>
    </w:pPr>
  </w:style>
  <w:style w:type="paragraph" w:styleId="TOC3">
    <w:name w:val="toc 3"/>
    <w:basedOn w:val="Normal"/>
    <w:next w:val="Normal"/>
    <w:autoRedefine/>
    <w:uiPriority w:val="39"/>
    <w:unhideWhenUsed/>
    <w:rsid w:val="00AC4281"/>
    <w:pPr>
      <w:tabs>
        <w:tab w:val="left" w:pos="1320"/>
        <w:tab w:val="right" w:leader="dot" w:pos="9062"/>
      </w:tabs>
      <w:spacing w:after="100"/>
      <w:ind w:left="440"/>
    </w:pPr>
  </w:style>
  <w:style w:type="table" w:styleId="TableGrid">
    <w:name w:val="Table Grid"/>
    <w:basedOn w:val="TableNormal"/>
    <w:uiPriority w:val="59"/>
    <w:rsid w:val="00794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Bullet list Char,List Paragraph1 Char,Numbered List Char,1st level - Bullet List Paragraph Char,Lettre d'introduction Char,List Paragraph11 Char,Normal bullet 21 Char,List Paragraph111 Char,Bullet list1 Char"/>
    <w:basedOn w:val="DefaultParagraphFont"/>
    <w:link w:val="ListParagraph"/>
    <w:uiPriority w:val="34"/>
    <w:rsid w:val="007947BF"/>
  </w:style>
  <w:style w:type="paragraph" w:styleId="BalloonText">
    <w:name w:val="Balloon Text"/>
    <w:basedOn w:val="Normal"/>
    <w:link w:val="BalloonTextChar"/>
    <w:uiPriority w:val="99"/>
    <w:semiHidden/>
    <w:unhideWhenUsed/>
    <w:rsid w:val="0079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7BF"/>
    <w:rPr>
      <w:rFonts w:ascii="Tahoma" w:hAnsi="Tahoma" w:cs="Tahoma"/>
      <w:sz w:val="16"/>
      <w:szCs w:val="16"/>
    </w:rPr>
  </w:style>
  <w:style w:type="table" w:styleId="LightList-Accent2">
    <w:name w:val="Light List Accent 2"/>
    <w:basedOn w:val="TableNormal"/>
    <w:uiPriority w:val="61"/>
    <w:rsid w:val="007947B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7947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47BF"/>
  </w:style>
  <w:style w:type="paragraph" w:styleId="Footer">
    <w:name w:val="footer"/>
    <w:basedOn w:val="Normal"/>
    <w:link w:val="FooterChar"/>
    <w:uiPriority w:val="99"/>
    <w:unhideWhenUsed/>
    <w:rsid w:val="007947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7BF"/>
  </w:style>
  <w:style w:type="paragraph" w:styleId="FootnoteText">
    <w:name w:val="footnote text"/>
    <w:basedOn w:val="Normal"/>
    <w:link w:val="FootnoteTextChar"/>
    <w:uiPriority w:val="99"/>
    <w:semiHidden/>
    <w:unhideWhenUsed/>
    <w:rsid w:val="007947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7BF"/>
    <w:rPr>
      <w:sz w:val="20"/>
      <w:szCs w:val="20"/>
    </w:rPr>
  </w:style>
  <w:style w:type="character" w:styleId="FootnoteReference">
    <w:name w:val="footnote reference"/>
    <w:basedOn w:val="DefaultParagraphFont"/>
    <w:uiPriority w:val="99"/>
    <w:semiHidden/>
    <w:unhideWhenUsed/>
    <w:rsid w:val="007947BF"/>
    <w:rPr>
      <w:vertAlign w:val="superscript"/>
    </w:rPr>
  </w:style>
  <w:style w:type="character" w:styleId="FollowedHyperlink">
    <w:name w:val="FollowedHyperlink"/>
    <w:basedOn w:val="DefaultParagraphFont"/>
    <w:uiPriority w:val="99"/>
    <w:semiHidden/>
    <w:unhideWhenUsed/>
    <w:rsid w:val="007947BF"/>
    <w:rPr>
      <w:color w:val="800080" w:themeColor="followedHyperlink"/>
      <w:u w:val="single"/>
    </w:rPr>
  </w:style>
  <w:style w:type="table" w:customStyle="1" w:styleId="LightGrid-Accent11">
    <w:name w:val="Light Grid - Accent 11"/>
    <w:basedOn w:val="TableNormal"/>
    <w:uiPriority w:val="62"/>
    <w:rsid w:val="007947BF"/>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mmentReference">
    <w:name w:val="annotation reference"/>
    <w:basedOn w:val="DefaultParagraphFont"/>
    <w:uiPriority w:val="99"/>
    <w:semiHidden/>
    <w:unhideWhenUsed/>
    <w:rsid w:val="007947BF"/>
    <w:rPr>
      <w:sz w:val="16"/>
      <w:szCs w:val="16"/>
    </w:rPr>
  </w:style>
  <w:style w:type="paragraph" w:styleId="CommentText">
    <w:name w:val="annotation text"/>
    <w:basedOn w:val="Normal"/>
    <w:link w:val="CommentTextChar"/>
    <w:uiPriority w:val="99"/>
    <w:semiHidden/>
    <w:unhideWhenUsed/>
    <w:rsid w:val="007947BF"/>
    <w:pPr>
      <w:spacing w:line="240" w:lineRule="auto"/>
    </w:pPr>
    <w:rPr>
      <w:sz w:val="20"/>
      <w:szCs w:val="20"/>
    </w:rPr>
  </w:style>
  <w:style w:type="character" w:customStyle="1" w:styleId="CommentTextChar">
    <w:name w:val="Comment Text Char"/>
    <w:basedOn w:val="DefaultParagraphFont"/>
    <w:link w:val="CommentText"/>
    <w:uiPriority w:val="99"/>
    <w:semiHidden/>
    <w:rsid w:val="007947BF"/>
    <w:rPr>
      <w:sz w:val="20"/>
      <w:szCs w:val="20"/>
    </w:rPr>
  </w:style>
  <w:style w:type="paragraph" w:styleId="CommentSubject">
    <w:name w:val="annotation subject"/>
    <w:basedOn w:val="CommentText"/>
    <w:next w:val="CommentText"/>
    <w:link w:val="CommentSubjectChar"/>
    <w:uiPriority w:val="99"/>
    <w:semiHidden/>
    <w:unhideWhenUsed/>
    <w:rsid w:val="007947BF"/>
    <w:rPr>
      <w:b/>
      <w:bCs/>
    </w:rPr>
  </w:style>
  <w:style w:type="character" w:customStyle="1" w:styleId="CommentSubjectChar">
    <w:name w:val="Comment Subject Char"/>
    <w:basedOn w:val="CommentTextChar"/>
    <w:link w:val="CommentSubject"/>
    <w:uiPriority w:val="99"/>
    <w:semiHidden/>
    <w:rsid w:val="007947BF"/>
    <w:rPr>
      <w:b/>
      <w:bCs/>
      <w:sz w:val="20"/>
      <w:szCs w:val="20"/>
    </w:rPr>
  </w:style>
  <w:style w:type="character" w:customStyle="1" w:styleId="jlqj4b">
    <w:name w:val="jlqj4b"/>
    <w:rsid w:val="007947BF"/>
  </w:style>
  <w:style w:type="table" w:customStyle="1" w:styleId="TableGrid1">
    <w:name w:val="Table Grid1"/>
    <w:basedOn w:val="TableNormal"/>
    <w:next w:val="TableGrid"/>
    <w:uiPriority w:val="39"/>
    <w:rsid w:val="007947BF"/>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947BF"/>
    <w:pPr>
      <w:spacing w:after="0" w:line="240" w:lineRule="auto"/>
    </w:pPr>
  </w:style>
  <w:style w:type="character" w:styleId="Emphasis">
    <w:name w:val="Emphasis"/>
    <w:basedOn w:val="DefaultParagraphFont"/>
    <w:uiPriority w:val="20"/>
    <w:qFormat/>
    <w:rsid w:val="007947BF"/>
    <w:rPr>
      <w:i/>
      <w:iCs/>
    </w:rPr>
  </w:style>
  <w:style w:type="character" w:styleId="Strong">
    <w:name w:val="Strong"/>
    <w:basedOn w:val="DefaultParagraphFont"/>
    <w:uiPriority w:val="22"/>
    <w:qFormat/>
    <w:rsid w:val="004B2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256102">
      <w:bodyDiv w:val="1"/>
      <w:marLeft w:val="0"/>
      <w:marRight w:val="0"/>
      <w:marTop w:val="0"/>
      <w:marBottom w:val="0"/>
      <w:divBdr>
        <w:top w:val="none" w:sz="0" w:space="0" w:color="auto"/>
        <w:left w:val="none" w:sz="0" w:space="0" w:color="auto"/>
        <w:bottom w:val="none" w:sz="0" w:space="0" w:color="auto"/>
        <w:right w:val="none" w:sz="0" w:space="0" w:color="auto"/>
      </w:divBdr>
      <w:divsChild>
        <w:div w:id="494299073">
          <w:marLeft w:val="0"/>
          <w:marRight w:val="0"/>
          <w:marTop w:val="0"/>
          <w:marBottom w:val="75"/>
          <w:divBdr>
            <w:top w:val="none" w:sz="0" w:space="0" w:color="auto"/>
            <w:left w:val="none" w:sz="0" w:space="0" w:color="auto"/>
            <w:bottom w:val="none" w:sz="0" w:space="0" w:color="auto"/>
            <w:right w:val="none" w:sz="0" w:space="0" w:color="auto"/>
          </w:divBdr>
        </w:div>
        <w:div w:id="1598126168">
          <w:marLeft w:val="0"/>
          <w:marRight w:val="0"/>
          <w:marTop w:val="0"/>
          <w:marBottom w:val="0"/>
          <w:divBdr>
            <w:top w:val="none" w:sz="0" w:space="0" w:color="auto"/>
            <w:left w:val="none" w:sz="0" w:space="0" w:color="auto"/>
            <w:bottom w:val="none" w:sz="0" w:space="0" w:color="auto"/>
            <w:right w:val="none" w:sz="0" w:space="0" w:color="auto"/>
          </w:divBdr>
          <w:divsChild>
            <w:div w:id="341443587">
              <w:marLeft w:val="0"/>
              <w:marRight w:val="0"/>
              <w:marTop w:val="0"/>
              <w:marBottom w:val="0"/>
              <w:divBdr>
                <w:top w:val="none" w:sz="0" w:space="0" w:color="auto"/>
                <w:left w:val="none" w:sz="0" w:space="0" w:color="auto"/>
                <w:bottom w:val="none" w:sz="0" w:space="0" w:color="auto"/>
                <w:right w:val="none" w:sz="0" w:space="0" w:color="auto"/>
              </w:divBdr>
              <w:divsChild>
                <w:div w:id="18591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8461">
      <w:bodyDiv w:val="1"/>
      <w:marLeft w:val="0"/>
      <w:marRight w:val="0"/>
      <w:marTop w:val="0"/>
      <w:marBottom w:val="0"/>
      <w:divBdr>
        <w:top w:val="none" w:sz="0" w:space="0" w:color="auto"/>
        <w:left w:val="none" w:sz="0" w:space="0" w:color="auto"/>
        <w:bottom w:val="none" w:sz="0" w:space="0" w:color="auto"/>
        <w:right w:val="none" w:sz="0" w:space="0" w:color="auto"/>
      </w:divBdr>
      <w:divsChild>
        <w:div w:id="170070544">
          <w:marLeft w:val="0"/>
          <w:marRight w:val="0"/>
          <w:marTop w:val="0"/>
          <w:marBottom w:val="75"/>
          <w:divBdr>
            <w:top w:val="none" w:sz="0" w:space="0" w:color="auto"/>
            <w:left w:val="none" w:sz="0" w:space="0" w:color="auto"/>
            <w:bottom w:val="none" w:sz="0" w:space="0" w:color="auto"/>
            <w:right w:val="none" w:sz="0" w:space="0" w:color="auto"/>
          </w:divBdr>
        </w:div>
        <w:div w:id="476847680">
          <w:marLeft w:val="0"/>
          <w:marRight w:val="0"/>
          <w:marTop w:val="0"/>
          <w:marBottom w:val="0"/>
          <w:divBdr>
            <w:top w:val="none" w:sz="0" w:space="0" w:color="auto"/>
            <w:left w:val="none" w:sz="0" w:space="0" w:color="auto"/>
            <w:bottom w:val="none" w:sz="0" w:space="0" w:color="auto"/>
            <w:right w:val="none" w:sz="0" w:space="0" w:color="auto"/>
          </w:divBdr>
          <w:divsChild>
            <w:div w:id="2142534128">
              <w:marLeft w:val="0"/>
              <w:marRight w:val="0"/>
              <w:marTop w:val="0"/>
              <w:marBottom w:val="0"/>
              <w:divBdr>
                <w:top w:val="none" w:sz="0" w:space="0" w:color="auto"/>
                <w:left w:val="none" w:sz="0" w:space="0" w:color="auto"/>
                <w:bottom w:val="none" w:sz="0" w:space="0" w:color="auto"/>
                <w:right w:val="none" w:sz="0" w:space="0" w:color="auto"/>
              </w:divBdr>
              <w:divsChild>
                <w:div w:id="579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osci.mk/" TargetMode="External"/><Relationship Id="rId4" Type="http://schemas.openxmlformats.org/officeDocument/2006/relationships/settings" Target="settings.xml"/><Relationship Id="rId9" Type="http://schemas.openxmlformats.org/officeDocument/2006/relationships/hyperlink" Target="http://cordis.europa.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ata.worldbank.org/indicator/GB.XPD.RSDV.GD.ZS?locations=MK" TargetMode="External"/><Relationship Id="rId1" Type="http://schemas.openxmlformats.org/officeDocument/2006/relationships/hyperlink" Target="http://ec.europa.eu/research/esfr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mk-MK" sz="1400"/>
              <a:t>Удел на доделените средства за</a:t>
            </a:r>
            <a:r>
              <a:rPr lang="mk-MK" sz="1400" baseline="0"/>
              <a:t> истражувачка опрема по универзитет</a:t>
            </a:r>
            <a:endParaRPr lang="en-GB" sz="1400"/>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Sheet5!$L$4:$L$8</c:f>
              <c:strCache>
                <c:ptCount val="5"/>
                <c:pt idx="0">
                  <c:v>Универзитет „Св. Кирил и Методиј“ - Скопје</c:v>
                </c:pt>
                <c:pt idx="1">
                  <c:v>Универзитет „Св. Климент Охридски“ - Битола</c:v>
                </c:pt>
                <c:pt idx="2">
                  <c:v>Тетовски универзитет</c:v>
                </c:pt>
                <c:pt idx="3">
                  <c:v>Универзитет Гоце Делчев</c:v>
                </c:pt>
                <c:pt idx="4">
                  <c:v>Македонска академија на науките и уметностите</c:v>
                </c:pt>
              </c:strCache>
            </c:strRef>
          </c:cat>
          <c:val>
            <c:numRef>
              <c:f>Sheet5!$M$4:$M$8</c:f>
              <c:numCache>
                <c:formatCode>#,##0.00\ [$EUR]</c:formatCode>
                <c:ptCount val="5"/>
                <c:pt idx="0">
                  <c:v>17394606.42445926</c:v>
                </c:pt>
                <c:pt idx="1">
                  <c:v>1099309.8552610176</c:v>
                </c:pt>
                <c:pt idx="2" formatCode="#,##0.00\ [$€-1]">
                  <c:v>1091802.2442673598</c:v>
                </c:pt>
                <c:pt idx="3" formatCode="#,##0.00\ [$€-1]">
                  <c:v>2432001.3010245566</c:v>
                </c:pt>
                <c:pt idx="4" formatCode="#,##0.00\ [$€-1]">
                  <c:v>575511.4652789071</c:v>
                </c:pt>
              </c:numCache>
            </c:numRef>
          </c:val>
          <c:extLst>
            <c:ext xmlns:c16="http://schemas.microsoft.com/office/drawing/2014/chart" uri="{C3380CC4-5D6E-409C-BE32-E72D297353CC}">
              <c16:uniqueId val="{00000000-4AA2-40C5-8C81-00CDA215578D}"/>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CBEB-9833-4886-91F2-B089EDD0D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35258</Words>
  <Characters>200977</Characters>
  <Application>Microsoft Office Word</Application>
  <DocSecurity>0</DocSecurity>
  <Lines>1674</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Sinisa Marcic</dc:creator>
  <cp:lastModifiedBy>Svetlana</cp:lastModifiedBy>
  <cp:revision>2</cp:revision>
  <cp:lastPrinted>2021-12-03T11:12:00Z</cp:lastPrinted>
  <dcterms:created xsi:type="dcterms:W3CDTF">2022-09-07T07:45:00Z</dcterms:created>
  <dcterms:modified xsi:type="dcterms:W3CDTF">2022-09-07T07:45:00Z</dcterms:modified>
</cp:coreProperties>
</file>